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10E34" w14:paraId="5987DD15" w14:textId="77777777" w:rsidTr="00306452">
        <w:trPr>
          <w:jc w:val="center"/>
        </w:trPr>
        <w:tc>
          <w:tcPr>
            <w:tcW w:w="9889" w:type="dxa"/>
            <w:gridSpan w:val="3"/>
            <w:shd w:val="clear" w:color="auto" w:fill="auto"/>
          </w:tcPr>
          <w:p w14:paraId="29CE358A" w14:textId="77777777" w:rsidR="00E53DCE" w:rsidRPr="00C10E34" w:rsidRDefault="00A96D3A" w:rsidP="006160CB">
            <w:pPr>
              <w:spacing w:before="0"/>
              <w:jc w:val="left"/>
              <w:rPr>
                <w:rFonts w:cstheme="minorHAnsi"/>
                <w:b/>
                <w:bCs/>
                <w:color w:val="808080"/>
                <w:sz w:val="28"/>
                <w:szCs w:val="28"/>
                <w:lang w:val="es-ES_tradnl"/>
              </w:rPr>
            </w:pPr>
            <w:r w:rsidRPr="00C10E34">
              <w:rPr>
                <w:rFonts w:cstheme="minorHAnsi"/>
                <w:b/>
                <w:bCs/>
                <w:color w:val="808080"/>
                <w:sz w:val="28"/>
                <w:szCs w:val="28"/>
                <w:lang w:val="es-ES_tradnl"/>
              </w:rPr>
              <w:t>Oficina de Radiocomunicaciones (BR)</w:t>
            </w:r>
          </w:p>
          <w:p w14:paraId="66E8CA8B" w14:textId="77777777" w:rsidR="00E53DCE" w:rsidRPr="00C10E34" w:rsidRDefault="00E53DCE" w:rsidP="006160CB">
            <w:pPr>
              <w:spacing w:before="0"/>
              <w:jc w:val="left"/>
              <w:rPr>
                <w:rFonts w:cstheme="minorHAnsi"/>
                <w:b/>
                <w:bCs/>
                <w:color w:val="808080"/>
                <w:sz w:val="28"/>
                <w:szCs w:val="28"/>
                <w:lang w:val="es-ES_tradnl"/>
              </w:rPr>
            </w:pPr>
          </w:p>
          <w:p w14:paraId="0BAF276B" w14:textId="77777777" w:rsidR="00E53DCE" w:rsidRPr="00C10E34" w:rsidRDefault="00E53DCE" w:rsidP="006160CB">
            <w:pPr>
              <w:spacing w:before="0"/>
              <w:jc w:val="left"/>
              <w:rPr>
                <w:rFonts w:cs="Times New Roman Bold"/>
                <w:b/>
                <w:bCs/>
                <w:color w:val="808080"/>
                <w:sz w:val="28"/>
                <w:szCs w:val="28"/>
                <w:lang w:val="es-ES_tradnl"/>
              </w:rPr>
            </w:pPr>
          </w:p>
        </w:tc>
      </w:tr>
      <w:tr w:rsidR="00E53DCE" w:rsidRPr="00C10E34" w14:paraId="49E9BBCE" w14:textId="77777777" w:rsidTr="00306452">
        <w:trPr>
          <w:jc w:val="center"/>
        </w:trPr>
        <w:tc>
          <w:tcPr>
            <w:tcW w:w="7054" w:type="dxa"/>
            <w:gridSpan w:val="2"/>
            <w:shd w:val="clear" w:color="auto" w:fill="auto"/>
          </w:tcPr>
          <w:p w14:paraId="4C3944B9" w14:textId="77777777" w:rsidR="00E53DCE" w:rsidRPr="00C10E34" w:rsidRDefault="001B3D4D" w:rsidP="006160CB">
            <w:pPr>
              <w:spacing w:before="0"/>
              <w:jc w:val="left"/>
              <w:rPr>
                <w:szCs w:val="24"/>
                <w:lang w:val="es-ES_tradnl"/>
              </w:rPr>
            </w:pPr>
            <w:r w:rsidRPr="00C10E34">
              <w:rPr>
                <w:lang w:val="es-ES_tradnl"/>
              </w:rPr>
              <w:t>Carta Circular</w:t>
            </w:r>
          </w:p>
          <w:p w14:paraId="4C0E3BBB" w14:textId="77777777" w:rsidR="00E53DCE" w:rsidRPr="00C10E34" w:rsidRDefault="001B3D4D" w:rsidP="006160CB">
            <w:pPr>
              <w:spacing w:before="0"/>
              <w:jc w:val="left"/>
              <w:rPr>
                <w:b/>
                <w:bCs/>
                <w:szCs w:val="24"/>
                <w:lang w:val="es-ES_tradnl"/>
              </w:rPr>
            </w:pPr>
            <w:r w:rsidRPr="00C10E34">
              <w:rPr>
                <w:b/>
                <w:bCs/>
                <w:szCs w:val="24"/>
                <w:lang w:val="es-ES_tradnl"/>
              </w:rPr>
              <w:t>CR</w:t>
            </w:r>
            <w:r w:rsidR="00293B16" w:rsidRPr="00C10E34">
              <w:rPr>
                <w:b/>
                <w:bCs/>
                <w:szCs w:val="24"/>
                <w:lang w:val="es-ES_tradnl"/>
              </w:rPr>
              <w:t>/461</w:t>
            </w:r>
          </w:p>
        </w:tc>
        <w:tc>
          <w:tcPr>
            <w:tcW w:w="2835" w:type="dxa"/>
            <w:shd w:val="clear" w:color="auto" w:fill="auto"/>
          </w:tcPr>
          <w:p w14:paraId="59165C8F" w14:textId="77777777" w:rsidR="00E53DCE" w:rsidRPr="00C10E34" w:rsidRDefault="00A96D3A" w:rsidP="00293B16">
            <w:pPr>
              <w:spacing w:before="0"/>
              <w:jc w:val="right"/>
              <w:rPr>
                <w:szCs w:val="24"/>
                <w:lang w:val="es-ES_tradnl"/>
              </w:rPr>
            </w:pPr>
            <w:r w:rsidRPr="00C10E34">
              <w:rPr>
                <w:bCs/>
                <w:szCs w:val="24"/>
                <w:lang w:val="es-ES_tradnl"/>
              </w:rPr>
              <w:t>1</w:t>
            </w:r>
            <w:r w:rsidR="00293B16" w:rsidRPr="00C10E34">
              <w:rPr>
                <w:bCs/>
                <w:szCs w:val="24"/>
                <w:lang w:val="es-ES_tradnl"/>
              </w:rPr>
              <w:t>7 de junio</w:t>
            </w:r>
            <w:r w:rsidRPr="00C10E34">
              <w:rPr>
                <w:bCs/>
                <w:szCs w:val="24"/>
                <w:lang w:val="es-ES_tradnl"/>
              </w:rPr>
              <w:t xml:space="preserve"> de 20</w:t>
            </w:r>
            <w:r w:rsidR="002B7EE0" w:rsidRPr="00C10E34">
              <w:rPr>
                <w:bCs/>
                <w:szCs w:val="24"/>
                <w:lang w:val="es-ES_tradnl"/>
              </w:rPr>
              <w:t>20</w:t>
            </w:r>
          </w:p>
        </w:tc>
      </w:tr>
      <w:tr w:rsidR="00E53DCE" w:rsidRPr="00C10E34" w14:paraId="15331AC7" w14:textId="77777777" w:rsidTr="00306452">
        <w:trPr>
          <w:jc w:val="center"/>
        </w:trPr>
        <w:tc>
          <w:tcPr>
            <w:tcW w:w="9889" w:type="dxa"/>
            <w:gridSpan w:val="3"/>
            <w:shd w:val="clear" w:color="auto" w:fill="auto"/>
          </w:tcPr>
          <w:p w14:paraId="26D6B038" w14:textId="77777777" w:rsidR="00E53DCE" w:rsidRPr="00C10E34" w:rsidRDefault="00E53DCE" w:rsidP="006160CB">
            <w:pPr>
              <w:spacing w:before="0"/>
              <w:jc w:val="left"/>
              <w:rPr>
                <w:rFonts w:cs="Arial"/>
                <w:szCs w:val="24"/>
                <w:lang w:val="es-ES_tradnl"/>
              </w:rPr>
            </w:pPr>
          </w:p>
        </w:tc>
      </w:tr>
      <w:tr w:rsidR="00E53DCE" w:rsidRPr="00C10E34" w14:paraId="12F06119" w14:textId="77777777" w:rsidTr="00306452">
        <w:trPr>
          <w:jc w:val="center"/>
        </w:trPr>
        <w:tc>
          <w:tcPr>
            <w:tcW w:w="9889" w:type="dxa"/>
            <w:gridSpan w:val="3"/>
            <w:shd w:val="clear" w:color="auto" w:fill="auto"/>
          </w:tcPr>
          <w:p w14:paraId="6497143D" w14:textId="77777777" w:rsidR="00E53DCE" w:rsidRPr="00C10E34" w:rsidRDefault="00E53DCE" w:rsidP="006160CB">
            <w:pPr>
              <w:spacing w:before="0"/>
              <w:jc w:val="left"/>
              <w:rPr>
                <w:szCs w:val="24"/>
                <w:lang w:val="es-ES_tradnl"/>
              </w:rPr>
            </w:pPr>
          </w:p>
        </w:tc>
      </w:tr>
      <w:tr w:rsidR="00E53DCE" w:rsidRPr="00AB51DD" w14:paraId="272489C0" w14:textId="77777777" w:rsidTr="00306452">
        <w:trPr>
          <w:jc w:val="center"/>
        </w:trPr>
        <w:tc>
          <w:tcPr>
            <w:tcW w:w="9889" w:type="dxa"/>
            <w:gridSpan w:val="3"/>
            <w:shd w:val="clear" w:color="auto" w:fill="auto"/>
          </w:tcPr>
          <w:p w14:paraId="2AC9B601" w14:textId="77777777" w:rsidR="00E53DCE" w:rsidRPr="00C10E34" w:rsidRDefault="00FE4822" w:rsidP="006160CB">
            <w:pPr>
              <w:spacing w:before="0"/>
              <w:jc w:val="left"/>
              <w:rPr>
                <w:b/>
                <w:bCs/>
                <w:szCs w:val="24"/>
                <w:lang w:val="es-ES_tradnl"/>
              </w:rPr>
            </w:pPr>
            <w:r w:rsidRPr="00C10E34">
              <w:rPr>
                <w:b/>
                <w:szCs w:val="24"/>
                <w:lang w:val="es-ES_tradnl"/>
              </w:rPr>
              <w:t>A las Administraciones de los Estados Miembros de la UIT</w:t>
            </w:r>
          </w:p>
          <w:p w14:paraId="17580780" w14:textId="77777777" w:rsidR="00E53DCE" w:rsidRPr="00C10E34" w:rsidRDefault="00E53DCE" w:rsidP="006160CB">
            <w:pPr>
              <w:spacing w:before="0"/>
              <w:jc w:val="left"/>
              <w:rPr>
                <w:b/>
                <w:bCs/>
                <w:szCs w:val="24"/>
                <w:lang w:val="es-ES_tradnl"/>
              </w:rPr>
            </w:pPr>
          </w:p>
        </w:tc>
      </w:tr>
      <w:tr w:rsidR="00E53DCE" w:rsidRPr="00AB51DD" w14:paraId="1007852E" w14:textId="77777777" w:rsidTr="00306452">
        <w:trPr>
          <w:jc w:val="center"/>
        </w:trPr>
        <w:tc>
          <w:tcPr>
            <w:tcW w:w="9889" w:type="dxa"/>
            <w:gridSpan w:val="3"/>
            <w:shd w:val="clear" w:color="auto" w:fill="auto"/>
          </w:tcPr>
          <w:p w14:paraId="3FC552D5" w14:textId="77777777" w:rsidR="00E53DCE" w:rsidRPr="00C10E34" w:rsidRDefault="00E53DCE" w:rsidP="006160CB">
            <w:pPr>
              <w:spacing w:before="0"/>
              <w:jc w:val="left"/>
              <w:rPr>
                <w:szCs w:val="24"/>
                <w:lang w:val="es-ES_tradnl"/>
              </w:rPr>
            </w:pPr>
          </w:p>
        </w:tc>
      </w:tr>
      <w:tr w:rsidR="00E53DCE" w:rsidRPr="00AB51DD" w14:paraId="3A6CEA7F" w14:textId="77777777" w:rsidTr="00306452">
        <w:trPr>
          <w:jc w:val="center"/>
        </w:trPr>
        <w:tc>
          <w:tcPr>
            <w:tcW w:w="9889" w:type="dxa"/>
            <w:gridSpan w:val="3"/>
            <w:shd w:val="clear" w:color="auto" w:fill="auto"/>
          </w:tcPr>
          <w:p w14:paraId="0B8CFA59" w14:textId="77777777" w:rsidR="00E53DCE" w:rsidRPr="00C10E34" w:rsidRDefault="00E53DCE" w:rsidP="006160CB">
            <w:pPr>
              <w:spacing w:before="0"/>
              <w:jc w:val="left"/>
              <w:rPr>
                <w:szCs w:val="24"/>
                <w:lang w:val="es-ES_tradnl"/>
              </w:rPr>
            </w:pPr>
          </w:p>
        </w:tc>
      </w:tr>
      <w:tr w:rsidR="00E53DCE" w:rsidRPr="00AB51DD" w14:paraId="6C11A675" w14:textId="77777777" w:rsidTr="00306452">
        <w:trPr>
          <w:jc w:val="center"/>
        </w:trPr>
        <w:tc>
          <w:tcPr>
            <w:tcW w:w="1526" w:type="dxa"/>
            <w:shd w:val="clear" w:color="auto" w:fill="auto"/>
          </w:tcPr>
          <w:p w14:paraId="7F6CCC85" w14:textId="77777777" w:rsidR="00E53DCE" w:rsidRPr="00C10E34" w:rsidRDefault="00311970" w:rsidP="006160CB">
            <w:pPr>
              <w:tabs>
                <w:tab w:val="clear" w:pos="1588"/>
                <w:tab w:val="left" w:pos="1560"/>
              </w:tabs>
              <w:spacing w:before="0"/>
              <w:jc w:val="left"/>
              <w:rPr>
                <w:szCs w:val="24"/>
                <w:lang w:val="es-ES_tradnl"/>
              </w:rPr>
            </w:pPr>
            <w:r w:rsidRPr="00C10E34">
              <w:rPr>
                <w:szCs w:val="24"/>
                <w:lang w:val="es-ES_tradnl"/>
              </w:rPr>
              <w:t>Asunto:</w:t>
            </w:r>
          </w:p>
        </w:tc>
        <w:tc>
          <w:tcPr>
            <w:tcW w:w="8363" w:type="dxa"/>
            <w:gridSpan w:val="2"/>
            <w:vMerge w:val="restart"/>
            <w:shd w:val="clear" w:color="auto" w:fill="auto"/>
          </w:tcPr>
          <w:p w14:paraId="0BEF07FA" w14:textId="77777777" w:rsidR="00E53DCE" w:rsidRPr="00C10E34" w:rsidRDefault="00293B16" w:rsidP="0080548B">
            <w:pPr>
              <w:tabs>
                <w:tab w:val="clear" w:pos="1588"/>
                <w:tab w:val="left" w:pos="1560"/>
              </w:tabs>
              <w:spacing w:before="0"/>
              <w:rPr>
                <w:b/>
                <w:bCs/>
                <w:szCs w:val="24"/>
                <w:lang w:val="es-ES_tradnl"/>
              </w:rPr>
            </w:pPr>
            <w:r w:rsidRPr="00C10E34">
              <w:rPr>
                <w:b/>
                <w:bCs/>
                <w:szCs w:val="24"/>
                <w:lang w:val="es-ES_tradnl"/>
              </w:rPr>
              <w:t xml:space="preserve">Aplicación de la Resolución 169 [COM5/6] (CMR-19) </w:t>
            </w:r>
            <w:r w:rsidR="0080548B">
              <w:rPr>
                <w:b/>
                <w:bCs/>
                <w:szCs w:val="24"/>
                <w:lang w:val="es-ES_tradnl"/>
              </w:rPr>
              <w:t>‒</w:t>
            </w:r>
            <w:r w:rsidRPr="00C10E34">
              <w:rPr>
                <w:b/>
                <w:bCs/>
                <w:szCs w:val="24"/>
                <w:lang w:val="es-ES_tradnl"/>
              </w:rPr>
              <w:t xml:space="preserve"> Utilización de las bandas de frecuencias 17,7-19,7 GHz y 27,5-29,5 G</w:t>
            </w:r>
            <w:r w:rsidR="00C10E34">
              <w:rPr>
                <w:b/>
                <w:bCs/>
                <w:szCs w:val="24"/>
                <w:lang w:val="es-ES_tradnl"/>
              </w:rPr>
              <w:t>H</w:t>
            </w:r>
            <w:r w:rsidRPr="00C10E34">
              <w:rPr>
                <w:b/>
                <w:bCs/>
                <w:szCs w:val="24"/>
                <w:lang w:val="es-ES_tradnl"/>
              </w:rPr>
              <w:t>z para las comunicaciones de las estaciones terrenas en movimiento con estaciones espaciales geoestacionarias del servicio fijo por satélite</w:t>
            </w:r>
          </w:p>
        </w:tc>
      </w:tr>
      <w:tr w:rsidR="00E53DCE" w:rsidRPr="00AB51DD" w14:paraId="38C71E03" w14:textId="77777777" w:rsidTr="00306452">
        <w:trPr>
          <w:jc w:val="center"/>
        </w:trPr>
        <w:tc>
          <w:tcPr>
            <w:tcW w:w="1526" w:type="dxa"/>
            <w:shd w:val="clear" w:color="auto" w:fill="auto"/>
          </w:tcPr>
          <w:p w14:paraId="7C2BCFE2" w14:textId="77777777" w:rsidR="00E53DCE" w:rsidRPr="00C10E3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37D31B32" w14:textId="77777777" w:rsidR="00E53DCE" w:rsidRPr="00C10E34" w:rsidRDefault="00E53DCE" w:rsidP="006160CB">
            <w:pPr>
              <w:tabs>
                <w:tab w:val="clear" w:pos="1588"/>
                <w:tab w:val="left" w:pos="1560"/>
              </w:tabs>
              <w:spacing w:before="0"/>
              <w:rPr>
                <w:b/>
                <w:bCs/>
                <w:szCs w:val="24"/>
                <w:lang w:val="es-ES_tradnl"/>
              </w:rPr>
            </w:pPr>
          </w:p>
        </w:tc>
      </w:tr>
      <w:tr w:rsidR="00E53DCE" w:rsidRPr="00AB51DD" w14:paraId="2E972E4A" w14:textId="77777777" w:rsidTr="00306452">
        <w:trPr>
          <w:jc w:val="center"/>
        </w:trPr>
        <w:tc>
          <w:tcPr>
            <w:tcW w:w="1526" w:type="dxa"/>
            <w:shd w:val="clear" w:color="auto" w:fill="auto"/>
          </w:tcPr>
          <w:p w14:paraId="49D7328E" w14:textId="77777777" w:rsidR="00E53DCE" w:rsidRPr="00C10E3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BB46C7" w14:textId="77777777" w:rsidR="00E53DCE" w:rsidRPr="00C10E34" w:rsidRDefault="00E53DCE" w:rsidP="006160CB">
            <w:pPr>
              <w:tabs>
                <w:tab w:val="clear" w:pos="1588"/>
                <w:tab w:val="left" w:pos="1560"/>
              </w:tabs>
              <w:spacing w:before="0"/>
              <w:rPr>
                <w:b/>
                <w:bCs/>
                <w:szCs w:val="24"/>
                <w:lang w:val="es-ES_tradnl"/>
              </w:rPr>
            </w:pPr>
          </w:p>
        </w:tc>
      </w:tr>
      <w:tr w:rsidR="00E53DCE" w:rsidRPr="00AB51DD" w14:paraId="021E7029" w14:textId="77777777" w:rsidTr="00306452">
        <w:trPr>
          <w:jc w:val="center"/>
        </w:trPr>
        <w:tc>
          <w:tcPr>
            <w:tcW w:w="9889" w:type="dxa"/>
            <w:gridSpan w:val="3"/>
            <w:shd w:val="clear" w:color="auto" w:fill="auto"/>
          </w:tcPr>
          <w:p w14:paraId="78D7993B" w14:textId="77777777" w:rsidR="00E53DCE" w:rsidRPr="00C10E34" w:rsidRDefault="00E53DCE" w:rsidP="00E53DCE">
            <w:pPr>
              <w:tabs>
                <w:tab w:val="clear" w:pos="1588"/>
                <w:tab w:val="left" w:pos="1560"/>
              </w:tabs>
              <w:spacing w:before="0"/>
              <w:jc w:val="left"/>
              <w:rPr>
                <w:szCs w:val="24"/>
                <w:lang w:val="es-ES_tradnl"/>
              </w:rPr>
            </w:pPr>
          </w:p>
        </w:tc>
      </w:tr>
      <w:tr w:rsidR="00E53DCE" w:rsidRPr="00AB51DD" w14:paraId="717C6075" w14:textId="77777777" w:rsidTr="00306452">
        <w:trPr>
          <w:jc w:val="center"/>
        </w:trPr>
        <w:tc>
          <w:tcPr>
            <w:tcW w:w="9889" w:type="dxa"/>
            <w:gridSpan w:val="3"/>
            <w:shd w:val="clear" w:color="auto" w:fill="auto"/>
          </w:tcPr>
          <w:p w14:paraId="64C194F5" w14:textId="77777777" w:rsidR="00E53DCE" w:rsidRPr="00C10E34" w:rsidRDefault="00E53DCE" w:rsidP="006160CB">
            <w:pPr>
              <w:spacing w:before="0"/>
              <w:jc w:val="left"/>
              <w:rPr>
                <w:b/>
                <w:bCs/>
                <w:szCs w:val="24"/>
                <w:lang w:val="es-ES_tradnl"/>
              </w:rPr>
            </w:pPr>
          </w:p>
        </w:tc>
      </w:tr>
    </w:tbl>
    <w:p w14:paraId="4B8D5719" w14:textId="77777777" w:rsidR="00293B16" w:rsidRPr="00C10E34" w:rsidRDefault="00293B16" w:rsidP="00293B16">
      <w:pPr>
        <w:rPr>
          <w:rFonts w:asciiTheme="minorHAnsi" w:eastAsia="SimSun" w:hAnsiTheme="minorHAnsi" w:cstheme="minorHAnsi"/>
          <w:szCs w:val="24"/>
          <w:lang w:val="es-ES_tradnl"/>
        </w:rPr>
      </w:pPr>
      <w:r w:rsidRPr="00C10E34">
        <w:rPr>
          <w:rFonts w:asciiTheme="minorHAnsi" w:hAnsiTheme="minorHAnsi"/>
          <w:szCs w:val="24"/>
          <w:lang w:val="es-ES_tradnl"/>
        </w:rPr>
        <w:t>La Conferencia Mundial de Radiocomunicaciones, Sharm el-Sheikh, 2019 (</w:t>
      </w:r>
      <w:r w:rsidRPr="00C10E34">
        <w:rPr>
          <w:rFonts w:asciiTheme="minorHAnsi" w:hAnsiTheme="minorHAnsi"/>
          <w:b/>
          <w:bCs/>
          <w:szCs w:val="24"/>
          <w:lang w:val="es-ES_tradnl"/>
        </w:rPr>
        <w:t>CMR-19</w:t>
      </w:r>
      <w:r w:rsidRPr="00C10E34">
        <w:rPr>
          <w:rFonts w:asciiTheme="minorHAnsi" w:hAnsiTheme="minorHAnsi"/>
          <w:szCs w:val="24"/>
          <w:lang w:val="es-ES_tradnl"/>
        </w:rPr>
        <w:t>), adoptó</w:t>
      </w:r>
      <w:r w:rsidRPr="00C10E34">
        <w:rPr>
          <w:lang w:val="es-ES_tradnl"/>
        </w:rPr>
        <w:t xml:space="preserve"> disposiciones que rigen la utilización de las bandas de frecuencias 17,7-19,7 GHz (espacio-Tierra) y 27,5-29,5 GHz (Tierra-espacio) para las comunicaciones de las estaciones terrenas en movimiento (ETEM) con estaciones espaciales geoestacionarias del servicio fijo por satélite (SFS), de conformidad con el número </w:t>
      </w:r>
      <w:r w:rsidRPr="00C10E34">
        <w:rPr>
          <w:b/>
          <w:bCs/>
          <w:lang w:val="es-ES_tradnl"/>
        </w:rPr>
        <w:t>5.517A</w:t>
      </w:r>
      <w:r w:rsidRPr="00C10E34">
        <w:rPr>
          <w:lang w:val="es-ES_tradnl"/>
        </w:rPr>
        <w:t xml:space="preserve"> [</w:t>
      </w:r>
      <w:r w:rsidRPr="00C10E34">
        <w:rPr>
          <w:b/>
          <w:bCs/>
          <w:lang w:val="es-ES_tradnl"/>
        </w:rPr>
        <w:t>5.A15</w:t>
      </w:r>
      <w:r w:rsidRPr="00C10E34">
        <w:rPr>
          <w:lang w:val="es-ES_tradnl"/>
        </w:rPr>
        <w:t xml:space="preserve">] del RR, que entrará en vigor </w:t>
      </w:r>
      <w:r w:rsidRPr="00C10E34">
        <w:rPr>
          <w:rFonts w:asciiTheme="minorHAnsi" w:hAnsiTheme="minorHAnsi"/>
          <w:szCs w:val="24"/>
          <w:lang w:val="es-ES_tradnl"/>
        </w:rPr>
        <w:t xml:space="preserve">el 1 de julio de 2020. Esa utilización está sujeta a la aplicación de la </w:t>
      </w:r>
      <w:r w:rsidRPr="00C10E34">
        <w:rPr>
          <w:lang w:val="es-ES_tradnl"/>
        </w:rPr>
        <w:t xml:space="preserve">Resolución </w:t>
      </w:r>
      <w:r w:rsidRPr="00C10E34">
        <w:rPr>
          <w:b/>
          <w:lang w:val="es-ES_tradnl"/>
        </w:rPr>
        <w:t>169 [COM5/6] (CMR-19)</w:t>
      </w:r>
      <w:r w:rsidRPr="00C10E34">
        <w:rPr>
          <w:bCs/>
          <w:lang w:val="es-ES_tradnl"/>
        </w:rPr>
        <w:t>.</w:t>
      </w:r>
    </w:p>
    <w:p w14:paraId="085337D2" w14:textId="77777777" w:rsidR="00293B16" w:rsidRPr="00C10E34" w:rsidRDefault="00293B16" w:rsidP="00293B16">
      <w:pPr>
        <w:rPr>
          <w:lang w:val="es-ES_tradnl"/>
        </w:rPr>
      </w:pPr>
      <w:r w:rsidRPr="00C10E34">
        <w:rPr>
          <w:lang w:val="es-ES_tradnl"/>
        </w:rPr>
        <w:t xml:space="preserve">El objeto de la presente Carta Circular es proporcionar información y orientación a las Administraciones sobre la presentación y el examen de las ETEM asociadas a estaciones espaciales geoestacionarias del SFS en las bandas de frecuencias </w:t>
      </w:r>
      <w:r w:rsidRPr="00C10E34">
        <w:rPr>
          <w:szCs w:val="24"/>
          <w:lang w:val="es-ES_tradnl"/>
        </w:rPr>
        <w:t>17,7-19,7 GHz (espacio-Tierra) y 27,5</w:t>
      </w:r>
      <w:r w:rsidRPr="00C10E34">
        <w:rPr>
          <w:szCs w:val="24"/>
          <w:lang w:val="es-ES_tradnl"/>
        </w:rPr>
        <w:noBreakHyphen/>
        <w:t>29,5</w:t>
      </w:r>
      <w:r w:rsidRPr="00C10E34">
        <w:rPr>
          <w:lang w:val="es-ES_tradnl"/>
        </w:rPr>
        <w:t> </w:t>
      </w:r>
      <w:r w:rsidRPr="00C10E34">
        <w:rPr>
          <w:szCs w:val="24"/>
          <w:lang w:val="es-ES_tradnl"/>
        </w:rPr>
        <w:t xml:space="preserve">GHz (Tierra-espacio) </w:t>
      </w:r>
      <w:r w:rsidRPr="00C10E34">
        <w:rPr>
          <w:lang w:val="es-ES_tradnl"/>
        </w:rPr>
        <w:t xml:space="preserve">a partir del </w:t>
      </w:r>
      <w:r w:rsidRPr="00C10E34">
        <w:rPr>
          <w:b/>
          <w:bCs/>
          <w:lang w:val="es-ES_tradnl"/>
        </w:rPr>
        <w:t>1 de julio de 2020</w:t>
      </w:r>
      <w:r w:rsidRPr="00C10E34">
        <w:rPr>
          <w:lang w:val="es-ES_tradnl"/>
        </w:rPr>
        <w:t>.</w:t>
      </w:r>
    </w:p>
    <w:p w14:paraId="7B912FAE" w14:textId="77777777" w:rsidR="00293B16" w:rsidRPr="00C10E34" w:rsidRDefault="00293B16" w:rsidP="00293B16">
      <w:pPr>
        <w:pStyle w:val="Headingb"/>
        <w:rPr>
          <w:lang w:val="es-ES_tradnl"/>
        </w:rPr>
      </w:pPr>
      <w:r w:rsidRPr="00C10E34">
        <w:rPr>
          <w:lang w:val="es-ES_tradnl"/>
        </w:rPr>
        <w:t>Consideraciones relacionadas con la presentación</w:t>
      </w:r>
      <w:r w:rsidR="0080548B">
        <w:rPr>
          <w:lang w:val="es-ES_tradnl"/>
        </w:rPr>
        <w:t xml:space="preserve"> de características de las ETEM</w:t>
      </w:r>
    </w:p>
    <w:p w14:paraId="0BDF0F7D" w14:textId="77777777" w:rsidR="00293B16" w:rsidRPr="00C10E34" w:rsidRDefault="00293B16" w:rsidP="00293B16">
      <w:pPr>
        <w:rPr>
          <w:lang w:val="es-ES_tradnl"/>
        </w:rPr>
      </w:pPr>
      <w:r w:rsidRPr="00C10E34">
        <w:rPr>
          <w:lang w:val="es-ES_tradnl"/>
        </w:rPr>
        <w:t xml:space="preserve">Con el fin de poder proceder al examen correspondiente respecto del Cuadro de atribución de frecuencias y de las condiciones previstas en la Resolución </w:t>
      </w:r>
      <w:r w:rsidRPr="00C10E34">
        <w:rPr>
          <w:b/>
          <w:lang w:val="es-ES_tradnl"/>
        </w:rPr>
        <w:t>169 [COM5/6] (CMR-19)</w:t>
      </w:r>
      <w:r w:rsidRPr="00C10E34">
        <w:rPr>
          <w:lang w:val="es-ES_tradnl"/>
        </w:rPr>
        <w:t xml:space="preserve"> y sus anexos, la Oficina ha definido las siguientes nuevas clases de estación para el Cuadro 3 en el Prefacio a la BR IFIC (Servicios Espaciales):</w:t>
      </w:r>
    </w:p>
    <w:p w14:paraId="0761E9D5" w14:textId="77777777" w:rsidR="00293B16" w:rsidRPr="00C10E34" w:rsidRDefault="00293B16" w:rsidP="00293B16">
      <w:pPr>
        <w:pStyle w:val="enumlev1"/>
        <w:rPr>
          <w:b/>
          <w:lang w:val="es-ES_tradnl"/>
        </w:rPr>
      </w:pPr>
      <w:r w:rsidRPr="00C10E34">
        <w:rPr>
          <w:lang w:val="es-ES_tradnl"/>
        </w:rPr>
        <w:t>‒</w:t>
      </w:r>
      <w:r w:rsidRPr="00C10E34">
        <w:rPr>
          <w:lang w:val="es-ES_tradnl"/>
        </w:rPr>
        <w:tab/>
        <w:t xml:space="preserve">UU – Estación terrena terrestre en movimiento que comunica con una estación espacial geoestacionaria en el servicio fijo por satélite en las bandas de frecuencias a las que se refiere la disposición número </w:t>
      </w:r>
      <w:r w:rsidRPr="00C10E34">
        <w:rPr>
          <w:b/>
          <w:lang w:val="es-ES_tradnl"/>
        </w:rPr>
        <w:t>5.517A [5.A15]</w:t>
      </w:r>
      <w:r w:rsidRPr="00C10E34">
        <w:rPr>
          <w:bCs/>
          <w:lang w:val="es-ES_tradnl"/>
        </w:rPr>
        <w:t>;</w:t>
      </w:r>
    </w:p>
    <w:p w14:paraId="5254456D" w14:textId="77777777" w:rsidR="00293B16" w:rsidRPr="00C10E34" w:rsidRDefault="00293B16" w:rsidP="00293B16">
      <w:pPr>
        <w:pStyle w:val="enumlev1"/>
        <w:rPr>
          <w:b/>
          <w:lang w:val="es-ES_tradnl"/>
        </w:rPr>
      </w:pPr>
      <w:r w:rsidRPr="00C10E34">
        <w:rPr>
          <w:lang w:val="es-ES_tradnl"/>
        </w:rPr>
        <w:t>‒</w:t>
      </w:r>
      <w:r w:rsidRPr="00C10E34">
        <w:rPr>
          <w:lang w:val="es-ES_tradnl"/>
        </w:rPr>
        <w:tab/>
        <w:t>UO – Estación terrena aeronáutica en movimiento que se comunica con una estación de órbita de satélite geoestacionario del servicio fijo por satélite en las bandas de frecuencia</w:t>
      </w:r>
      <w:r w:rsidR="0080548B">
        <w:rPr>
          <w:lang w:val="es-ES_tradnl"/>
        </w:rPr>
        <w:t>s</w:t>
      </w:r>
      <w:r w:rsidRPr="00C10E34">
        <w:rPr>
          <w:lang w:val="es-ES_tradnl"/>
        </w:rPr>
        <w:t xml:space="preserve"> mencionadas en el número </w:t>
      </w:r>
      <w:r w:rsidRPr="00C10E34">
        <w:rPr>
          <w:b/>
          <w:lang w:val="es-ES_tradnl"/>
        </w:rPr>
        <w:t>5.517A [5.A15]</w:t>
      </w:r>
      <w:r w:rsidRPr="00C10E34">
        <w:rPr>
          <w:bCs/>
          <w:lang w:val="es-ES_tradnl"/>
        </w:rPr>
        <w:t>;</w:t>
      </w:r>
    </w:p>
    <w:p w14:paraId="05F85785" w14:textId="77777777" w:rsidR="00293B16" w:rsidRPr="00C10E34" w:rsidRDefault="00293B16" w:rsidP="00293B16">
      <w:pPr>
        <w:pStyle w:val="enumlev1"/>
        <w:rPr>
          <w:b/>
          <w:lang w:val="es-ES_tradnl"/>
        </w:rPr>
      </w:pPr>
      <w:r w:rsidRPr="00C10E34">
        <w:rPr>
          <w:lang w:val="es-ES_tradnl"/>
        </w:rPr>
        <w:t>‒</w:t>
      </w:r>
      <w:r w:rsidRPr="00C10E34">
        <w:rPr>
          <w:lang w:val="es-ES_tradnl"/>
        </w:rPr>
        <w:tab/>
        <w:t xml:space="preserve">US – Estación terrena marítima en movimiento que comunica con una estación espacial geoestacionaria en el servicio fijo por satélite en las bandas de frecuencias a las que se refiere la disposición número </w:t>
      </w:r>
      <w:r w:rsidRPr="00C10E34">
        <w:rPr>
          <w:b/>
          <w:lang w:val="es-ES_tradnl"/>
        </w:rPr>
        <w:t>5.517A [5.A15]</w:t>
      </w:r>
      <w:r w:rsidRPr="00C10E34">
        <w:rPr>
          <w:bCs/>
          <w:lang w:val="es-ES_tradnl"/>
        </w:rPr>
        <w:t>.</w:t>
      </w:r>
    </w:p>
    <w:p w14:paraId="23423287" w14:textId="77777777" w:rsidR="00293B16" w:rsidRPr="00C10E34" w:rsidRDefault="00293B16" w:rsidP="000015B9">
      <w:pPr>
        <w:keepLines/>
        <w:rPr>
          <w:lang w:val="es-ES_tradnl"/>
        </w:rPr>
      </w:pPr>
      <w:r w:rsidRPr="00C10E34">
        <w:rPr>
          <w:lang w:val="es-ES_tradnl"/>
        </w:rPr>
        <w:lastRenderedPageBreak/>
        <w:t xml:space="preserve">Téngase en cuenta que el símbolo de clase de estación </w:t>
      </w:r>
      <w:r w:rsidR="000703B5" w:rsidRPr="00C10E34">
        <w:rPr>
          <w:b/>
          <w:bCs/>
          <w:lang w:val="es-ES_tradnl"/>
        </w:rPr>
        <w:t>«</w:t>
      </w:r>
      <w:r w:rsidRPr="00C10E34">
        <w:rPr>
          <w:b/>
          <w:bCs/>
          <w:lang w:val="es-ES_tradnl"/>
        </w:rPr>
        <w:t>UF</w:t>
      </w:r>
      <w:r w:rsidR="000703B5" w:rsidRPr="00C10E34">
        <w:rPr>
          <w:b/>
          <w:bCs/>
          <w:lang w:val="es-ES_tradnl"/>
        </w:rPr>
        <w:t>»</w:t>
      </w:r>
      <w:r w:rsidRPr="00C10E34">
        <w:rPr>
          <w:lang w:val="es-ES_tradnl"/>
        </w:rPr>
        <w:t xml:space="preserve"> para una estación terrena en movimiento asociada a una estación espacial en el SFS en las bandas de frecuencias enumeradas en el número </w:t>
      </w:r>
      <w:r w:rsidRPr="00C10E34">
        <w:rPr>
          <w:b/>
          <w:bCs/>
          <w:lang w:val="es-ES_tradnl"/>
        </w:rPr>
        <w:t xml:space="preserve">5.527A </w:t>
      </w:r>
      <w:r w:rsidRPr="00C10E34">
        <w:rPr>
          <w:lang w:val="es-ES_tradnl"/>
        </w:rPr>
        <w:t>(véase</w:t>
      </w:r>
      <w:r w:rsidRPr="00C10E34">
        <w:rPr>
          <w:b/>
          <w:bCs/>
          <w:lang w:val="es-ES_tradnl"/>
        </w:rPr>
        <w:t xml:space="preserve"> </w:t>
      </w:r>
      <w:r w:rsidRPr="00C10E34">
        <w:rPr>
          <w:lang w:val="es-ES_tradnl"/>
        </w:rPr>
        <w:t xml:space="preserve">la Carta Circular </w:t>
      </w:r>
      <w:r w:rsidRPr="00C10E34">
        <w:rPr>
          <w:b/>
          <w:bCs/>
          <w:lang w:val="es-ES_tradnl"/>
        </w:rPr>
        <w:t xml:space="preserve">CR/393 </w:t>
      </w:r>
      <w:r w:rsidRPr="00C10E34">
        <w:rPr>
          <w:lang w:val="es-ES_tradnl"/>
        </w:rPr>
        <w:t xml:space="preserve">de 18 de marzo de 2016) no puede utilizarse para las asignaciones de frecuencias que se notifiquen con arreglo a la Resolución </w:t>
      </w:r>
      <w:r w:rsidRPr="00C10E34">
        <w:rPr>
          <w:b/>
          <w:bCs/>
          <w:lang w:val="es-ES_tradnl"/>
        </w:rPr>
        <w:t>169 [COM5/6] (CMR</w:t>
      </w:r>
      <w:r w:rsidR="000015B9" w:rsidRPr="00C10E34">
        <w:rPr>
          <w:b/>
          <w:bCs/>
          <w:lang w:val="es-ES_tradnl"/>
        </w:rPr>
        <w:noBreakHyphen/>
      </w:r>
      <w:r w:rsidRPr="00C10E34">
        <w:rPr>
          <w:b/>
          <w:bCs/>
          <w:lang w:val="es-ES_tradnl"/>
        </w:rPr>
        <w:t>19)</w:t>
      </w:r>
      <w:r w:rsidRPr="00C10E34">
        <w:rPr>
          <w:lang w:val="es-ES_tradnl"/>
        </w:rPr>
        <w:t>.</w:t>
      </w:r>
    </w:p>
    <w:p w14:paraId="3D993B23" w14:textId="77777777" w:rsidR="00293B16" w:rsidRPr="00C10E34" w:rsidRDefault="00293B16" w:rsidP="00293B16">
      <w:pPr>
        <w:rPr>
          <w:lang w:val="es-ES_tradnl"/>
        </w:rPr>
      </w:pPr>
      <w:r w:rsidRPr="00C10E34">
        <w:rPr>
          <w:lang w:val="es-ES_tradnl"/>
        </w:rPr>
        <w:t xml:space="preserve">El Anexo 2 del Apéndice </w:t>
      </w:r>
      <w:r w:rsidRPr="00C10E34">
        <w:rPr>
          <w:b/>
          <w:lang w:val="es-ES_tradnl"/>
        </w:rPr>
        <w:t xml:space="preserve">4 </w:t>
      </w:r>
      <w:r w:rsidRPr="00C10E34">
        <w:rPr>
          <w:lang w:val="es-ES_tradnl"/>
        </w:rPr>
        <w:t>también ha sido revisado por la CMR-19, con los siguientes compromisos adicionales necesarios para las ETEM que funcionan en las bandas de frecuencias 17,7-19,7 GHz (espacio-Tierra) y 27,5-29,5 GHz (Tierra-espacio):</w:t>
      </w:r>
    </w:p>
    <w:p w14:paraId="3A7E7C3E" w14:textId="77777777" w:rsidR="00293B16" w:rsidRPr="00C10E34" w:rsidRDefault="00293B16" w:rsidP="00293B16">
      <w:pPr>
        <w:pStyle w:val="enumlev1"/>
        <w:rPr>
          <w:b/>
          <w:bCs/>
          <w:lang w:val="es-ES_tradnl"/>
        </w:rPr>
      </w:pPr>
      <w:r w:rsidRPr="00C10E34">
        <w:rPr>
          <w:lang w:val="es-ES_tradnl"/>
        </w:rPr>
        <w:t>‒</w:t>
      </w:r>
      <w:r w:rsidRPr="00C10E34">
        <w:rPr>
          <w:lang w:val="es-ES_tradnl"/>
        </w:rPr>
        <w:tab/>
      </w:r>
      <w:r w:rsidRPr="00C10E34">
        <w:rPr>
          <w:b/>
          <w:lang w:val="es-ES_tradnl"/>
        </w:rPr>
        <w:t>A.20.a</w:t>
      </w:r>
      <w:r w:rsidRPr="00C10E34">
        <w:rPr>
          <w:sz w:val="18"/>
          <w:szCs w:val="18"/>
          <w:lang w:val="es-ES_tradnl"/>
        </w:rPr>
        <w:t xml:space="preserve"> – </w:t>
      </w:r>
      <w:r w:rsidRPr="00C10E34">
        <w:rPr>
          <w:szCs w:val="24"/>
          <w:lang w:val="es-ES_tradnl"/>
        </w:rPr>
        <w:t xml:space="preserve">El compromiso de que el funcionamiento de las ETEM será conforme con el Reglamento de Radiocomunicaciones y la Resolución </w:t>
      </w:r>
      <w:r w:rsidRPr="00C10E34">
        <w:rPr>
          <w:b/>
          <w:bCs/>
          <w:lang w:val="es-ES_tradnl"/>
        </w:rPr>
        <w:t>169 [COM5/6] (CMR-19)</w:t>
      </w:r>
      <w:r w:rsidRPr="00C10E34">
        <w:rPr>
          <w:lang w:val="es-ES_tradnl"/>
        </w:rPr>
        <w:t>;</w:t>
      </w:r>
    </w:p>
    <w:p w14:paraId="217117CA" w14:textId="77777777" w:rsidR="00293B16" w:rsidRPr="00C10E34" w:rsidRDefault="00293B16" w:rsidP="00293B16">
      <w:pPr>
        <w:pStyle w:val="enumlev1"/>
        <w:rPr>
          <w:rFonts w:asciiTheme="minorHAnsi" w:hAnsiTheme="minorHAnsi" w:cstheme="minorHAnsi"/>
          <w:szCs w:val="24"/>
          <w:lang w:val="es-ES_tradnl"/>
        </w:rPr>
      </w:pPr>
      <w:r w:rsidRPr="00C10E34">
        <w:rPr>
          <w:lang w:val="es-ES_tradnl"/>
        </w:rPr>
        <w:t>‒</w:t>
      </w:r>
      <w:r w:rsidRPr="00C10E34">
        <w:rPr>
          <w:lang w:val="es-ES_tradnl"/>
        </w:rPr>
        <w:tab/>
      </w:r>
      <w:r w:rsidRPr="00C10E34">
        <w:rPr>
          <w:b/>
          <w:lang w:val="es-ES_tradnl"/>
        </w:rPr>
        <w:t>A.21.a</w:t>
      </w:r>
      <w:r w:rsidRPr="00C10E34">
        <w:rPr>
          <w:sz w:val="18"/>
          <w:szCs w:val="18"/>
          <w:lang w:val="es-ES_tradnl"/>
        </w:rPr>
        <w:t xml:space="preserve"> – </w:t>
      </w:r>
      <w:r w:rsidRPr="00C10E34">
        <w:rPr>
          <w:rFonts w:asciiTheme="minorHAnsi" w:hAnsiTheme="minorHAnsi"/>
          <w:szCs w:val="24"/>
          <w:lang w:val="es-ES_tradnl"/>
        </w:rPr>
        <w:t xml:space="preserve">El compromiso de que, al recibir un informe de interferencia inaceptable, la administración notificante de la red del SFS OSG con la que se comunican las ETEM seguirá los procedimientos previstos en el </w:t>
      </w:r>
      <w:r w:rsidRPr="00C10E34">
        <w:rPr>
          <w:rFonts w:asciiTheme="minorHAnsi" w:hAnsiTheme="minorHAnsi"/>
          <w:i/>
          <w:iCs/>
          <w:szCs w:val="24"/>
          <w:lang w:val="es-ES_tradnl"/>
        </w:rPr>
        <w:t>resuelve</w:t>
      </w:r>
      <w:r w:rsidRPr="00C10E34">
        <w:rPr>
          <w:rFonts w:asciiTheme="minorHAnsi" w:hAnsiTheme="minorHAnsi"/>
          <w:szCs w:val="24"/>
          <w:lang w:val="es-ES_tradnl"/>
        </w:rPr>
        <w:t xml:space="preserve"> 5 de la Resolución </w:t>
      </w:r>
      <w:r w:rsidRPr="00C10E34">
        <w:rPr>
          <w:rFonts w:asciiTheme="minorHAnsi" w:hAnsiTheme="minorHAnsi"/>
          <w:b/>
          <w:bCs/>
          <w:szCs w:val="24"/>
          <w:lang w:val="es-ES_tradnl"/>
        </w:rPr>
        <w:t>169 [COM5/6] (CMR-19)</w:t>
      </w:r>
      <w:r w:rsidRPr="00C10E34">
        <w:rPr>
          <w:lang w:val="es-ES_tradnl"/>
        </w:rPr>
        <w:t>;</w:t>
      </w:r>
    </w:p>
    <w:p w14:paraId="0AAA5BE1" w14:textId="77777777" w:rsidR="00293B16" w:rsidRPr="00C10E34" w:rsidRDefault="00293B16" w:rsidP="00293B16">
      <w:pPr>
        <w:pStyle w:val="enumlev1"/>
        <w:rPr>
          <w:rFonts w:asciiTheme="minorHAnsi" w:hAnsiTheme="minorHAnsi" w:cstheme="minorHAnsi"/>
          <w:szCs w:val="24"/>
          <w:lang w:val="es-ES_tradnl"/>
        </w:rPr>
      </w:pPr>
      <w:r w:rsidRPr="00C10E34">
        <w:rPr>
          <w:lang w:val="es-ES_tradnl"/>
        </w:rPr>
        <w:t>‒</w:t>
      </w:r>
      <w:r w:rsidRPr="00C10E34">
        <w:rPr>
          <w:lang w:val="es-ES_tradnl"/>
        </w:rPr>
        <w:tab/>
      </w:r>
      <w:r w:rsidRPr="00C10E34">
        <w:rPr>
          <w:b/>
          <w:lang w:val="es-ES_tradnl"/>
        </w:rPr>
        <w:t xml:space="preserve">A.22.a </w:t>
      </w:r>
      <w:r w:rsidRPr="00C10E34">
        <w:rPr>
          <w:sz w:val="18"/>
          <w:szCs w:val="18"/>
          <w:lang w:val="es-ES_tradnl"/>
        </w:rPr>
        <w:t xml:space="preserve">– </w:t>
      </w:r>
      <w:r w:rsidRPr="00C10E34">
        <w:rPr>
          <w:rFonts w:asciiTheme="minorHAnsi" w:hAnsiTheme="minorHAnsi"/>
          <w:szCs w:val="24"/>
          <w:lang w:val="es-ES_tradnl"/>
        </w:rPr>
        <w:t xml:space="preserve">El compromiso de que las ETEM aeronáuticas serán conformes con los límites de dfp en la superficie de la Tierra especificados en la Parte II del Anexo 2 a la Resolución </w:t>
      </w:r>
      <w:r w:rsidRPr="00C10E34">
        <w:rPr>
          <w:rFonts w:asciiTheme="minorHAnsi" w:hAnsiTheme="minorHAnsi"/>
          <w:b/>
          <w:bCs/>
          <w:szCs w:val="24"/>
          <w:lang w:val="es-ES_tradnl"/>
        </w:rPr>
        <w:t>169 [COM5/6] (CMR-19)</w:t>
      </w:r>
      <w:r w:rsidRPr="00C10E34">
        <w:rPr>
          <w:lang w:val="es-ES_tradnl"/>
        </w:rPr>
        <w:t>.</w:t>
      </w:r>
    </w:p>
    <w:p w14:paraId="449382C2" w14:textId="77777777" w:rsidR="00293B16" w:rsidRPr="00C10E34" w:rsidRDefault="00293B16" w:rsidP="00293B16">
      <w:pPr>
        <w:rPr>
          <w:lang w:val="es-ES_tradnl"/>
        </w:rPr>
      </w:pPr>
      <w:r w:rsidRPr="00C10E34">
        <w:rPr>
          <w:lang w:val="es-ES_tradnl"/>
        </w:rPr>
        <w:t xml:space="preserve">Sírvase observar que los compromisos anteriores, según sea necesario, se consignarán junto con la presentación de la notificación de las ETEM. La Oficina añadirá campos de datos en el formato de la base de datos SNS, de manera que sea posible consignar estos compromisos con SpaceCap. La Oficina anunciará la disponibilidad del formato de la base de datos y del </w:t>
      </w:r>
      <w:r w:rsidRPr="0080548B">
        <w:rPr>
          <w:i/>
          <w:lang w:val="es-ES_tradnl"/>
        </w:rPr>
        <w:t>software</w:t>
      </w:r>
      <w:r w:rsidRPr="00C10E34">
        <w:rPr>
          <w:lang w:val="es-ES_tradnl"/>
        </w:rPr>
        <w:t xml:space="preserve"> correspondiente en una Carta Circular específica. En caso de que las Administraciones no puedan consignar estos compromisos en SpaceCap, las declaraciones de compromisos deberán presentarse en un anexo a la notificación.</w:t>
      </w:r>
    </w:p>
    <w:p w14:paraId="6A0C12E8" w14:textId="77777777" w:rsidR="00293B16" w:rsidRPr="00C10E34" w:rsidRDefault="00293B16" w:rsidP="00293B16">
      <w:pPr>
        <w:rPr>
          <w:lang w:val="es-ES_tradnl"/>
        </w:rPr>
      </w:pPr>
      <w:r w:rsidRPr="00C10E34">
        <w:rPr>
          <w:lang w:val="es-ES_tradnl"/>
        </w:rPr>
        <w:t>La Oficina s</w:t>
      </w:r>
      <w:r w:rsidR="0080548B">
        <w:rPr>
          <w:lang w:val="es-ES_tradnl"/>
        </w:rPr>
        <w:t>ó</w:t>
      </w:r>
      <w:r w:rsidRPr="00C10E34">
        <w:rPr>
          <w:lang w:val="es-ES_tradnl"/>
        </w:rPr>
        <w:t>lo considerará admisibles las características de las ETEM en las bandas de frecuencias 17,7-19,7 GHz y 27,5-29,5 GHz si se incluyen en la comunicación de una modificación de una notificación previamente presentada. Toda publicación anticipada o solicitud de coordinación relacionada con las referidas ETEM que se presente a la Oficina no se considerará admisible y se devolverá a la administración notificante.</w:t>
      </w:r>
    </w:p>
    <w:p w14:paraId="6C3E4497" w14:textId="77777777" w:rsidR="00293B16" w:rsidRPr="00C10E34" w:rsidRDefault="00293B16" w:rsidP="00293B16">
      <w:pPr>
        <w:rPr>
          <w:lang w:val="es-ES_tradnl"/>
        </w:rPr>
      </w:pPr>
      <w:r w:rsidRPr="00C10E34">
        <w:rPr>
          <w:lang w:val="es-ES_tradnl"/>
        </w:rPr>
        <w:t xml:space="preserve">Habida cuenta de la fecha provisional de entrada en vigor del número </w:t>
      </w:r>
      <w:r w:rsidRPr="00C10E34">
        <w:rPr>
          <w:b/>
          <w:lang w:val="es-ES_tradnl"/>
        </w:rPr>
        <w:t>5.517A</w:t>
      </w:r>
      <w:r w:rsidRPr="00C10E34">
        <w:rPr>
          <w:lang w:val="es-ES_tradnl"/>
        </w:rPr>
        <w:t xml:space="preserve"> [</w:t>
      </w:r>
      <w:r w:rsidRPr="00C10E34">
        <w:rPr>
          <w:b/>
          <w:bCs/>
          <w:lang w:val="es-ES_tradnl"/>
        </w:rPr>
        <w:t>5.A15</w:t>
      </w:r>
      <w:r w:rsidRPr="00C10E34">
        <w:rPr>
          <w:lang w:val="es-ES_tradnl"/>
        </w:rPr>
        <w:t xml:space="preserve">] que figura en la Resolución </w:t>
      </w:r>
      <w:r w:rsidRPr="00C10E34">
        <w:rPr>
          <w:b/>
          <w:lang w:val="es-ES_tradnl"/>
        </w:rPr>
        <w:t>99</w:t>
      </w:r>
      <w:r w:rsidRPr="00C10E34">
        <w:rPr>
          <w:lang w:val="es-ES_tradnl"/>
        </w:rPr>
        <w:t xml:space="preserve"> </w:t>
      </w:r>
      <w:r w:rsidRPr="00C10E34">
        <w:rPr>
          <w:b/>
          <w:bCs/>
          <w:lang w:val="es-ES_tradnl"/>
        </w:rPr>
        <w:t>(Rev.CMR-19)</w:t>
      </w:r>
      <w:r w:rsidRPr="00C10E34">
        <w:rPr>
          <w:lang w:val="es-ES_tradnl"/>
        </w:rPr>
        <w:t xml:space="preserve">, la información de notificación que contenga características de las ETEM en las bandas de frecuencias 17,7-19,7 GHz y 27,5-29,5 GHz no será recibida por la Oficina antes del 1 de julio de 2020. Toda información de notificación recibida antes de esa fecha será devuelta a la administración notificante. </w:t>
      </w:r>
    </w:p>
    <w:p w14:paraId="2BDA4DCB" w14:textId="77777777" w:rsidR="00293B16" w:rsidRPr="00C10E34" w:rsidRDefault="00293B16" w:rsidP="00293B16">
      <w:pPr>
        <w:rPr>
          <w:lang w:val="es-ES_tradnl"/>
        </w:rPr>
      </w:pPr>
      <w:r w:rsidRPr="00C10E34">
        <w:rPr>
          <w:lang w:val="es-ES_tradnl"/>
        </w:rPr>
        <w:t>Antes de presentar la información de notificación de características de las ETEM, la administración notificante debe haber remitido a la Oficina una notificación que contenga las características de las estaciones terrenas típicas asociadas a la red de satélites con la que se comuniquen estas ETEM.</w:t>
      </w:r>
    </w:p>
    <w:p w14:paraId="70E71ED0" w14:textId="77777777" w:rsidR="00293B16" w:rsidRPr="00C10E34" w:rsidRDefault="00293B16" w:rsidP="00293B16">
      <w:pPr>
        <w:pStyle w:val="Headingb"/>
        <w:rPr>
          <w:lang w:val="es-ES_tradnl"/>
        </w:rPr>
      </w:pPr>
      <w:r w:rsidRPr="00C10E34">
        <w:rPr>
          <w:lang w:val="es-ES_tradnl"/>
        </w:rPr>
        <w:t xml:space="preserve">Consideraciones relativas al examen de </w:t>
      </w:r>
      <w:r w:rsidR="0080548B">
        <w:rPr>
          <w:lang w:val="es-ES_tradnl"/>
        </w:rPr>
        <w:t>las características de las ETEM</w:t>
      </w:r>
    </w:p>
    <w:p w14:paraId="6D9608FF" w14:textId="77777777" w:rsidR="00293B16" w:rsidRPr="00C10E34" w:rsidRDefault="00293B16" w:rsidP="00293B16">
      <w:pPr>
        <w:rPr>
          <w:lang w:val="es-ES_tradnl"/>
        </w:rPr>
      </w:pPr>
      <w:r w:rsidRPr="00C10E34">
        <w:rPr>
          <w:lang w:val="es-ES_tradnl"/>
        </w:rPr>
        <w:t xml:space="preserve">En aplicación de los </w:t>
      </w:r>
      <w:r w:rsidRPr="00C10E34">
        <w:rPr>
          <w:i/>
          <w:iCs/>
          <w:lang w:val="es-ES_tradnl"/>
        </w:rPr>
        <w:t xml:space="preserve">resuelve </w:t>
      </w:r>
      <w:r w:rsidRPr="00C10E34">
        <w:rPr>
          <w:lang w:val="es-ES_tradnl"/>
        </w:rPr>
        <w:t>1.1.4</w:t>
      </w:r>
      <w:r w:rsidRPr="0080548B">
        <w:rPr>
          <w:lang w:val="es-ES_tradnl"/>
        </w:rPr>
        <w:t>bis</w:t>
      </w:r>
      <w:r w:rsidRPr="00C10E34">
        <w:rPr>
          <w:lang w:val="es-ES_tradnl"/>
        </w:rPr>
        <w:t xml:space="preserve"> y 1.1.1 de</w:t>
      </w:r>
      <w:r w:rsidRPr="00C10E34">
        <w:rPr>
          <w:i/>
          <w:iCs/>
          <w:lang w:val="es-ES_tradnl"/>
        </w:rPr>
        <w:t xml:space="preserve"> </w:t>
      </w:r>
      <w:r w:rsidRPr="00C10E34">
        <w:rPr>
          <w:lang w:val="es-ES_tradnl"/>
        </w:rPr>
        <w:t xml:space="preserve">la Resolución </w:t>
      </w:r>
      <w:r w:rsidRPr="00C10E34">
        <w:rPr>
          <w:b/>
          <w:bCs/>
          <w:lang w:val="es-ES_tradnl"/>
        </w:rPr>
        <w:t>169 [COM5/6] (CMR-19)</w:t>
      </w:r>
      <w:r w:rsidRPr="00C10E34">
        <w:rPr>
          <w:lang w:val="es-ES_tradnl"/>
        </w:rPr>
        <w:t xml:space="preserve">, una vez recibida la información de notificación indicada </w:t>
      </w:r>
      <w:r w:rsidRPr="00C10E34">
        <w:rPr>
          <w:i/>
          <w:iCs/>
          <w:lang w:val="es-ES_tradnl"/>
        </w:rPr>
        <w:t>supra</w:t>
      </w:r>
      <w:r w:rsidRPr="00C10E34">
        <w:rPr>
          <w:lang w:val="es-ES_tradnl"/>
        </w:rPr>
        <w:t xml:space="preserve">, la Oficina la examinará, cerciorándose de que las características de las ETEM estén comprendidas en los límites de las estaciones terrenas típicas asociadas a la red de satélites con la que se comuniquen estas ETEM, y publicará el resultado de ese examen en la BR IFIC. La Oficina, de conformidad con el párrafo 2.3 de la Regla de Procedimiento relativa al número </w:t>
      </w:r>
      <w:r w:rsidRPr="00C10E34">
        <w:rPr>
          <w:b/>
          <w:bCs/>
          <w:lang w:val="es-ES_tradnl"/>
        </w:rPr>
        <w:t>9.27</w:t>
      </w:r>
      <w:r w:rsidRPr="00C10E34">
        <w:rPr>
          <w:lang w:val="es-ES_tradnl"/>
        </w:rPr>
        <w:t xml:space="preserve"> del RR, determinará si las características de las ETEM están comprendidas en los límites de las estaciones terrenas típicas asociadas a la red de satélites con la que se comuniquen estas ETEM. En caso de que ese examen indique que los requisitos de </w:t>
      </w:r>
      <w:r w:rsidRPr="00C10E34">
        <w:rPr>
          <w:color w:val="000000"/>
          <w:lang w:val="es-ES_tradnl"/>
        </w:rPr>
        <w:t xml:space="preserve">coordinación de las asignaciones de frecuencia de las ETEM afectan a alguna red adicional, dichas asignaciones de </w:t>
      </w:r>
      <w:r w:rsidRPr="00C10E34">
        <w:rPr>
          <w:color w:val="000000"/>
          <w:lang w:val="es-ES_tradnl"/>
        </w:rPr>
        <w:lastRenderedPageBreak/>
        <w:t xml:space="preserve">frecuencia se devolverán a la administración notificante acompañadas de una conclusión desfavorable con arreglo al número </w:t>
      </w:r>
      <w:r w:rsidRPr="00C10E34">
        <w:rPr>
          <w:b/>
          <w:bCs/>
          <w:color w:val="000000"/>
          <w:lang w:val="es-ES_tradnl"/>
        </w:rPr>
        <w:t>11.32</w:t>
      </w:r>
      <w:r w:rsidRPr="00C10E34">
        <w:rPr>
          <w:color w:val="000000"/>
          <w:lang w:val="es-ES_tradnl"/>
        </w:rPr>
        <w:t xml:space="preserve">. </w:t>
      </w:r>
    </w:p>
    <w:p w14:paraId="2FE40D28" w14:textId="77777777" w:rsidR="00293B16" w:rsidRPr="00C10E34" w:rsidRDefault="00293B16" w:rsidP="00293B16">
      <w:pPr>
        <w:rPr>
          <w:lang w:val="es-ES_tradnl"/>
        </w:rPr>
      </w:pPr>
      <w:r w:rsidRPr="00C10E34">
        <w:rPr>
          <w:lang w:val="es-ES_tradnl"/>
        </w:rPr>
        <w:t xml:space="preserve">Además, por lo que se refiere a las ETEM aeronáuticas, la Oficina examinará las características de las ETEM aeronáuticas con respecto a la conformidad con los límites de dfp en la superficie de la Tierra especificados en la Parte II del Anexo 2 de la Resolución </w:t>
      </w:r>
      <w:r w:rsidRPr="00C10E34">
        <w:rPr>
          <w:b/>
          <w:lang w:val="es-ES_tradnl"/>
        </w:rPr>
        <w:t>169 [COM5/6] (CMR-19)</w:t>
      </w:r>
      <w:r w:rsidRPr="00C10E34">
        <w:rPr>
          <w:lang w:val="es-ES_tradnl"/>
        </w:rPr>
        <w:t xml:space="preserve">. </w:t>
      </w:r>
    </w:p>
    <w:p w14:paraId="5AD98E5F" w14:textId="77777777" w:rsidR="00293B16" w:rsidRPr="00C10E34" w:rsidRDefault="00293B16" w:rsidP="00293B16">
      <w:pPr>
        <w:rPr>
          <w:lang w:val="es-ES_tradnl"/>
        </w:rPr>
      </w:pPr>
      <w:r w:rsidRPr="00C10E34">
        <w:rPr>
          <w:lang w:val="es-ES_tradnl"/>
        </w:rPr>
        <w:t xml:space="preserve">Como la Oficina no puede actualmente examinar las ETEM aeronáuticas con respecto a la conformidad con los límites de dfp en la superficie de la Tierra especificados </w:t>
      </w:r>
      <w:r w:rsidRPr="00C10E34">
        <w:rPr>
          <w:i/>
          <w:iCs/>
          <w:lang w:val="es-ES_tradnl"/>
        </w:rPr>
        <w:t>supra</w:t>
      </w:r>
      <w:r w:rsidRPr="00C10E34">
        <w:rPr>
          <w:lang w:val="es-ES_tradnl"/>
        </w:rPr>
        <w:t xml:space="preserve">, la administración notificante remitirá a la Oficina su compromiso de que las ETEM aeronáuticas cumplen esos límites (véase el </w:t>
      </w:r>
      <w:r w:rsidRPr="00C10E34">
        <w:rPr>
          <w:i/>
          <w:iCs/>
          <w:lang w:val="es-ES_tradnl"/>
        </w:rPr>
        <w:t>resuelve</w:t>
      </w:r>
      <w:r w:rsidRPr="00C10E34">
        <w:rPr>
          <w:lang w:val="es-ES_tradnl"/>
        </w:rPr>
        <w:t xml:space="preserve"> 7 de la </w:t>
      </w:r>
      <w:r w:rsidRPr="00C10E34">
        <w:rPr>
          <w:bCs/>
          <w:lang w:val="es-ES_tradnl"/>
        </w:rPr>
        <w:t>Resolución</w:t>
      </w:r>
      <w:r w:rsidRPr="00C10E34">
        <w:rPr>
          <w:b/>
          <w:lang w:val="es-ES_tradnl"/>
        </w:rPr>
        <w:t xml:space="preserve"> 169 [COM5/6] (CMR-19)</w:t>
      </w:r>
      <w:r w:rsidRPr="00C10E34">
        <w:rPr>
          <w:lang w:val="es-ES_tradnl"/>
        </w:rPr>
        <w:t>).</w:t>
      </w:r>
    </w:p>
    <w:p w14:paraId="6737C05B" w14:textId="77777777" w:rsidR="00293B16" w:rsidRPr="00C10E34" w:rsidRDefault="00293B16" w:rsidP="00293B16">
      <w:pPr>
        <w:rPr>
          <w:lang w:val="es-ES_tradnl"/>
        </w:rPr>
      </w:pPr>
      <w:r w:rsidRPr="00C10E34">
        <w:rPr>
          <w:lang w:val="es-ES_tradnl"/>
        </w:rPr>
        <w:t>Al recibir este compromiso, la Oficina formulará una conclusión favorable condicional en virtud del número </w:t>
      </w:r>
      <w:r w:rsidRPr="00C10E34">
        <w:rPr>
          <w:b/>
          <w:lang w:val="es-ES_tradnl"/>
        </w:rPr>
        <w:t>11.31</w:t>
      </w:r>
      <w:r w:rsidRPr="00C10E34">
        <w:rPr>
          <w:lang w:val="es-ES_tradnl"/>
        </w:rPr>
        <w:t xml:space="preserve"> respecto de los límites de la dfp; de lo contrario, deberá formular una conclusión desfavorable (véase el </w:t>
      </w:r>
      <w:r w:rsidRPr="00C10E34">
        <w:rPr>
          <w:i/>
          <w:iCs/>
          <w:lang w:val="es-ES_tradnl"/>
        </w:rPr>
        <w:t>resuelve</w:t>
      </w:r>
      <w:r w:rsidRPr="00C10E34">
        <w:rPr>
          <w:lang w:val="es-ES_tradnl"/>
        </w:rPr>
        <w:t xml:space="preserve"> 8 de la </w:t>
      </w:r>
      <w:r w:rsidRPr="00C10E34">
        <w:rPr>
          <w:bCs/>
          <w:lang w:val="es-ES_tradnl"/>
        </w:rPr>
        <w:t>Resolución</w:t>
      </w:r>
      <w:r w:rsidRPr="00C10E34">
        <w:rPr>
          <w:b/>
          <w:lang w:val="es-ES_tradnl"/>
        </w:rPr>
        <w:t xml:space="preserve"> 169 [COM5/6] (CMR-19)</w:t>
      </w:r>
      <w:r w:rsidRPr="00C10E34">
        <w:rPr>
          <w:lang w:val="es-ES_tradnl"/>
        </w:rPr>
        <w:t>).</w:t>
      </w:r>
    </w:p>
    <w:p w14:paraId="60DB47D6" w14:textId="77777777" w:rsidR="00293B16" w:rsidRPr="00C10E34" w:rsidRDefault="00293B16" w:rsidP="00293B16">
      <w:pPr>
        <w:rPr>
          <w:lang w:val="es-ES_tradnl"/>
        </w:rPr>
      </w:pPr>
      <w:r w:rsidRPr="00C10E34">
        <w:rPr>
          <w:lang w:val="es-ES_tradnl"/>
        </w:rPr>
        <w:t xml:space="preserve">El Sector de Radiocomunicaciones de la UIT (UIT-R) realizará, con carácter urgente, los estudios pertinentes para determinar una metodología con respecto al examen de las características de las ETEM aeronáuticas en cuanto a la conformidad con los límites de dfp en la superficie de la Tierra especificados en la Parte II del Anexo 2 de la Resolución </w:t>
      </w:r>
      <w:r w:rsidRPr="00C10E34">
        <w:rPr>
          <w:b/>
          <w:lang w:val="es-ES_tradnl"/>
        </w:rPr>
        <w:t>169 [COM5/6] (CMR-19)</w:t>
      </w:r>
      <w:r w:rsidRPr="00C10E34">
        <w:rPr>
          <w:lang w:val="es-ES_tradnl"/>
        </w:rPr>
        <w:t xml:space="preserve">. Una vez que se disponga del </w:t>
      </w:r>
      <w:r w:rsidRPr="0080548B">
        <w:rPr>
          <w:i/>
          <w:lang w:val="es-ES_tradnl"/>
        </w:rPr>
        <w:t>software</w:t>
      </w:r>
      <w:r w:rsidRPr="00C10E34">
        <w:rPr>
          <w:lang w:val="es-ES_tradnl"/>
        </w:rPr>
        <w:t xml:space="preserve"> que aplique la metodología para examinar las características de las ETEM aeronáuticas en cuanto a la conformidad con los límites de dfp en la superficie de la Tierra y se informe en consecuencia a las administraciones mediante una Carta Circular específica, la Oficina procederá a revisar sus conclusiones con arreglo al número </w:t>
      </w:r>
      <w:r w:rsidRPr="00C10E34">
        <w:rPr>
          <w:b/>
          <w:lang w:val="es-ES_tradnl"/>
        </w:rPr>
        <w:t>11.31</w:t>
      </w:r>
      <w:r w:rsidRPr="00C10E34">
        <w:rPr>
          <w:lang w:val="es-ES_tradnl"/>
        </w:rPr>
        <w:t>.</w:t>
      </w:r>
    </w:p>
    <w:p w14:paraId="575FC258" w14:textId="77777777" w:rsidR="00293B16" w:rsidRPr="00C10E34" w:rsidRDefault="00293B16" w:rsidP="00293B16">
      <w:pPr>
        <w:rPr>
          <w:b/>
          <w:bCs/>
          <w:lang w:val="es-ES_tradnl"/>
        </w:rPr>
      </w:pPr>
      <w:r w:rsidRPr="00C10E34">
        <w:rPr>
          <w:lang w:val="es-ES_tradnl"/>
        </w:rPr>
        <w:t>Se insta a las administraciones a que tomen nota de toda la información anterior cuando presenten notificaciones a la Oficina respecto de las ETEM que comunican con estaciones espaciales OSG en el SFS en las bandas de frecuencias 17,7-19,7 GHz y 27,5-29,5 GHz.</w:t>
      </w:r>
    </w:p>
    <w:p w14:paraId="0FAF8F80" w14:textId="77777777" w:rsidR="00293B16" w:rsidRPr="00C10E34" w:rsidRDefault="00293B16" w:rsidP="00293B16">
      <w:pPr>
        <w:rPr>
          <w:lang w:val="es-ES_tradnl"/>
        </w:rPr>
      </w:pPr>
      <w:bookmarkStart w:id="0" w:name="_Hlk42083242"/>
      <w:r w:rsidRPr="00C10E34">
        <w:rPr>
          <w:lang w:val="es-ES_tradnl"/>
        </w:rPr>
        <w:t xml:space="preserve">La versión actualizada del </w:t>
      </w:r>
      <w:r w:rsidRPr="00C10E34">
        <w:rPr>
          <w:b/>
          <w:bCs/>
          <w:lang w:val="es-ES_tradnl"/>
        </w:rPr>
        <w:t>Cuadro 3</w:t>
      </w:r>
      <w:r w:rsidRPr="00C10E34">
        <w:rPr>
          <w:lang w:val="es-ES_tradnl"/>
        </w:rPr>
        <w:t xml:space="preserve"> del Prefacio estará disponible para su consulta en línea en la dirección </w:t>
      </w:r>
      <w:hyperlink r:id="rId8" w:history="1">
        <w:r w:rsidR="00B736DC" w:rsidRPr="00B736DC">
          <w:rPr>
            <w:rFonts w:asciiTheme="minorHAnsi" w:hAnsiTheme="minorHAnsi"/>
            <w:color w:val="0000FF"/>
            <w:szCs w:val="24"/>
            <w:u w:val="single"/>
            <w:lang w:val="es-ES"/>
          </w:rPr>
          <w:t>https://www.itu.int/es/ITU-R/space/Pages/prefaceMain.aspx</w:t>
        </w:r>
      </w:hyperlink>
      <w:r w:rsidR="00B736DC" w:rsidRPr="00B736DC">
        <w:rPr>
          <w:rFonts w:asciiTheme="minorHAnsi" w:hAnsiTheme="minorHAnsi"/>
          <w:color w:val="0000FF"/>
          <w:szCs w:val="24"/>
          <w:lang w:val="es-ES"/>
        </w:rPr>
        <w:t xml:space="preserve"> </w:t>
      </w:r>
      <w:r w:rsidRPr="00C10E34">
        <w:rPr>
          <w:lang w:val="es-ES_tradnl"/>
        </w:rPr>
        <w:t xml:space="preserve">y también en la BR </w:t>
      </w:r>
      <w:r w:rsidRPr="00C10E34">
        <w:rPr>
          <w:rFonts w:asciiTheme="minorHAnsi" w:hAnsiTheme="minorHAnsi"/>
          <w:szCs w:val="24"/>
          <w:lang w:val="es-ES_tradnl"/>
        </w:rPr>
        <w:t xml:space="preserve">IFIC </w:t>
      </w:r>
      <w:r w:rsidRPr="00C10E34">
        <w:rPr>
          <w:lang w:val="es-ES_tradnl"/>
        </w:rPr>
        <w:t>(Servicios Espaciales)</w:t>
      </w:r>
      <w:r w:rsidRPr="00C10E34">
        <w:rPr>
          <w:rFonts w:asciiTheme="minorHAnsi" w:hAnsiTheme="minorHAnsi"/>
          <w:szCs w:val="24"/>
          <w:lang w:val="es-ES_tradnl"/>
        </w:rPr>
        <w:t xml:space="preserve"> 2923/23.06.2020 </w:t>
      </w:r>
      <w:r w:rsidRPr="00C10E34">
        <w:rPr>
          <w:lang w:val="es-ES_tradnl"/>
        </w:rPr>
        <w:t xml:space="preserve">y publicaciones posteriores. </w:t>
      </w:r>
    </w:p>
    <w:p w14:paraId="5D20D9B2" w14:textId="77777777" w:rsidR="00293B16" w:rsidRPr="00C10E34" w:rsidRDefault="00293B16" w:rsidP="00293B16">
      <w:pPr>
        <w:rPr>
          <w:lang w:val="es-ES_tradnl"/>
        </w:rPr>
      </w:pPr>
      <w:r w:rsidRPr="00C10E34">
        <w:rPr>
          <w:lang w:val="es-ES_tradnl"/>
        </w:rPr>
        <w:t xml:space="preserve">El paquete informático actualizado de la BR para la notificación, validación y consulta por medios electrónicos de las redes de satélites (SpaceCap y BR-SIS) con los nuevos símbolos </w:t>
      </w:r>
      <w:r w:rsidR="000703B5" w:rsidRPr="00C10E34">
        <w:rPr>
          <w:b/>
          <w:bCs/>
          <w:lang w:val="es-ES_tradnl"/>
        </w:rPr>
        <w:t>«</w:t>
      </w:r>
      <w:r w:rsidRPr="00C10E34">
        <w:rPr>
          <w:b/>
          <w:bCs/>
          <w:lang w:val="es-ES_tradnl"/>
        </w:rPr>
        <w:t>UU</w:t>
      </w:r>
      <w:r w:rsidR="000703B5" w:rsidRPr="00C10E34">
        <w:rPr>
          <w:b/>
          <w:bCs/>
          <w:lang w:val="es-ES_tradnl"/>
        </w:rPr>
        <w:t>»</w:t>
      </w:r>
      <w:r w:rsidRPr="00C10E34">
        <w:rPr>
          <w:b/>
          <w:bCs/>
          <w:lang w:val="es-ES_tradnl"/>
        </w:rPr>
        <w:t xml:space="preserve">, </w:t>
      </w:r>
      <w:r w:rsidR="000015B9" w:rsidRPr="00C10E34">
        <w:rPr>
          <w:b/>
          <w:bCs/>
          <w:lang w:val="es-ES_tradnl"/>
        </w:rPr>
        <w:t>«</w:t>
      </w:r>
      <w:r w:rsidRPr="00C10E34">
        <w:rPr>
          <w:b/>
          <w:bCs/>
          <w:lang w:val="es-ES_tradnl"/>
        </w:rPr>
        <w:t>UO</w:t>
      </w:r>
      <w:r w:rsidR="000015B9" w:rsidRPr="00C10E34">
        <w:rPr>
          <w:b/>
          <w:bCs/>
          <w:lang w:val="es-ES_tradnl"/>
        </w:rPr>
        <w:t>»</w:t>
      </w:r>
      <w:r w:rsidRPr="00C10E34">
        <w:rPr>
          <w:b/>
          <w:bCs/>
          <w:lang w:val="es-ES_tradnl"/>
        </w:rPr>
        <w:t xml:space="preserve"> y </w:t>
      </w:r>
      <w:r w:rsidR="000015B9" w:rsidRPr="00C10E34">
        <w:rPr>
          <w:b/>
          <w:bCs/>
          <w:lang w:val="es-ES_tradnl"/>
        </w:rPr>
        <w:t>«</w:t>
      </w:r>
      <w:r w:rsidRPr="00C10E34">
        <w:rPr>
          <w:b/>
          <w:bCs/>
          <w:lang w:val="es-ES_tradnl"/>
        </w:rPr>
        <w:t>US</w:t>
      </w:r>
      <w:r w:rsidR="000015B9" w:rsidRPr="00C10E34">
        <w:rPr>
          <w:b/>
          <w:bCs/>
          <w:lang w:val="es-ES_tradnl"/>
        </w:rPr>
        <w:t>»</w:t>
      </w:r>
      <w:r w:rsidRPr="00C10E34">
        <w:rPr>
          <w:lang w:val="es-ES_tradnl"/>
        </w:rPr>
        <w:t xml:space="preserve"> podrá descargarse en la dirección </w:t>
      </w:r>
      <w:hyperlink r:id="rId9" w:history="1">
        <w:r w:rsidR="00B736DC" w:rsidRPr="00B736DC">
          <w:rPr>
            <w:rStyle w:val="Hyperlink"/>
            <w:lang w:val="es-ES"/>
          </w:rPr>
          <w:t>https://www.itu.int/es/ITU-R/software/Pages/space-network-software.aspx</w:t>
        </w:r>
      </w:hyperlink>
      <w:r w:rsidR="00B736DC">
        <w:rPr>
          <w:lang w:val="es-ES_tradnl"/>
        </w:rPr>
        <w:t xml:space="preserve"> </w:t>
      </w:r>
      <w:r w:rsidRPr="00C10E34">
        <w:rPr>
          <w:lang w:val="es-ES_tradnl"/>
        </w:rPr>
        <w:t xml:space="preserve">y también en la BR </w:t>
      </w:r>
      <w:r w:rsidRPr="00C10E34">
        <w:rPr>
          <w:rFonts w:asciiTheme="minorHAnsi" w:hAnsiTheme="minorHAnsi"/>
          <w:szCs w:val="24"/>
          <w:lang w:val="es-ES_tradnl"/>
        </w:rPr>
        <w:t xml:space="preserve">IFIC </w:t>
      </w:r>
      <w:r w:rsidRPr="00C10E34">
        <w:rPr>
          <w:lang w:val="es-ES_tradnl"/>
        </w:rPr>
        <w:t>(Servicios Espaciales)</w:t>
      </w:r>
      <w:r w:rsidRPr="00C10E34">
        <w:rPr>
          <w:rFonts w:asciiTheme="minorHAnsi" w:hAnsiTheme="minorHAnsi"/>
          <w:szCs w:val="24"/>
          <w:lang w:val="es-ES_tradnl"/>
        </w:rPr>
        <w:t xml:space="preserve"> 2923/23.06.2020 </w:t>
      </w:r>
      <w:r w:rsidRPr="00C10E34">
        <w:rPr>
          <w:lang w:val="es-ES_tradnl"/>
        </w:rPr>
        <w:t xml:space="preserve">y publicaciones posteriores. </w:t>
      </w:r>
    </w:p>
    <w:bookmarkEnd w:id="0"/>
    <w:p w14:paraId="504C6458" w14:textId="77777777" w:rsidR="00293B16" w:rsidRPr="00C10E34" w:rsidRDefault="00293B16" w:rsidP="00293B16">
      <w:pPr>
        <w:rPr>
          <w:lang w:val="es-ES_tradnl"/>
        </w:rPr>
      </w:pPr>
      <w:r w:rsidRPr="00C10E34">
        <w:rPr>
          <w:lang w:val="es-ES_tradnl"/>
        </w:rPr>
        <w:t xml:space="preserve">La Oficina queda a disposición de su Administración en la dirección </w:t>
      </w:r>
      <w:hyperlink r:id="rId10" w:history="1">
        <w:r w:rsidRPr="00C10E34">
          <w:rPr>
            <w:rFonts w:asciiTheme="minorHAnsi" w:hAnsiTheme="minorHAnsi"/>
            <w:color w:val="0000FF"/>
            <w:szCs w:val="24"/>
            <w:u w:val="single"/>
            <w:lang w:val="es-ES_tradnl"/>
          </w:rPr>
          <w:t>brmail@itu.int</w:t>
        </w:r>
      </w:hyperlink>
      <w:r w:rsidRPr="00C10E34">
        <w:rPr>
          <w:lang w:val="es-ES_tradnl"/>
        </w:rPr>
        <w:t xml:space="preserve"> para facilitarle cualquier aclaración que pueda necesitar respecto de los asuntos tratados en la presente Carta Circular.</w:t>
      </w:r>
    </w:p>
    <w:p w14:paraId="1DB26647" w14:textId="77777777" w:rsidR="00031E64" w:rsidRPr="00C10E34" w:rsidRDefault="001B3D4D" w:rsidP="00F56D5F">
      <w:pPr>
        <w:spacing w:before="1080" w:line="240" w:lineRule="auto"/>
        <w:jc w:val="left"/>
        <w:rPr>
          <w:szCs w:val="24"/>
          <w:lang w:val="es-ES_tradnl"/>
        </w:rPr>
      </w:pPr>
      <w:r w:rsidRPr="00C10E34">
        <w:rPr>
          <w:rFonts w:asciiTheme="minorHAnsi" w:hAnsiTheme="minorHAnsi" w:cstheme="minorHAnsi"/>
          <w:lang w:val="es-ES_tradnl"/>
        </w:rPr>
        <w:t>Mario Maniewicz</w:t>
      </w:r>
      <w:r w:rsidR="00E53DCE" w:rsidRPr="00C10E34">
        <w:rPr>
          <w:szCs w:val="24"/>
          <w:lang w:val="es-ES_tradnl"/>
        </w:rPr>
        <w:br/>
      </w:r>
      <w:proofErr w:type="gramStart"/>
      <w:r w:rsidR="00A96D3A" w:rsidRPr="00C10E34">
        <w:rPr>
          <w:szCs w:val="24"/>
          <w:lang w:val="es-ES_tradnl"/>
        </w:rPr>
        <w:t>Director</w:t>
      </w:r>
      <w:proofErr w:type="gramEnd"/>
      <w:r w:rsidR="00A96D3A" w:rsidRPr="00C10E34">
        <w:rPr>
          <w:szCs w:val="24"/>
          <w:lang w:val="es-ES_tradnl"/>
        </w:rPr>
        <w:t xml:space="preserve"> </w:t>
      </w:r>
    </w:p>
    <w:p w14:paraId="600A7141" w14:textId="77777777" w:rsidR="00293B16" w:rsidRPr="00C10E34" w:rsidRDefault="00293B16" w:rsidP="00F56D5F">
      <w:pPr>
        <w:spacing w:before="1320"/>
        <w:rPr>
          <w:rFonts w:asciiTheme="minorHAnsi" w:eastAsiaTheme="majorEastAsia" w:hAnsiTheme="minorHAnsi" w:cstheme="minorHAnsi"/>
          <w:b/>
          <w:bCs/>
          <w:sz w:val="18"/>
          <w:szCs w:val="18"/>
          <w:u w:val="single"/>
          <w:lang w:val="es-ES_tradnl"/>
        </w:rPr>
      </w:pPr>
      <w:r w:rsidRPr="00C10E34">
        <w:rPr>
          <w:rFonts w:asciiTheme="minorHAnsi" w:hAnsiTheme="minorHAnsi"/>
          <w:b/>
          <w:bCs/>
          <w:sz w:val="18"/>
          <w:szCs w:val="18"/>
          <w:u w:val="single"/>
          <w:lang w:val="es-ES_tradnl"/>
        </w:rPr>
        <w:t>Distribución:</w:t>
      </w:r>
      <w:bookmarkStart w:id="1" w:name="_GoBack"/>
      <w:bookmarkEnd w:id="1"/>
    </w:p>
    <w:p w14:paraId="0BA7C50D" w14:textId="77777777" w:rsidR="00293B16" w:rsidRPr="00C10E34" w:rsidRDefault="000703B5" w:rsidP="000703B5">
      <w:pPr>
        <w:spacing w:before="0"/>
        <w:rPr>
          <w:rFonts w:asciiTheme="minorHAnsi" w:eastAsiaTheme="majorEastAsia" w:hAnsiTheme="minorHAnsi" w:cstheme="minorHAnsi"/>
          <w:sz w:val="18"/>
          <w:szCs w:val="18"/>
          <w:lang w:val="es-ES_tradnl"/>
        </w:rPr>
      </w:pPr>
      <w:r w:rsidRPr="00C10E34">
        <w:rPr>
          <w:sz w:val="18"/>
          <w:szCs w:val="18"/>
          <w:lang w:val="es-ES_tradnl"/>
        </w:rPr>
        <w:t>–</w:t>
      </w:r>
      <w:r w:rsidRPr="00C10E34">
        <w:rPr>
          <w:sz w:val="18"/>
          <w:szCs w:val="18"/>
          <w:lang w:val="es-ES_tradnl"/>
        </w:rPr>
        <w:tab/>
      </w:r>
      <w:r w:rsidR="00293B16" w:rsidRPr="00C10E34">
        <w:rPr>
          <w:rFonts w:asciiTheme="minorHAnsi" w:hAnsiTheme="minorHAnsi"/>
          <w:sz w:val="18"/>
          <w:szCs w:val="18"/>
          <w:lang w:val="es-ES_tradnl"/>
        </w:rPr>
        <w:t>Administraciones de los Estados Miembros de la UIT</w:t>
      </w:r>
    </w:p>
    <w:p w14:paraId="3E3F2F8E" w14:textId="77777777" w:rsidR="00293B16" w:rsidRPr="00C10E34" w:rsidRDefault="000703B5" w:rsidP="000703B5">
      <w:pPr>
        <w:spacing w:before="0"/>
        <w:rPr>
          <w:rFonts w:asciiTheme="minorHAnsi" w:eastAsiaTheme="majorEastAsia" w:hAnsiTheme="minorHAnsi" w:cstheme="minorHAnsi"/>
          <w:sz w:val="18"/>
          <w:szCs w:val="18"/>
          <w:lang w:val="es-ES_tradnl"/>
        </w:rPr>
      </w:pPr>
      <w:r w:rsidRPr="00C10E34">
        <w:rPr>
          <w:sz w:val="18"/>
          <w:szCs w:val="18"/>
          <w:lang w:val="es-ES_tradnl"/>
        </w:rPr>
        <w:t>–</w:t>
      </w:r>
      <w:r w:rsidRPr="00C10E34">
        <w:rPr>
          <w:sz w:val="18"/>
          <w:szCs w:val="18"/>
          <w:lang w:val="es-ES_tradnl"/>
        </w:rPr>
        <w:tab/>
      </w:r>
      <w:r w:rsidR="00293B16" w:rsidRPr="00C10E34">
        <w:rPr>
          <w:rFonts w:asciiTheme="minorHAnsi" w:hAnsiTheme="minorHAnsi"/>
          <w:sz w:val="18"/>
          <w:szCs w:val="18"/>
          <w:lang w:val="es-ES_tradnl"/>
        </w:rPr>
        <w:t>Miembros de la Junta del Reglamento de Radiocomunicaciones</w:t>
      </w:r>
    </w:p>
    <w:sectPr w:rsidR="00293B16" w:rsidRPr="00C10E3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DAC5" w14:textId="77777777" w:rsidR="00F30A67" w:rsidRDefault="00F30A67">
      <w:r>
        <w:separator/>
      </w:r>
    </w:p>
  </w:endnote>
  <w:endnote w:type="continuationSeparator" w:id="0">
    <w:p w14:paraId="56DBA7BF" w14:textId="77777777" w:rsidR="00F30A67" w:rsidRDefault="00F3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782F" w14:textId="77777777" w:rsidR="00AF052B" w:rsidRPr="00AF052B"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AF052B">
      <w:rPr>
        <w:color w:val="0070C0"/>
        <w:sz w:val="18"/>
        <w:szCs w:val="18"/>
        <w:lang w:val="es-ES_tradnl"/>
      </w:rPr>
      <w:t xml:space="preserve">Unión Internacional de Telecomunicaciones • Place des </w:t>
    </w:r>
    <w:proofErr w:type="spellStart"/>
    <w:r w:rsidRPr="00AF052B">
      <w:rPr>
        <w:color w:val="0070C0"/>
        <w:sz w:val="18"/>
        <w:szCs w:val="18"/>
        <w:lang w:val="es-ES_tradnl"/>
      </w:rPr>
      <w:t>Nations</w:t>
    </w:r>
    <w:proofErr w:type="spellEnd"/>
    <w:r w:rsidRPr="00AF052B">
      <w:rPr>
        <w:color w:val="0070C0"/>
        <w:sz w:val="18"/>
        <w:szCs w:val="18"/>
        <w:lang w:val="es-ES_tradnl"/>
      </w:rPr>
      <w:t xml:space="preserve"> • CH</w:t>
    </w:r>
    <w:r w:rsidRPr="00AF052B">
      <w:rPr>
        <w:color w:val="0070C0"/>
        <w:sz w:val="18"/>
        <w:szCs w:val="18"/>
        <w:lang w:val="es-ES_tradnl"/>
      </w:rPr>
      <w:noBreakHyphen/>
      <w:t>1211 Ginebra 20 • Suiza</w:t>
    </w:r>
    <w:r w:rsidRPr="00AF052B">
      <w:rPr>
        <w:color w:val="0070C0"/>
        <w:sz w:val="18"/>
        <w:szCs w:val="18"/>
        <w:lang w:val="es-ES_tradnl"/>
      </w:rPr>
      <w:br/>
      <w:t xml:space="preserve">Tel: +41 22 730 5111 • Correo-e: </w:t>
    </w:r>
    <w:hyperlink r:id="rId1" w:history="1">
      <w:r w:rsidRPr="00AF052B">
        <w:rPr>
          <w:color w:val="0000FF"/>
          <w:sz w:val="18"/>
          <w:szCs w:val="18"/>
          <w:u w:val="single"/>
          <w:lang w:val="es-ES_tradnl"/>
        </w:rPr>
        <w:t>itumail@itu.int</w:t>
      </w:r>
    </w:hyperlink>
    <w:r w:rsidRPr="00AF052B">
      <w:rPr>
        <w:color w:val="0070C0"/>
        <w:sz w:val="18"/>
        <w:szCs w:val="18"/>
        <w:lang w:val="es-ES_tradnl"/>
      </w:rPr>
      <w:t xml:space="preserve"> • Fax: +41 22 733 7256 • </w:t>
    </w:r>
    <w:hyperlink r:id="rId2" w:history="1">
      <w:r w:rsidRPr="00AF052B">
        <w:rPr>
          <w:color w:val="0070C0"/>
          <w:sz w:val="18"/>
          <w:szCs w:val="18"/>
          <w:lang w:val="es-ES_tradnl"/>
        </w:rPr>
        <w:t>www.itu.int</w:t>
      </w:r>
    </w:hyperlink>
    <w:r w:rsidRPr="00AF052B">
      <w:rPr>
        <w:color w:val="0070C0"/>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3E65" w14:textId="77777777" w:rsidR="00F30A67" w:rsidRDefault="00F30A67">
      <w:r>
        <w:t>____________________</w:t>
      </w:r>
    </w:p>
  </w:footnote>
  <w:footnote w:type="continuationSeparator" w:id="0">
    <w:p w14:paraId="032A32EB" w14:textId="77777777" w:rsidR="00F30A67" w:rsidRDefault="00F3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184C" w14:textId="0A92901A" w:rsidR="00E915AF" w:rsidRPr="00D239B4" w:rsidRDefault="00AB51DD" w:rsidP="000015B9">
    <w:pPr>
      <w:pStyle w:val="Header"/>
      <w:jc w:val="center"/>
      <w:rPr>
        <w:sz w:val="18"/>
        <w:szCs w:val="16"/>
      </w:rPr>
    </w:pPr>
    <w:r>
      <w:rPr>
        <w:rStyle w:val="PageNumber"/>
        <w:sz w:val="18"/>
        <w:szCs w:val="16"/>
      </w:rPr>
      <w:t>-</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80548B">
      <w:rPr>
        <w:rStyle w:val="PageNumber"/>
        <w:noProof/>
        <w:sz w:val="18"/>
        <w:szCs w:val="16"/>
      </w:rPr>
      <w:t>2</w:t>
    </w:r>
    <w:r w:rsidR="001B42C9" w:rsidRPr="00D239B4">
      <w:rPr>
        <w:rStyle w:val="PageNumber"/>
        <w:sz w:val="18"/>
        <w:szCs w:val="16"/>
      </w:rPr>
      <w:fldChar w:fldCharType="end"/>
    </w:r>
    <w:r>
      <w:rPr>
        <w:rStyle w:val="PageNumber"/>
        <w:sz w:val="18"/>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7E4C" w14:textId="41F0EC3A" w:rsidR="00E915AF" w:rsidRPr="000015B9" w:rsidRDefault="00AB51DD" w:rsidP="000015B9">
    <w:pPr>
      <w:pStyle w:val="Header"/>
      <w:jc w:val="center"/>
      <w:rPr>
        <w:sz w:val="18"/>
        <w:szCs w:val="18"/>
      </w:rPr>
    </w:pPr>
    <w:r>
      <w:rPr>
        <w:sz w:val="18"/>
        <w:szCs w:val="18"/>
      </w:rPr>
      <w:t>-</w:t>
    </w:r>
    <w:r w:rsidR="001B42C9" w:rsidRPr="000015B9">
      <w:rPr>
        <w:sz w:val="18"/>
        <w:szCs w:val="18"/>
      </w:rPr>
      <w:fldChar w:fldCharType="begin"/>
    </w:r>
    <w:r w:rsidR="00E915AF" w:rsidRPr="000015B9">
      <w:rPr>
        <w:sz w:val="18"/>
        <w:szCs w:val="18"/>
      </w:rPr>
      <w:instrText xml:space="preserve"> PAGE  \* MERGEFORMAT </w:instrText>
    </w:r>
    <w:r w:rsidR="001B42C9" w:rsidRPr="000015B9">
      <w:rPr>
        <w:sz w:val="18"/>
        <w:szCs w:val="18"/>
      </w:rPr>
      <w:fldChar w:fldCharType="separate"/>
    </w:r>
    <w:r w:rsidR="0080548B">
      <w:rPr>
        <w:noProof/>
        <w:sz w:val="18"/>
        <w:szCs w:val="18"/>
      </w:rPr>
      <w:t>3</w:t>
    </w:r>
    <w:r w:rsidR="001B42C9" w:rsidRPr="000015B9">
      <w:rPr>
        <w:sz w:val="18"/>
        <w:szCs w:val="18"/>
      </w:rPr>
      <w:fldChar w:fldCharType="end"/>
    </w:r>
    <w:r>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7978EDEC" w14:textId="77777777" w:rsidTr="002B7EE0">
      <w:tc>
        <w:tcPr>
          <w:tcW w:w="9862" w:type="dxa"/>
          <w:tcMar>
            <w:left w:w="0" w:type="dxa"/>
          </w:tcMar>
        </w:tcPr>
        <w:p w14:paraId="35A5DF4B" w14:textId="77777777" w:rsidR="001B3D4D" w:rsidRDefault="002B7EE0" w:rsidP="002B7EE0">
          <w:pPr>
            <w:pStyle w:val="FirstFooter"/>
            <w:spacing w:line="240" w:lineRule="auto"/>
            <w:ind w:left="-397" w:right="-397"/>
            <w:jc w:val="center"/>
          </w:pPr>
          <w:r>
            <w:rPr>
              <w:noProof/>
            </w:rPr>
            <w:drawing>
              <wp:inline distT="0" distB="0" distL="0" distR="0" wp14:anchorId="35D2C272" wp14:editId="717A5C5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774088E" w14:textId="77777777" w:rsidR="001B3D4D" w:rsidRDefault="001B3D4D" w:rsidP="001B3D4D">
          <w:pPr>
            <w:pStyle w:val="Header"/>
            <w:spacing w:before="240" w:line="360" w:lineRule="auto"/>
            <w:jc w:val="right"/>
          </w:pPr>
        </w:p>
      </w:tc>
    </w:tr>
  </w:tbl>
  <w:p w14:paraId="2F4C7BBC"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15B9"/>
    <w:rsid w:val="00006A31"/>
    <w:rsid w:val="00006C82"/>
    <w:rsid w:val="00010E30"/>
    <w:rsid w:val="00015C76"/>
    <w:rsid w:val="00026CF8"/>
    <w:rsid w:val="00030BD7"/>
    <w:rsid w:val="00031E64"/>
    <w:rsid w:val="00034340"/>
    <w:rsid w:val="00035CB3"/>
    <w:rsid w:val="00045A8D"/>
    <w:rsid w:val="0005167A"/>
    <w:rsid w:val="00054E5D"/>
    <w:rsid w:val="00070258"/>
    <w:rsid w:val="000703B5"/>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1F634E"/>
    <w:rsid w:val="00201097"/>
    <w:rsid w:val="00201B6E"/>
    <w:rsid w:val="002302B3"/>
    <w:rsid w:val="00230C66"/>
    <w:rsid w:val="00235A29"/>
    <w:rsid w:val="00241526"/>
    <w:rsid w:val="002443A2"/>
    <w:rsid w:val="00257BE7"/>
    <w:rsid w:val="00266E74"/>
    <w:rsid w:val="00283C3B"/>
    <w:rsid w:val="002861E6"/>
    <w:rsid w:val="00287D18"/>
    <w:rsid w:val="00293B16"/>
    <w:rsid w:val="002A2618"/>
    <w:rsid w:val="002A5DD7"/>
    <w:rsid w:val="002B0CAC"/>
    <w:rsid w:val="002B7EE0"/>
    <w:rsid w:val="002D5A15"/>
    <w:rsid w:val="002D5BDD"/>
    <w:rsid w:val="002E3D27"/>
    <w:rsid w:val="002F0890"/>
    <w:rsid w:val="002F2531"/>
    <w:rsid w:val="002F4967"/>
    <w:rsid w:val="00306452"/>
    <w:rsid w:val="003107D5"/>
    <w:rsid w:val="00311970"/>
    <w:rsid w:val="00316935"/>
    <w:rsid w:val="003266ED"/>
    <w:rsid w:val="00326C68"/>
    <w:rsid w:val="0033029C"/>
    <w:rsid w:val="003370B8"/>
    <w:rsid w:val="00345D38"/>
    <w:rsid w:val="00352097"/>
    <w:rsid w:val="00362AB0"/>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48B"/>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B51DD"/>
    <w:rsid w:val="00AC0C22"/>
    <w:rsid w:val="00AC3896"/>
    <w:rsid w:val="00AD2CF2"/>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736DC"/>
    <w:rsid w:val="00B81C2F"/>
    <w:rsid w:val="00B90743"/>
    <w:rsid w:val="00B90C45"/>
    <w:rsid w:val="00B933BE"/>
    <w:rsid w:val="00BD6738"/>
    <w:rsid w:val="00BD7E5E"/>
    <w:rsid w:val="00BE63DB"/>
    <w:rsid w:val="00BE6574"/>
    <w:rsid w:val="00C07319"/>
    <w:rsid w:val="00C10E34"/>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278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0A67"/>
    <w:rsid w:val="00F424BF"/>
    <w:rsid w:val="00F44FC3"/>
    <w:rsid w:val="00F46107"/>
    <w:rsid w:val="00F468C5"/>
    <w:rsid w:val="00F52F39"/>
    <w:rsid w:val="00F56D5F"/>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488117"/>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space/Pages/prefaceMain.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s/ITU-R/software/Pages/space-network-software.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A2D3-FE8F-46EB-A1FF-6C763FDC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1441</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Soriano, Manuel</dc:creator>
  <cp:lastModifiedBy>Panoussopoulos, Sonia</cp:lastModifiedBy>
  <cp:revision>5</cp:revision>
  <cp:lastPrinted>2020-06-15T03:55:00Z</cp:lastPrinted>
  <dcterms:created xsi:type="dcterms:W3CDTF">2020-06-10T09:54:00Z</dcterms:created>
  <dcterms:modified xsi:type="dcterms:W3CDTF">2020-06-15T08:05:00Z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