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9A0FCF" w:rsidRPr="00BE6424" w14:paraId="5D3505BB" w14:textId="77777777" w:rsidTr="00306452">
        <w:trPr>
          <w:jc w:val="center"/>
        </w:trPr>
        <w:tc>
          <w:tcPr>
            <w:tcW w:w="9889" w:type="dxa"/>
            <w:gridSpan w:val="3"/>
            <w:shd w:val="clear" w:color="auto" w:fill="auto"/>
          </w:tcPr>
          <w:p w14:paraId="6F60C353" w14:textId="77777777" w:rsidR="009A0FCF" w:rsidRPr="00BE6424" w:rsidRDefault="009A0FCF" w:rsidP="00213721">
            <w:pPr>
              <w:spacing w:before="0"/>
              <w:jc w:val="left"/>
              <w:rPr>
                <w:rFonts w:cstheme="minorHAnsi"/>
                <w:b/>
                <w:bCs/>
                <w:color w:val="808080"/>
                <w:sz w:val="28"/>
                <w:szCs w:val="28"/>
                <w:lang w:val="es-ES_tradnl"/>
              </w:rPr>
            </w:pPr>
            <w:r w:rsidRPr="00BE6424">
              <w:rPr>
                <w:rFonts w:cstheme="minorHAnsi"/>
                <w:b/>
                <w:bCs/>
                <w:color w:val="808080"/>
                <w:sz w:val="28"/>
                <w:szCs w:val="28"/>
                <w:lang w:val="es-ES_tradnl"/>
              </w:rPr>
              <w:t>Oficina de Radiocomunicaciones (BR)</w:t>
            </w:r>
          </w:p>
          <w:p w14:paraId="6E32281B" w14:textId="77777777" w:rsidR="009A0FCF" w:rsidRPr="00BE6424" w:rsidRDefault="009A0FCF" w:rsidP="00213721">
            <w:pPr>
              <w:spacing w:before="0"/>
              <w:jc w:val="left"/>
              <w:rPr>
                <w:rFonts w:cstheme="minorHAnsi"/>
                <w:b/>
                <w:bCs/>
                <w:color w:val="808080"/>
                <w:sz w:val="28"/>
                <w:szCs w:val="28"/>
                <w:lang w:val="es-ES_tradnl"/>
              </w:rPr>
            </w:pPr>
          </w:p>
          <w:p w14:paraId="153995D0" w14:textId="77777777" w:rsidR="009A0FCF" w:rsidRPr="00BE6424" w:rsidRDefault="009A0FCF" w:rsidP="00213721">
            <w:pPr>
              <w:spacing w:before="0"/>
              <w:jc w:val="left"/>
              <w:rPr>
                <w:rFonts w:cs="Times New Roman Bold"/>
                <w:b/>
                <w:bCs/>
                <w:color w:val="808080"/>
                <w:sz w:val="28"/>
                <w:szCs w:val="28"/>
                <w:lang w:val="es-ES_tradnl"/>
              </w:rPr>
            </w:pPr>
          </w:p>
        </w:tc>
      </w:tr>
      <w:tr w:rsidR="009A0FCF" w:rsidRPr="00BE6424" w14:paraId="799D4CE7" w14:textId="77777777" w:rsidTr="00306452">
        <w:trPr>
          <w:jc w:val="center"/>
        </w:trPr>
        <w:tc>
          <w:tcPr>
            <w:tcW w:w="7054" w:type="dxa"/>
            <w:gridSpan w:val="2"/>
            <w:shd w:val="clear" w:color="auto" w:fill="auto"/>
          </w:tcPr>
          <w:p w14:paraId="5629C77A" w14:textId="77777777" w:rsidR="009A0FCF" w:rsidRPr="00BE6424" w:rsidRDefault="009A0FCF" w:rsidP="00213721">
            <w:pPr>
              <w:spacing w:before="0"/>
              <w:jc w:val="left"/>
              <w:rPr>
                <w:szCs w:val="24"/>
                <w:lang w:val="es-ES_tradnl"/>
              </w:rPr>
            </w:pPr>
            <w:r w:rsidRPr="00BE6424">
              <w:rPr>
                <w:lang w:val="es-ES_tradnl"/>
              </w:rPr>
              <w:t>Carta Circular</w:t>
            </w:r>
          </w:p>
          <w:p w14:paraId="1BD6666B" w14:textId="77777777" w:rsidR="009A0FCF" w:rsidRPr="00BE6424" w:rsidRDefault="009A0FCF" w:rsidP="00213721">
            <w:pPr>
              <w:spacing w:before="0"/>
              <w:jc w:val="left"/>
              <w:rPr>
                <w:b/>
                <w:bCs/>
                <w:szCs w:val="24"/>
                <w:lang w:val="es-ES_tradnl"/>
              </w:rPr>
            </w:pPr>
            <w:r w:rsidRPr="00BE6424">
              <w:rPr>
                <w:b/>
                <w:bCs/>
                <w:szCs w:val="24"/>
                <w:lang w:val="es-ES_tradnl"/>
              </w:rPr>
              <w:t>CR/456</w:t>
            </w:r>
          </w:p>
        </w:tc>
        <w:tc>
          <w:tcPr>
            <w:tcW w:w="2835" w:type="dxa"/>
            <w:shd w:val="clear" w:color="auto" w:fill="auto"/>
          </w:tcPr>
          <w:p w14:paraId="0B23DB36" w14:textId="0B0F004A" w:rsidR="009A0FCF" w:rsidRPr="00BE6424" w:rsidRDefault="009F0758" w:rsidP="00213721">
            <w:pPr>
              <w:spacing w:before="0"/>
              <w:jc w:val="right"/>
              <w:rPr>
                <w:szCs w:val="24"/>
                <w:lang w:val="es-ES_tradnl"/>
              </w:rPr>
            </w:pPr>
            <w:r>
              <w:rPr>
                <w:szCs w:val="28"/>
                <w:lang w:val="es-ES_tradnl"/>
              </w:rPr>
              <w:t>6</w:t>
            </w:r>
            <w:r w:rsidR="009A0FCF" w:rsidRPr="00BE6424">
              <w:rPr>
                <w:szCs w:val="28"/>
                <w:lang w:val="es-ES_tradnl"/>
              </w:rPr>
              <w:t xml:space="preserve"> de marzo de 2020</w:t>
            </w:r>
          </w:p>
        </w:tc>
      </w:tr>
      <w:tr w:rsidR="009A0FCF" w:rsidRPr="00BE6424" w14:paraId="5D63351C" w14:textId="77777777" w:rsidTr="00306452">
        <w:trPr>
          <w:jc w:val="center"/>
        </w:trPr>
        <w:tc>
          <w:tcPr>
            <w:tcW w:w="9889" w:type="dxa"/>
            <w:gridSpan w:val="3"/>
            <w:shd w:val="clear" w:color="auto" w:fill="auto"/>
          </w:tcPr>
          <w:p w14:paraId="229C3327" w14:textId="77777777" w:rsidR="009A0FCF" w:rsidRPr="00BE6424" w:rsidRDefault="009A0FCF" w:rsidP="00213721">
            <w:pPr>
              <w:spacing w:before="0"/>
              <w:jc w:val="left"/>
              <w:rPr>
                <w:rFonts w:cs="Arial"/>
                <w:szCs w:val="24"/>
                <w:lang w:val="es-ES_tradnl"/>
              </w:rPr>
            </w:pPr>
          </w:p>
        </w:tc>
      </w:tr>
      <w:tr w:rsidR="009A0FCF" w:rsidRPr="00BE6424" w14:paraId="16034722" w14:textId="77777777" w:rsidTr="00306452">
        <w:trPr>
          <w:jc w:val="center"/>
        </w:trPr>
        <w:tc>
          <w:tcPr>
            <w:tcW w:w="9889" w:type="dxa"/>
            <w:gridSpan w:val="3"/>
            <w:shd w:val="clear" w:color="auto" w:fill="auto"/>
          </w:tcPr>
          <w:p w14:paraId="41F95A20" w14:textId="77777777" w:rsidR="009A0FCF" w:rsidRPr="00BE6424" w:rsidRDefault="009A0FCF" w:rsidP="00213721">
            <w:pPr>
              <w:spacing w:before="0"/>
              <w:jc w:val="left"/>
              <w:rPr>
                <w:szCs w:val="24"/>
                <w:lang w:val="es-ES_tradnl"/>
              </w:rPr>
            </w:pPr>
          </w:p>
        </w:tc>
      </w:tr>
      <w:tr w:rsidR="009A0FCF" w:rsidRPr="00BE6424" w14:paraId="3CAB9CB9" w14:textId="77777777" w:rsidTr="00306452">
        <w:trPr>
          <w:jc w:val="center"/>
        </w:trPr>
        <w:tc>
          <w:tcPr>
            <w:tcW w:w="9889" w:type="dxa"/>
            <w:gridSpan w:val="3"/>
            <w:shd w:val="clear" w:color="auto" w:fill="auto"/>
          </w:tcPr>
          <w:p w14:paraId="16CC9E19" w14:textId="77777777" w:rsidR="009A0FCF" w:rsidRPr="00BE6424" w:rsidRDefault="009A0FCF" w:rsidP="00213721">
            <w:pPr>
              <w:spacing w:before="0"/>
              <w:jc w:val="left"/>
              <w:rPr>
                <w:b/>
                <w:bCs/>
                <w:szCs w:val="24"/>
                <w:lang w:val="es-ES_tradnl"/>
              </w:rPr>
            </w:pPr>
            <w:r w:rsidRPr="00BE6424">
              <w:rPr>
                <w:b/>
                <w:szCs w:val="24"/>
                <w:lang w:val="es-ES_tradnl"/>
              </w:rPr>
              <w:t>A las Administraciones de los Estados Miembros de la UIT</w:t>
            </w:r>
          </w:p>
          <w:p w14:paraId="42D9E825" w14:textId="77777777" w:rsidR="009A0FCF" w:rsidRPr="00BE6424" w:rsidRDefault="009A0FCF" w:rsidP="00213721">
            <w:pPr>
              <w:spacing w:before="0"/>
              <w:jc w:val="left"/>
              <w:rPr>
                <w:b/>
                <w:bCs/>
                <w:szCs w:val="24"/>
                <w:lang w:val="es-ES_tradnl"/>
              </w:rPr>
            </w:pPr>
          </w:p>
        </w:tc>
      </w:tr>
      <w:tr w:rsidR="009A0FCF" w:rsidRPr="00BE6424" w14:paraId="357C5892" w14:textId="77777777" w:rsidTr="00306452">
        <w:trPr>
          <w:jc w:val="center"/>
        </w:trPr>
        <w:tc>
          <w:tcPr>
            <w:tcW w:w="9889" w:type="dxa"/>
            <w:gridSpan w:val="3"/>
            <w:shd w:val="clear" w:color="auto" w:fill="auto"/>
          </w:tcPr>
          <w:p w14:paraId="1EA83169" w14:textId="77777777" w:rsidR="009A0FCF" w:rsidRPr="00BE6424" w:rsidRDefault="009A0FCF" w:rsidP="00213721">
            <w:pPr>
              <w:spacing w:before="0"/>
              <w:jc w:val="left"/>
              <w:rPr>
                <w:szCs w:val="24"/>
                <w:lang w:val="es-ES_tradnl"/>
              </w:rPr>
            </w:pPr>
          </w:p>
        </w:tc>
      </w:tr>
      <w:tr w:rsidR="009A0FCF" w:rsidRPr="00BE6424" w14:paraId="0F5AD1EF" w14:textId="77777777" w:rsidTr="00306452">
        <w:trPr>
          <w:jc w:val="center"/>
        </w:trPr>
        <w:tc>
          <w:tcPr>
            <w:tcW w:w="9889" w:type="dxa"/>
            <w:gridSpan w:val="3"/>
            <w:shd w:val="clear" w:color="auto" w:fill="auto"/>
          </w:tcPr>
          <w:p w14:paraId="7E5EA131" w14:textId="77777777" w:rsidR="009A0FCF" w:rsidRPr="00BE6424" w:rsidRDefault="009A0FCF" w:rsidP="00213721">
            <w:pPr>
              <w:spacing w:before="0"/>
              <w:jc w:val="left"/>
              <w:rPr>
                <w:szCs w:val="24"/>
                <w:lang w:val="es-ES_tradnl"/>
              </w:rPr>
            </w:pPr>
          </w:p>
        </w:tc>
      </w:tr>
      <w:tr w:rsidR="00861E55" w:rsidRPr="00BE6424" w14:paraId="0A832817" w14:textId="77777777" w:rsidTr="00306452">
        <w:trPr>
          <w:jc w:val="center"/>
        </w:trPr>
        <w:tc>
          <w:tcPr>
            <w:tcW w:w="1526" w:type="dxa"/>
            <w:shd w:val="clear" w:color="auto" w:fill="auto"/>
          </w:tcPr>
          <w:p w14:paraId="2A347E7D" w14:textId="77777777" w:rsidR="00861E55" w:rsidRPr="00BE6424" w:rsidRDefault="00861E55" w:rsidP="00213721">
            <w:pPr>
              <w:tabs>
                <w:tab w:val="clear" w:pos="1588"/>
                <w:tab w:val="left" w:pos="1560"/>
              </w:tabs>
              <w:spacing w:before="0"/>
              <w:jc w:val="left"/>
              <w:rPr>
                <w:szCs w:val="24"/>
                <w:lang w:val="es-ES_tradnl"/>
              </w:rPr>
            </w:pPr>
            <w:r w:rsidRPr="00BE6424">
              <w:rPr>
                <w:szCs w:val="24"/>
                <w:lang w:val="es-ES_tradnl"/>
              </w:rPr>
              <w:t>Asunto:</w:t>
            </w:r>
          </w:p>
        </w:tc>
        <w:tc>
          <w:tcPr>
            <w:tcW w:w="8363" w:type="dxa"/>
            <w:gridSpan w:val="2"/>
            <w:vMerge w:val="restart"/>
            <w:shd w:val="clear" w:color="auto" w:fill="auto"/>
          </w:tcPr>
          <w:p w14:paraId="3AE551E2" w14:textId="77777777" w:rsidR="00861E55" w:rsidRPr="00BE6424" w:rsidRDefault="00861E55" w:rsidP="00213721">
            <w:pPr>
              <w:tabs>
                <w:tab w:val="clear" w:pos="1588"/>
                <w:tab w:val="left" w:pos="1560"/>
              </w:tabs>
              <w:spacing w:before="0"/>
              <w:rPr>
                <w:b/>
                <w:bCs/>
                <w:szCs w:val="24"/>
                <w:lang w:val="es-ES_tradnl"/>
              </w:rPr>
            </w:pPr>
            <w:r w:rsidRPr="00BE6424">
              <w:rPr>
                <w:b/>
                <w:bCs/>
                <w:szCs w:val="24"/>
                <w:lang w:val="es-ES_tradnl"/>
              </w:rPr>
              <w:t>Decisiones de la CMR-19 incluidas en las Actas de las Reuniones Plenarias</w:t>
            </w:r>
          </w:p>
        </w:tc>
      </w:tr>
      <w:tr w:rsidR="00861E55" w:rsidRPr="00BE6424" w14:paraId="48C164D3" w14:textId="77777777" w:rsidTr="00306452">
        <w:trPr>
          <w:jc w:val="center"/>
        </w:trPr>
        <w:tc>
          <w:tcPr>
            <w:tcW w:w="1526" w:type="dxa"/>
            <w:shd w:val="clear" w:color="auto" w:fill="auto"/>
          </w:tcPr>
          <w:p w14:paraId="64A5BDCA" w14:textId="77777777" w:rsidR="00861E55" w:rsidRPr="00BE6424" w:rsidRDefault="00861E55" w:rsidP="00213721">
            <w:pPr>
              <w:tabs>
                <w:tab w:val="clear" w:pos="1588"/>
                <w:tab w:val="left" w:pos="1560"/>
              </w:tabs>
              <w:spacing w:before="0"/>
              <w:jc w:val="left"/>
              <w:rPr>
                <w:b/>
                <w:bCs/>
                <w:szCs w:val="24"/>
                <w:lang w:val="es-ES_tradnl"/>
              </w:rPr>
            </w:pPr>
          </w:p>
        </w:tc>
        <w:tc>
          <w:tcPr>
            <w:tcW w:w="8363" w:type="dxa"/>
            <w:gridSpan w:val="2"/>
            <w:vMerge/>
            <w:shd w:val="clear" w:color="auto" w:fill="auto"/>
          </w:tcPr>
          <w:p w14:paraId="456EDA81" w14:textId="77777777" w:rsidR="00861E55" w:rsidRPr="00BE6424" w:rsidRDefault="00861E55" w:rsidP="00213721">
            <w:pPr>
              <w:tabs>
                <w:tab w:val="clear" w:pos="1588"/>
                <w:tab w:val="left" w:pos="1560"/>
              </w:tabs>
              <w:spacing w:before="0"/>
              <w:rPr>
                <w:b/>
                <w:bCs/>
                <w:szCs w:val="24"/>
                <w:lang w:val="es-ES_tradnl"/>
              </w:rPr>
            </w:pPr>
          </w:p>
        </w:tc>
      </w:tr>
      <w:tr w:rsidR="00861E55" w:rsidRPr="00BE6424" w14:paraId="519A3F49" w14:textId="77777777" w:rsidTr="00861E55">
        <w:trPr>
          <w:jc w:val="center"/>
        </w:trPr>
        <w:tc>
          <w:tcPr>
            <w:tcW w:w="1526" w:type="dxa"/>
            <w:shd w:val="clear" w:color="auto" w:fill="auto"/>
          </w:tcPr>
          <w:p w14:paraId="5FFE93B8" w14:textId="77777777" w:rsidR="00861E55" w:rsidRPr="00BE6424" w:rsidRDefault="00861E55" w:rsidP="00213721">
            <w:pPr>
              <w:tabs>
                <w:tab w:val="clear" w:pos="1588"/>
                <w:tab w:val="left" w:pos="1560"/>
              </w:tabs>
              <w:spacing w:before="0"/>
              <w:rPr>
                <w:b/>
                <w:bCs/>
                <w:szCs w:val="24"/>
                <w:lang w:val="es-ES_tradnl"/>
              </w:rPr>
            </w:pPr>
          </w:p>
        </w:tc>
        <w:tc>
          <w:tcPr>
            <w:tcW w:w="8363" w:type="dxa"/>
            <w:gridSpan w:val="2"/>
            <w:vMerge/>
            <w:shd w:val="clear" w:color="auto" w:fill="auto"/>
          </w:tcPr>
          <w:p w14:paraId="34E85F3C" w14:textId="19334C30" w:rsidR="00861E55" w:rsidRPr="00BE6424" w:rsidRDefault="00861E55" w:rsidP="00213721">
            <w:pPr>
              <w:tabs>
                <w:tab w:val="clear" w:pos="1588"/>
                <w:tab w:val="left" w:pos="1560"/>
              </w:tabs>
              <w:spacing w:before="0"/>
              <w:rPr>
                <w:b/>
                <w:bCs/>
                <w:szCs w:val="24"/>
                <w:lang w:val="es-ES_tradnl"/>
              </w:rPr>
            </w:pPr>
          </w:p>
        </w:tc>
      </w:tr>
      <w:tr w:rsidR="009A0FCF" w:rsidRPr="00BE6424" w14:paraId="157B1E31" w14:textId="77777777" w:rsidTr="00306452">
        <w:trPr>
          <w:jc w:val="center"/>
        </w:trPr>
        <w:tc>
          <w:tcPr>
            <w:tcW w:w="9889" w:type="dxa"/>
            <w:gridSpan w:val="3"/>
            <w:shd w:val="clear" w:color="auto" w:fill="auto"/>
          </w:tcPr>
          <w:p w14:paraId="3E45C3F3" w14:textId="77777777" w:rsidR="009A0FCF" w:rsidRPr="00BE6424" w:rsidRDefault="009A0FCF" w:rsidP="00E53DCE">
            <w:pPr>
              <w:tabs>
                <w:tab w:val="clear" w:pos="1588"/>
                <w:tab w:val="left" w:pos="1560"/>
              </w:tabs>
              <w:spacing w:before="0"/>
              <w:jc w:val="left"/>
              <w:rPr>
                <w:szCs w:val="24"/>
                <w:lang w:val="es-ES_tradnl"/>
              </w:rPr>
            </w:pPr>
          </w:p>
        </w:tc>
      </w:tr>
      <w:tr w:rsidR="009A0FCF" w:rsidRPr="00BE6424" w14:paraId="112AF2F3" w14:textId="77777777" w:rsidTr="00306452">
        <w:trPr>
          <w:jc w:val="center"/>
        </w:trPr>
        <w:tc>
          <w:tcPr>
            <w:tcW w:w="9889" w:type="dxa"/>
            <w:gridSpan w:val="3"/>
            <w:shd w:val="clear" w:color="auto" w:fill="auto"/>
          </w:tcPr>
          <w:p w14:paraId="2F41FA45" w14:textId="77777777" w:rsidR="009A0FCF" w:rsidRPr="00BE6424" w:rsidRDefault="009A0FCF" w:rsidP="00213721">
            <w:pPr>
              <w:spacing w:before="0"/>
              <w:jc w:val="left"/>
              <w:rPr>
                <w:b/>
                <w:bCs/>
                <w:szCs w:val="24"/>
                <w:lang w:val="es-ES_tradnl"/>
              </w:rPr>
            </w:pPr>
          </w:p>
        </w:tc>
      </w:tr>
    </w:tbl>
    <w:p w14:paraId="04410253" w14:textId="77777777" w:rsidR="009A0FCF" w:rsidRPr="00BE6424" w:rsidRDefault="009A0FCF" w:rsidP="00861E55">
      <w:pPr>
        <w:spacing w:before="360"/>
        <w:rPr>
          <w:szCs w:val="24"/>
          <w:lang w:val="es-ES_tradnl"/>
        </w:rPr>
      </w:pPr>
      <w:r w:rsidRPr="00BE6424">
        <w:rPr>
          <w:szCs w:val="24"/>
          <w:lang w:val="es-ES_tradnl"/>
        </w:rPr>
        <w:t>La Conferencia Mundial de Radiocomunicaciones, Sharm el-</w:t>
      </w:r>
      <w:proofErr w:type="spellStart"/>
      <w:r w:rsidRPr="00BE6424">
        <w:rPr>
          <w:szCs w:val="24"/>
          <w:lang w:val="es-ES_tradnl"/>
        </w:rPr>
        <w:t>Sheikh</w:t>
      </w:r>
      <w:proofErr w:type="spellEnd"/>
      <w:r w:rsidRPr="00BE6424">
        <w:rPr>
          <w:szCs w:val="24"/>
          <w:lang w:val="es-ES_tradnl"/>
        </w:rPr>
        <w:t>, 2019, (CMR-19), al adoptar una revisión parcial del Reglamento de Radiocomunicaciones, tomó una serie de decisiones que no figuran en las Actas Finales de la Conferencia, pero que quedan reflejadas en las Actas de las Sesiones Plenarias de la CMR-19. El objeto de la presente Carta Circular, según lo solicitado por la Conferencia, es reunir y señalar a la atención de las administraciones las citadas decisiones.</w:t>
      </w:r>
    </w:p>
    <w:p w14:paraId="4D02CEF1" w14:textId="77777777" w:rsidR="009A0FCF" w:rsidRPr="00BE6424" w:rsidRDefault="009A0FCF" w:rsidP="00213721">
      <w:pPr>
        <w:rPr>
          <w:szCs w:val="24"/>
          <w:lang w:val="es-ES_tradnl"/>
        </w:rPr>
      </w:pPr>
      <w:r w:rsidRPr="00BE6424">
        <w:rPr>
          <w:szCs w:val="24"/>
          <w:lang w:val="es-ES_tradnl"/>
        </w:rPr>
        <w:t>En el Anexo a la presente Carta Circular figura una recopilación de los textos de estas decisiones, junto con las referencias a los párrafos correspondientes de los documentos en que se recogen las actas de las Sesiones Plenarias de la CMR-15 y a los documentos para los que se solicitó el acuerdo/refrendo de la Plenaria.</w:t>
      </w:r>
    </w:p>
    <w:p w14:paraId="7FC9D481" w14:textId="77777777" w:rsidR="009A0FCF" w:rsidRPr="00BE6424" w:rsidRDefault="009A0FCF" w:rsidP="00213721">
      <w:pPr>
        <w:rPr>
          <w:szCs w:val="24"/>
          <w:lang w:val="es-ES_tradnl"/>
        </w:rPr>
      </w:pPr>
      <w:r w:rsidRPr="00BE6424">
        <w:rPr>
          <w:szCs w:val="24"/>
          <w:lang w:val="es-ES_tradnl"/>
        </w:rPr>
        <w:t>La Oficina de Radiocomunicaciones se mantiene a la disposición de su Administración para cualquier aclaración que pueda requerir respecto de los asuntos tratados en la presente Carta Circular.</w:t>
      </w:r>
    </w:p>
    <w:p w14:paraId="7CEA5AB6" w14:textId="77777777" w:rsidR="009A0FCF" w:rsidRPr="00BE6424" w:rsidRDefault="009A0FCF" w:rsidP="00213721">
      <w:pPr>
        <w:spacing w:before="840"/>
        <w:jc w:val="left"/>
        <w:rPr>
          <w:szCs w:val="24"/>
          <w:lang w:val="es-ES_tradnl"/>
        </w:rPr>
      </w:pPr>
      <w:r w:rsidRPr="00BE6424">
        <w:rPr>
          <w:szCs w:val="24"/>
          <w:lang w:val="es-ES_tradnl"/>
        </w:rPr>
        <w:t>Mario Maniewicz</w:t>
      </w:r>
      <w:r w:rsidRPr="00BE6424">
        <w:rPr>
          <w:szCs w:val="24"/>
          <w:lang w:val="es-ES_tradnl"/>
        </w:rPr>
        <w:br/>
        <w:t>Director</w:t>
      </w:r>
    </w:p>
    <w:p w14:paraId="45A6F014" w14:textId="77777777" w:rsidR="009A0FCF" w:rsidRPr="00BE6424" w:rsidRDefault="009A0FCF" w:rsidP="009A0FCF">
      <w:pPr>
        <w:spacing w:before="1080"/>
        <w:rPr>
          <w:szCs w:val="24"/>
          <w:lang w:val="es-ES_tradnl"/>
        </w:rPr>
      </w:pPr>
      <w:r w:rsidRPr="00BE6424">
        <w:rPr>
          <w:b/>
          <w:bCs/>
          <w:szCs w:val="24"/>
          <w:lang w:val="es-ES_tradnl"/>
        </w:rPr>
        <w:t>Anexo</w:t>
      </w:r>
      <w:r w:rsidRPr="00BE6424">
        <w:rPr>
          <w:szCs w:val="24"/>
          <w:lang w:val="es-ES_tradnl"/>
        </w:rPr>
        <w:t>: 1</w:t>
      </w:r>
    </w:p>
    <w:p w14:paraId="305501C3" w14:textId="77777777" w:rsidR="009A0FCF" w:rsidRPr="00BE6424" w:rsidRDefault="009A0FCF" w:rsidP="00213721">
      <w:pPr>
        <w:spacing w:before="480"/>
        <w:rPr>
          <w:b/>
          <w:bCs/>
          <w:sz w:val="20"/>
          <w:szCs w:val="20"/>
          <w:lang w:val="es-ES_tradnl"/>
        </w:rPr>
      </w:pPr>
      <w:r w:rsidRPr="00BE6424">
        <w:rPr>
          <w:b/>
          <w:bCs/>
          <w:sz w:val="20"/>
          <w:szCs w:val="20"/>
          <w:lang w:val="es-ES_tradnl"/>
        </w:rPr>
        <w:t>Distribución</w:t>
      </w:r>
      <w:r w:rsidRPr="00BE6424">
        <w:rPr>
          <w:sz w:val="20"/>
          <w:szCs w:val="20"/>
          <w:lang w:val="es-ES_tradnl"/>
        </w:rPr>
        <w:t>:</w:t>
      </w:r>
    </w:p>
    <w:p w14:paraId="48316F27" w14:textId="77777777" w:rsidR="009A0FCF" w:rsidRPr="00BE6424" w:rsidRDefault="009A0FCF" w:rsidP="00861E55">
      <w:pPr>
        <w:spacing w:line="240" w:lineRule="auto"/>
        <w:jc w:val="left"/>
        <w:rPr>
          <w:sz w:val="20"/>
          <w:szCs w:val="20"/>
          <w:lang w:val="es-ES_tradnl"/>
        </w:rPr>
      </w:pPr>
      <w:r w:rsidRPr="00BE6424">
        <w:rPr>
          <w:sz w:val="20"/>
          <w:szCs w:val="20"/>
          <w:lang w:val="es-ES_tradnl"/>
        </w:rPr>
        <w:t>–</w:t>
      </w:r>
      <w:r w:rsidRPr="00BE6424">
        <w:rPr>
          <w:sz w:val="20"/>
          <w:szCs w:val="20"/>
          <w:lang w:val="es-ES_tradnl"/>
        </w:rPr>
        <w:tab/>
        <w:t>Administraciones de los Estados Miembros de la UIT</w:t>
      </w:r>
    </w:p>
    <w:p w14:paraId="2B8218CA" w14:textId="77777777" w:rsidR="009A0FCF" w:rsidRPr="00BE6424" w:rsidRDefault="009A0FCF" w:rsidP="00861E55">
      <w:pPr>
        <w:spacing w:before="0" w:line="240" w:lineRule="auto"/>
        <w:jc w:val="left"/>
        <w:rPr>
          <w:sz w:val="20"/>
          <w:szCs w:val="20"/>
          <w:lang w:val="es-ES_tradnl"/>
        </w:rPr>
      </w:pPr>
      <w:r w:rsidRPr="00BE6424">
        <w:rPr>
          <w:sz w:val="20"/>
          <w:szCs w:val="20"/>
          <w:lang w:val="es-ES_tradnl"/>
        </w:rPr>
        <w:t>–</w:t>
      </w:r>
      <w:r w:rsidRPr="00BE6424">
        <w:rPr>
          <w:sz w:val="20"/>
          <w:szCs w:val="20"/>
          <w:lang w:val="es-ES_tradnl"/>
        </w:rPr>
        <w:tab/>
        <w:t>Miembros de la Junta del Reglamento de Radiocomunicaciones</w:t>
      </w:r>
    </w:p>
    <w:p w14:paraId="38FDCD42" w14:textId="77777777" w:rsidR="009A0FCF" w:rsidRPr="00BE6424" w:rsidRDefault="009A0FCF" w:rsidP="00213721">
      <w:pPr>
        <w:tabs>
          <w:tab w:val="clear" w:pos="794"/>
          <w:tab w:val="left" w:pos="252"/>
        </w:tabs>
        <w:spacing w:before="0" w:line="240" w:lineRule="auto"/>
        <w:rPr>
          <w:sz w:val="20"/>
          <w:szCs w:val="20"/>
          <w:lang w:val="es-ES_tradnl"/>
        </w:rPr>
      </w:pPr>
    </w:p>
    <w:p w14:paraId="7BB82893" w14:textId="77777777" w:rsidR="009A0FCF" w:rsidRPr="00BE6424" w:rsidRDefault="009A0FCF" w:rsidP="00213721">
      <w:pPr>
        <w:tabs>
          <w:tab w:val="clear" w:pos="794"/>
          <w:tab w:val="left" w:pos="252"/>
        </w:tabs>
        <w:spacing w:before="0" w:line="240" w:lineRule="auto"/>
        <w:rPr>
          <w:sz w:val="18"/>
          <w:szCs w:val="18"/>
          <w:lang w:val="es-ES_tradnl"/>
        </w:rPr>
      </w:pPr>
    </w:p>
    <w:p w14:paraId="62F99A2B" w14:textId="77777777" w:rsidR="009A0FCF" w:rsidRPr="00BE6424" w:rsidRDefault="009A0FCF" w:rsidP="00213721">
      <w:pPr>
        <w:pStyle w:val="enumlev1"/>
        <w:numPr>
          <w:ilvl w:val="0"/>
          <w:numId w:val="11"/>
        </w:numPr>
        <w:tabs>
          <w:tab w:val="clear" w:pos="794"/>
          <w:tab w:val="clear" w:pos="1191"/>
          <w:tab w:val="clear" w:pos="1588"/>
        </w:tabs>
        <w:spacing w:before="0"/>
        <w:ind w:left="0" w:hanging="142"/>
        <w:jc w:val="lowKashida"/>
        <w:rPr>
          <w:rFonts w:asciiTheme="minorHAnsi" w:eastAsiaTheme="majorEastAsia" w:hAnsiTheme="minorHAnsi" w:cstheme="minorHAnsi"/>
          <w:sz w:val="18"/>
          <w:szCs w:val="18"/>
          <w:lang w:val="es-ES_tradnl"/>
        </w:rPr>
        <w:sectPr w:rsidR="009A0FCF" w:rsidRPr="00BE6424" w:rsidSect="00213721">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pPr>
    </w:p>
    <w:p w14:paraId="1C9C4CBF" w14:textId="77777777" w:rsidR="009A0FCF" w:rsidRPr="00BE6424" w:rsidRDefault="009A0FCF" w:rsidP="00C05A52">
      <w:pPr>
        <w:pStyle w:val="AnnexNotitle0"/>
        <w:rPr>
          <w:rFonts w:asciiTheme="minorHAnsi" w:hAnsiTheme="minorHAnsi" w:cstheme="minorHAnsi"/>
          <w:lang w:val="es-ES_tradnl"/>
        </w:rPr>
      </w:pPr>
      <w:bookmarkStart w:id="0" w:name="lt_pId037"/>
      <w:bookmarkStart w:id="1" w:name="_Hlk33787312"/>
      <w:r w:rsidRPr="00BE6424">
        <w:rPr>
          <w:rFonts w:asciiTheme="minorHAnsi" w:hAnsiTheme="minorHAnsi" w:cstheme="minorHAnsi"/>
          <w:lang w:val="es-ES_tradnl"/>
        </w:rPr>
        <w:lastRenderedPageBreak/>
        <w:t>ANEX</w:t>
      </w:r>
      <w:bookmarkEnd w:id="0"/>
      <w:r w:rsidRPr="00BE6424">
        <w:rPr>
          <w:rFonts w:asciiTheme="minorHAnsi" w:hAnsiTheme="minorHAnsi" w:cstheme="minorHAnsi"/>
          <w:lang w:val="es-ES_tradnl"/>
        </w:rPr>
        <w:t>O</w:t>
      </w:r>
    </w:p>
    <w:p w14:paraId="33390F28" w14:textId="77777777" w:rsidR="00C05A52" w:rsidRPr="00BE6424" w:rsidRDefault="00C05A52" w:rsidP="00C05A52">
      <w:pPr>
        <w:rPr>
          <w:lang w:val="es-ES_tradnl"/>
        </w:rPr>
      </w:pPr>
    </w:p>
    <w:tbl>
      <w:tblPr>
        <w:tblStyle w:val="TableGrid"/>
        <w:tblW w:w="14312" w:type="dxa"/>
        <w:tblLayout w:type="fixed"/>
        <w:tblLook w:val="04A0" w:firstRow="1" w:lastRow="0" w:firstColumn="1" w:lastColumn="0" w:noHBand="0" w:noVBand="1"/>
      </w:tblPr>
      <w:tblGrid>
        <w:gridCol w:w="1669"/>
        <w:gridCol w:w="1881"/>
        <w:gridCol w:w="10733"/>
        <w:gridCol w:w="29"/>
      </w:tblGrid>
      <w:tr w:rsidR="009A0FCF" w:rsidRPr="00BE6424" w14:paraId="04D4D42A" w14:textId="77777777" w:rsidTr="005321E9">
        <w:trPr>
          <w:gridAfter w:val="1"/>
          <w:wAfter w:w="29" w:type="dxa"/>
          <w:trHeight w:val="857"/>
          <w:tblHeader/>
        </w:trPr>
        <w:tc>
          <w:tcPr>
            <w:tcW w:w="1669" w:type="dxa"/>
          </w:tcPr>
          <w:p w14:paraId="2F074E38" w14:textId="77777777" w:rsidR="009A0FCF" w:rsidRPr="00BE6424" w:rsidRDefault="009A0FCF" w:rsidP="001311B8">
            <w:pPr>
              <w:pStyle w:val="Tablehead"/>
              <w:keepNext w:val="0"/>
              <w:rPr>
                <w:sz w:val="22"/>
                <w:lang w:val="es-ES_tradnl"/>
              </w:rPr>
            </w:pPr>
            <w:r w:rsidRPr="00BE6424">
              <w:rPr>
                <w:sz w:val="22"/>
                <w:lang w:val="es-ES_tradnl"/>
              </w:rPr>
              <w:t>Documento de origen (Actas de la Plenaria)</w:t>
            </w:r>
          </w:p>
        </w:tc>
        <w:tc>
          <w:tcPr>
            <w:tcW w:w="1881" w:type="dxa"/>
          </w:tcPr>
          <w:p w14:paraId="46508845" w14:textId="77777777" w:rsidR="009A0FCF" w:rsidRPr="00BE6424" w:rsidRDefault="009A0FCF" w:rsidP="001311B8">
            <w:pPr>
              <w:pStyle w:val="Tablehead"/>
              <w:keepNext w:val="0"/>
              <w:rPr>
                <w:sz w:val="22"/>
                <w:lang w:val="es-ES_tradnl"/>
              </w:rPr>
            </w:pPr>
            <w:r w:rsidRPr="00BE6424">
              <w:rPr>
                <w:sz w:val="22"/>
                <w:lang w:val="es-ES_tradnl"/>
              </w:rPr>
              <w:t>Antecedentes de la decisión de la Plenaria</w:t>
            </w:r>
          </w:p>
        </w:tc>
        <w:tc>
          <w:tcPr>
            <w:tcW w:w="10733" w:type="dxa"/>
          </w:tcPr>
          <w:p w14:paraId="1A889550" w14:textId="77777777" w:rsidR="009A0FCF" w:rsidRPr="00BE6424" w:rsidRDefault="009A0FCF" w:rsidP="001311B8">
            <w:pPr>
              <w:pStyle w:val="Tablehead"/>
              <w:keepNext w:val="0"/>
              <w:rPr>
                <w:sz w:val="22"/>
                <w:lang w:val="es-ES_tradnl"/>
              </w:rPr>
            </w:pPr>
            <w:r w:rsidRPr="00BE6424">
              <w:rPr>
                <w:sz w:val="22"/>
                <w:lang w:val="es-ES_tradnl"/>
              </w:rPr>
              <w:t>Decisión de la Plenaria y texto asociado</w:t>
            </w:r>
          </w:p>
        </w:tc>
      </w:tr>
      <w:tr w:rsidR="009A0FCF" w:rsidRPr="00BE6424" w14:paraId="6E171338" w14:textId="77777777" w:rsidTr="005321E9">
        <w:trPr>
          <w:gridAfter w:val="1"/>
          <w:wAfter w:w="29" w:type="dxa"/>
          <w:trHeight w:val="1139"/>
        </w:trPr>
        <w:tc>
          <w:tcPr>
            <w:tcW w:w="1669" w:type="dxa"/>
            <w:vMerge w:val="restart"/>
          </w:tcPr>
          <w:p w14:paraId="73DC0847" w14:textId="1B6B9F8F" w:rsidR="009A0FCF" w:rsidRPr="00BE6424" w:rsidRDefault="009A0FCF" w:rsidP="001311B8">
            <w:pPr>
              <w:pStyle w:val="Tablehead"/>
              <w:keepNext w:val="0"/>
              <w:rPr>
                <w:sz w:val="22"/>
                <w:lang w:val="es-ES_tradnl"/>
              </w:rPr>
            </w:pPr>
            <w:bookmarkStart w:id="2" w:name="lt_pId041"/>
            <w:r w:rsidRPr="00BE6424">
              <w:rPr>
                <w:sz w:val="22"/>
                <w:lang w:val="es-ES_tradnl"/>
              </w:rPr>
              <w:t xml:space="preserve">Documento </w:t>
            </w:r>
            <w:hyperlink r:id="rId12" w:history="1">
              <w:r w:rsidRPr="00124AA2">
                <w:rPr>
                  <w:rStyle w:val="Hyperlink"/>
                  <w:sz w:val="22"/>
                  <w:lang w:val="es-ES_tradnl"/>
                </w:rPr>
                <w:t>CMR1</w:t>
              </w:r>
              <w:r w:rsidRPr="00124AA2">
                <w:rPr>
                  <w:rStyle w:val="Hyperlink"/>
                  <w:sz w:val="22"/>
                  <w:lang w:val="es-ES_tradnl"/>
                </w:rPr>
                <w:t>9</w:t>
              </w:r>
              <w:r w:rsidRPr="00124AA2">
                <w:rPr>
                  <w:rStyle w:val="Hyperlink"/>
                  <w:sz w:val="22"/>
                  <w:lang w:val="es-ES_tradnl"/>
                </w:rPr>
                <w:t>/237</w:t>
              </w:r>
            </w:hyperlink>
            <w:r w:rsidRPr="00BE6424">
              <w:rPr>
                <w:sz w:val="22"/>
                <w:lang w:val="es-ES_tradnl"/>
              </w:rPr>
              <w:t xml:space="preserve"> – Actas de la cuarta Sesión Plenaria</w:t>
            </w:r>
            <w:bookmarkEnd w:id="2"/>
          </w:p>
        </w:tc>
        <w:tc>
          <w:tcPr>
            <w:tcW w:w="1881" w:type="dxa"/>
          </w:tcPr>
          <w:p w14:paraId="5B366E66" w14:textId="472A2EBF" w:rsidR="009A0FCF" w:rsidRPr="00BE6424" w:rsidRDefault="009A0FCF" w:rsidP="001311B8">
            <w:pPr>
              <w:pStyle w:val="Tablehead"/>
              <w:keepNext w:val="0"/>
              <w:rPr>
                <w:sz w:val="22"/>
                <w:lang w:val="es-ES_tradnl"/>
              </w:rPr>
            </w:pPr>
            <w:bookmarkStart w:id="3" w:name="lt_pId042"/>
            <w:r w:rsidRPr="00BE6424">
              <w:rPr>
                <w:sz w:val="22"/>
                <w:lang w:val="es-ES_tradnl"/>
              </w:rPr>
              <w:t xml:space="preserve">§§ 2.1 </w:t>
            </w:r>
            <w:r w:rsidR="00861E55" w:rsidRPr="00BE6424">
              <w:rPr>
                <w:sz w:val="22"/>
                <w:lang w:val="es-ES_tradnl"/>
              </w:rPr>
              <w:t>a</w:t>
            </w:r>
            <w:r w:rsidRPr="00BE6424">
              <w:rPr>
                <w:sz w:val="22"/>
                <w:lang w:val="es-ES_tradnl"/>
              </w:rPr>
              <w:t xml:space="preserve"> 2.3</w:t>
            </w:r>
            <w:bookmarkEnd w:id="3"/>
          </w:p>
          <w:p w14:paraId="52361A64" w14:textId="697FD204" w:rsidR="009A0FCF" w:rsidRPr="00BE6424" w:rsidRDefault="009A0FCF" w:rsidP="001311B8">
            <w:pPr>
              <w:pStyle w:val="Tablehead"/>
              <w:keepNext w:val="0"/>
              <w:rPr>
                <w:sz w:val="22"/>
                <w:lang w:val="es-ES_tradnl"/>
              </w:rPr>
            </w:pPr>
            <w:bookmarkStart w:id="4" w:name="lt_pId043"/>
            <w:r w:rsidRPr="00BE6424">
              <w:rPr>
                <w:sz w:val="22"/>
                <w:lang w:val="es-ES_tradnl"/>
              </w:rPr>
              <w:t xml:space="preserve">Aprobación del documento </w:t>
            </w:r>
            <w:hyperlink r:id="rId13" w:history="1">
              <w:r w:rsidRPr="001C5E82">
                <w:rPr>
                  <w:rStyle w:val="Hyperlink"/>
                  <w:sz w:val="22"/>
                  <w:lang w:val="es-ES_tradnl"/>
                </w:rPr>
                <w:t>20</w:t>
              </w:r>
              <w:r w:rsidRPr="001C5E82">
                <w:rPr>
                  <w:rStyle w:val="Hyperlink"/>
                  <w:sz w:val="22"/>
                  <w:lang w:val="es-ES_tradnl"/>
                </w:rPr>
                <w:t>1</w:t>
              </w:r>
              <w:bookmarkEnd w:id="4"/>
            </w:hyperlink>
            <w:r w:rsidRPr="00BE6424">
              <w:rPr>
                <w:sz w:val="22"/>
                <w:lang w:val="es-ES_tradnl"/>
              </w:rPr>
              <w:t xml:space="preserve"> </w:t>
            </w:r>
          </w:p>
        </w:tc>
        <w:tc>
          <w:tcPr>
            <w:tcW w:w="10733" w:type="dxa"/>
          </w:tcPr>
          <w:p w14:paraId="009F5848" w14:textId="2D4230DA" w:rsidR="009A0FCF" w:rsidRPr="00BE6424" w:rsidRDefault="009A0FCF" w:rsidP="001311B8">
            <w:pPr>
              <w:pStyle w:val="Tabletext"/>
              <w:spacing w:before="120"/>
              <w:rPr>
                <w:sz w:val="22"/>
                <w:lang w:val="es-ES_tradnl"/>
              </w:rPr>
            </w:pPr>
            <w:bookmarkStart w:id="5" w:name="lt_pId044"/>
            <w:r w:rsidRPr="00BE6424">
              <w:rPr>
                <w:sz w:val="22"/>
                <w:lang w:val="es-ES_tradnl"/>
              </w:rPr>
              <w:t xml:space="preserve">Se ha observado en la información que figura en § 3.4.1 del </w:t>
            </w:r>
            <w:proofErr w:type="spellStart"/>
            <w:r w:rsidRPr="00BE6424">
              <w:rPr>
                <w:sz w:val="22"/>
                <w:lang w:val="es-ES_tradnl"/>
              </w:rPr>
              <w:t>Addéndum</w:t>
            </w:r>
            <w:proofErr w:type="spellEnd"/>
            <w:r w:rsidRPr="00BE6424">
              <w:rPr>
                <w:sz w:val="22"/>
                <w:lang w:val="es-ES_tradnl"/>
              </w:rPr>
              <w:t> 2 al Informe del Director (Doc.</w:t>
            </w:r>
            <w:r w:rsidR="00C05A52" w:rsidRPr="00BE6424">
              <w:rPr>
                <w:sz w:val="22"/>
                <w:lang w:val="es-ES_tradnl"/>
              </w:rPr>
              <w:t> </w:t>
            </w:r>
            <w:r w:rsidRPr="00BE6424">
              <w:rPr>
                <w:sz w:val="22"/>
                <w:lang w:val="es-ES_tradnl"/>
              </w:rPr>
              <w:t>CMR19/4) a la</w:t>
            </w:r>
            <w:r w:rsidR="00B62D68" w:rsidRPr="00BE6424">
              <w:rPr>
                <w:sz w:val="22"/>
                <w:lang w:val="es-ES_tradnl"/>
              </w:rPr>
              <w:t> </w:t>
            </w:r>
            <w:r w:rsidRPr="00BE6424">
              <w:rPr>
                <w:sz w:val="22"/>
                <w:lang w:val="es-ES_tradnl"/>
              </w:rPr>
              <w:t>CMR-19, que todos los exámenes de asignaciones de frecuencias a servicios terrenales y la identificación de las administraciones potencialmente afectadas que actualmente efectúa la Oficina en aplicación de los diversos procedimientos que se recogen en el RR y los Acuerdos Regionales se llevan a cabo utilizando modelos de predicción de la propagación sin perfiles de altura del terreno.</w:t>
            </w:r>
          </w:p>
          <w:p w14:paraId="7C0A6F7C" w14:textId="77777777" w:rsidR="009A0FCF" w:rsidRPr="00BE6424" w:rsidRDefault="009A0FCF" w:rsidP="001311B8">
            <w:pPr>
              <w:pStyle w:val="Tabletext"/>
              <w:spacing w:before="120"/>
              <w:rPr>
                <w:sz w:val="22"/>
                <w:lang w:val="es-ES_tradnl"/>
              </w:rPr>
            </w:pPr>
            <w:r w:rsidRPr="00BE6424">
              <w:rPr>
                <w:sz w:val="22"/>
                <w:lang w:val="es-ES_tradnl"/>
              </w:rPr>
              <w:t>Es bien sabido que la utilización del dato de la altura del terreno para la identificación de las administraciones potencialmente afectadas podría beneficiarles y que este planteamiento acortaría la lista de requisitos de coordinación y reduciría la carga de coordinación tanto para las administraciones como para la Oficina.</w:t>
            </w:r>
          </w:p>
          <w:p w14:paraId="3763E421" w14:textId="77777777" w:rsidR="009A0FCF" w:rsidRPr="00BE6424" w:rsidRDefault="009A0FCF" w:rsidP="001311B8">
            <w:pPr>
              <w:pStyle w:val="Tabletext"/>
              <w:spacing w:before="120"/>
              <w:rPr>
                <w:sz w:val="22"/>
                <w:lang w:val="es-ES_tradnl"/>
              </w:rPr>
            </w:pPr>
            <w:r w:rsidRPr="00BE6424">
              <w:rPr>
                <w:sz w:val="22"/>
                <w:lang w:val="es-ES_tradnl"/>
              </w:rPr>
              <w:t>En virtud de lo anterior, se propone encargar a la Oficina que simule el examen de las notificaciones del número </w:t>
            </w:r>
            <w:r w:rsidRPr="00DA15A1">
              <w:rPr>
                <w:b/>
                <w:bCs/>
                <w:sz w:val="22"/>
                <w:lang w:val="es-ES_tradnl"/>
              </w:rPr>
              <w:t>9.21</w:t>
            </w:r>
            <w:r w:rsidRPr="00BE6424">
              <w:rPr>
                <w:sz w:val="22"/>
                <w:lang w:val="es-ES_tradnl"/>
              </w:rPr>
              <w:t xml:space="preserve"> del RR en las bandas no planificadas utilizando modelos de elevación digital (DEM) y notifique los resultados a la Junta del Reglamento de Radiocomunicaciones. La Junta podría decidir posteriormente, mediante las Reglas de Procedimiento pertinentes, que la Oficina utilice el dato de altura del terreno en los exámenes en virtud del número </w:t>
            </w:r>
            <w:r w:rsidRPr="00DA15A1">
              <w:rPr>
                <w:b/>
                <w:bCs/>
                <w:sz w:val="22"/>
                <w:lang w:val="es-ES_tradnl"/>
              </w:rPr>
              <w:t>9.21</w:t>
            </w:r>
            <w:r w:rsidRPr="00BE6424">
              <w:rPr>
                <w:sz w:val="22"/>
                <w:lang w:val="es-ES_tradnl"/>
              </w:rPr>
              <w:t xml:space="preserve"> del RR y comunicar los resultados a la próxima CMR.</w:t>
            </w:r>
          </w:p>
          <w:p w14:paraId="0E33A394" w14:textId="77777777" w:rsidR="009A0FCF" w:rsidRPr="00BE6424" w:rsidRDefault="009A0FCF" w:rsidP="001311B8">
            <w:pPr>
              <w:pStyle w:val="Tabletext"/>
              <w:spacing w:before="120"/>
              <w:rPr>
                <w:rFonts w:asciiTheme="minorHAnsi" w:hAnsiTheme="minorHAnsi" w:cstheme="minorHAnsi"/>
                <w:szCs w:val="20"/>
                <w:lang w:val="es-ES_tradnl"/>
              </w:rPr>
            </w:pPr>
            <w:r w:rsidRPr="00BE6424">
              <w:rPr>
                <w:sz w:val="22"/>
                <w:lang w:val="es-ES_tradnl"/>
              </w:rPr>
              <w:t>Teniendo presente que los datos de la Misión Topográfica del Radar del Transbordador Espacial (</w:t>
            </w:r>
            <w:proofErr w:type="spellStart"/>
            <w:r w:rsidRPr="00DA15A1">
              <w:rPr>
                <w:i/>
                <w:iCs/>
                <w:sz w:val="22"/>
                <w:lang w:val="es-ES_tradnl"/>
              </w:rPr>
              <w:t>Shuttle</w:t>
            </w:r>
            <w:proofErr w:type="spellEnd"/>
            <w:r w:rsidRPr="00DA15A1">
              <w:rPr>
                <w:i/>
                <w:iCs/>
                <w:sz w:val="22"/>
                <w:lang w:val="es-ES_tradnl"/>
              </w:rPr>
              <w:t xml:space="preserve"> Radar </w:t>
            </w:r>
            <w:proofErr w:type="spellStart"/>
            <w:r w:rsidRPr="00DA15A1">
              <w:rPr>
                <w:i/>
                <w:iCs/>
                <w:sz w:val="22"/>
                <w:lang w:val="es-ES_tradnl"/>
              </w:rPr>
              <w:t>Topography</w:t>
            </w:r>
            <w:proofErr w:type="spellEnd"/>
            <w:r w:rsidRPr="00DA15A1">
              <w:rPr>
                <w:i/>
                <w:iCs/>
                <w:sz w:val="22"/>
                <w:lang w:val="es-ES_tradnl"/>
              </w:rPr>
              <w:t xml:space="preserve"> Mission</w:t>
            </w:r>
            <w:r w:rsidRPr="00BE6424">
              <w:rPr>
                <w:sz w:val="22"/>
                <w:lang w:val="es-ES_tradnl"/>
              </w:rPr>
              <w:t>), cuya resolución es de 1 segundo de arco en longitud y latitud (SRTM1), no se extiende más al norte de los 60 grados Norte ni al sur de los 56 grados Sur, podría encargarse además a la Oficina que continuase examinado las estaciones terrenales situadas fuera de esta extensión geográfica sin utilizar la información de la altura del terreno y que sondease la posibilidad de utilizar modelos alternativos de elevación digital con una extensión geográfica más amplia.</w:t>
            </w:r>
            <w:bookmarkEnd w:id="5"/>
          </w:p>
        </w:tc>
      </w:tr>
      <w:tr w:rsidR="009A0FCF" w:rsidRPr="00BE6424" w14:paraId="0737BBE1" w14:textId="77777777" w:rsidTr="005321E9">
        <w:trPr>
          <w:gridAfter w:val="1"/>
          <w:wAfter w:w="29" w:type="dxa"/>
          <w:trHeight w:val="1139"/>
        </w:trPr>
        <w:tc>
          <w:tcPr>
            <w:tcW w:w="1669" w:type="dxa"/>
            <w:vMerge/>
          </w:tcPr>
          <w:p w14:paraId="06493CDD" w14:textId="77777777" w:rsidR="009A0FCF" w:rsidRPr="00BE6424" w:rsidRDefault="009A0FCF" w:rsidP="001311B8">
            <w:pPr>
              <w:pStyle w:val="Tablehead"/>
              <w:keepNext w:val="0"/>
              <w:rPr>
                <w:sz w:val="22"/>
                <w:lang w:val="es-ES_tradnl"/>
              </w:rPr>
            </w:pPr>
          </w:p>
        </w:tc>
        <w:tc>
          <w:tcPr>
            <w:tcW w:w="1881" w:type="dxa"/>
          </w:tcPr>
          <w:p w14:paraId="42B0A4F4" w14:textId="77777777" w:rsidR="009A0FCF" w:rsidRPr="00BE6424" w:rsidRDefault="009A0FCF" w:rsidP="001311B8">
            <w:pPr>
              <w:pStyle w:val="Tablehead"/>
              <w:keepNext w:val="0"/>
              <w:rPr>
                <w:sz w:val="22"/>
                <w:lang w:val="es-ES_tradnl"/>
              </w:rPr>
            </w:pPr>
            <w:bookmarkStart w:id="6" w:name="lt_pId049"/>
            <w:r w:rsidRPr="00BE6424">
              <w:rPr>
                <w:sz w:val="22"/>
                <w:lang w:val="es-ES_tradnl"/>
              </w:rPr>
              <w:t>§§ 5.1 a 5.8</w:t>
            </w:r>
            <w:bookmarkEnd w:id="6"/>
          </w:p>
          <w:p w14:paraId="0DB5071A" w14:textId="02E1212F" w:rsidR="009A0FCF" w:rsidRPr="00BE6424" w:rsidRDefault="009A0FCF" w:rsidP="001311B8">
            <w:pPr>
              <w:pStyle w:val="Tablehead"/>
              <w:keepNext w:val="0"/>
              <w:rPr>
                <w:sz w:val="22"/>
                <w:lang w:val="es-ES_tradnl"/>
              </w:rPr>
            </w:pPr>
            <w:bookmarkStart w:id="7" w:name="lt_pId050"/>
            <w:r w:rsidRPr="00BE6424">
              <w:rPr>
                <w:sz w:val="22"/>
                <w:lang w:val="es-ES_tradnl"/>
              </w:rPr>
              <w:t xml:space="preserve">Aprobación del documento </w:t>
            </w:r>
            <w:hyperlink r:id="rId14" w:history="1">
              <w:r w:rsidRPr="001C5E82">
                <w:rPr>
                  <w:rStyle w:val="Hyperlink"/>
                  <w:sz w:val="22"/>
                  <w:lang w:val="es-ES_tradnl"/>
                </w:rPr>
                <w:t>189</w:t>
              </w:r>
              <w:bookmarkEnd w:id="7"/>
            </w:hyperlink>
          </w:p>
        </w:tc>
        <w:tc>
          <w:tcPr>
            <w:tcW w:w="10733" w:type="dxa"/>
          </w:tcPr>
          <w:p w14:paraId="74DE177B" w14:textId="77777777" w:rsidR="009A0FCF" w:rsidRPr="00BE6424" w:rsidRDefault="009A0FCF" w:rsidP="001311B8">
            <w:pPr>
              <w:pStyle w:val="Tabletext"/>
              <w:spacing w:before="120"/>
              <w:rPr>
                <w:rFonts w:asciiTheme="minorHAnsi" w:hAnsiTheme="minorHAnsi" w:cstheme="minorHAnsi"/>
                <w:szCs w:val="24"/>
                <w:lang w:val="es-ES_tradnl"/>
              </w:rPr>
            </w:pPr>
            <w:bookmarkStart w:id="8" w:name="lt_pId051"/>
            <w:r w:rsidRPr="00BE6424">
              <w:rPr>
                <w:sz w:val="22"/>
                <w:lang w:val="es-ES_tradnl"/>
              </w:rPr>
              <w:t>Antes de que expire el plazo mencionado en el presente documento, la Oficina de Radiocomunicaciones enviará un mensaje a las administraciones interesadas señalando a su atención la necesidad de responder dentro del plazo previsto en el documento.</w:t>
            </w:r>
            <w:bookmarkEnd w:id="8"/>
          </w:p>
        </w:tc>
      </w:tr>
      <w:tr w:rsidR="009A0FCF" w:rsidRPr="00BE6424" w14:paraId="6DEC556E" w14:textId="77777777" w:rsidTr="005321E9">
        <w:trPr>
          <w:gridAfter w:val="1"/>
          <w:wAfter w:w="29" w:type="dxa"/>
          <w:trHeight w:val="1139"/>
        </w:trPr>
        <w:tc>
          <w:tcPr>
            <w:tcW w:w="1669" w:type="dxa"/>
            <w:vMerge w:val="restart"/>
          </w:tcPr>
          <w:p w14:paraId="002F5353" w14:textId="202A4898" w:rsidR="009A0FCF" w:rsidRPr="00BE6424" w:rsidRDefault="009A0FCF" w:rsidP="001311B8">
            <w:pPr>
              <w:pStyle w:val="Tablehead"/>
              <w:keepNext w:val="0"/>
              <w:rPr>
                <w:sz w:val="22"/>
                <w:lang w:val="es-ES_tradnl"/>
              </w:rPr>
            </w:pPr>
            <w:bookmarkStart w:id="9" w:name="lt_pId052"/>
            <w:r w:rsidRPr="00BE6424">
              <w:rPr>
                <w:sz w:val="22"/>
                <w:lang w:val="es-ES_tradnl"/>
              </w:rPr>
              <w:t xml:space="preserve">Documento </w:t>
            </w:r>
            <w:hyperlink r:id="rId15" w:history="1">
              <w:r w:rsidRPr="00124AA2">
                <w:rPr>
                  <w:rStyle w:val="Hyperlink"/>
                  <w:sz w:val="22"/>
                  <w:lang w:val="es-ES_tradnl"/>
                </w:rPr>
                <w:t>CMR19/469</w:t>
              </w:r>
            </w:hyperlink>
            <w:r w:rsidRPr="00BE6424">
              <w:rPr>
                <w:sz w:val="22"/>
                <w:lang w:val="es-ES_tradnl"/>
              </w:rPr>
              <w:t xml:space="preserve"> – Actas de la sexta Sesión Plenaria</w:t>
            </w:r>
            <w:bookmarkEnd w:id="9"/>
          </w:p>
        </w:tc>
        <w:tc>
          <w:tcPr>
            <w:tcW w:w="1881" w:type="dxa"/>
          </w:tcPr>
          <w:p w14:paraId="329C4D8D" w14:textId="77777777" w:rsidR="009A0FCF" w:rsidRPr="00BE6424" w:rsidRDefault="009A0FCF" w:rsidP="001311B8">
            <w:pPr>
              <w:pStyle w:val="Tablehead"/>
              <w:keepNext w:val="0"/>
              <w:rPr>
                <w:sz w:val="22"/>
                <w:lang w:val="es-ES_tradnl"/>
              </w:rPr>
            </w:pPr>
            <w:bookmarkStart w:id="10" w:name="lt_pId053"/>
            <w:r w:rsidRPr="00BE6424">
              <w:rPr>
                <w:sz w:val="22"/>
                <w:lang w:val="es-ES_tradnl"/>
              </w:rPr>
              <w:t>§§ 2.4 a 2.13</w:t>
            </w:r>
            <w:bookmarkEnd w:id="10"/>
          </w:p>
          <w:p w14:paraId="3157EF1E" w14:textId="6D266683" w:rsidR="009A0FCF" w:rsidRPr="00BE6424" w:rsidRDefault="009A0FCF" w:rsidP="001311B8">
            <w:pPr>
              <w:pStyle w:val="Tablehead"/>
              <w:keepNext w:val="0"/>
              <w:rPr>
                <w:sz w:val="22"/>
                <w:lang w:val="es-ES_tradnl"/>
              </w:rPr>
            </w:pPr>
            <w:bookmarkStart w:id="11" w:name="lt_pId054"/>
            <w:r w:rsidRPr="00BE6424">
              <w:rPr>
                <w:sz w:val="22"/>
                <w:lang w:val="es-ES_tradnl"/>
              </w:rPr>
              <w:t xml:space="preserve">Aprobación del documento </w:t>
            </w:r>
            <w:hyperlink r:id="rId16" w:history="1">
              <w:r w:rsidRPr="001C5E82">
                <w:rPr>
                  <w:rStyle w:val="Hyperlink"/>
                  <w:sz w:val="22"/>
                  <w:lang w:val="es-ES_tradnl"/>
                </w:rPr>
                <w:t>228</w:t>
              </w:r>
              <w:bookmarkEnd w:id="11"/>
            </w:hyperlink>
          </w:p>
        </w:tc>
        <w:tc>
          <w:tcPr>
            <w:tcW w:w="10733" w:type="dxa"/>
          </w:tcPr>
          <w:p w14:paraId="157D3269" w14:textId="77777777" w:rsidR="009A0FCF" w:rsidRPr="00BE6424" w:rsidRDefault="009A0FCF" w:rsidP="001311B8">
            <w:pPr>
              <w:pStyle w:val="Tabletext"/>
              <w:spacing w:before="120"/>
              <w:rPr>
                <w:sz w:val="22"/>
                <w:lang w:val="es-ES_tradnl"/>
              </w:rPr>
            </w:pPr>
            <w:bookmarkStart w:id="12" w:name="lt_pId055"/>
            <w:r w:rsidRPr="00BE6424">
              <w:rPr>
                <w:sz w:val="22"/>
                <w:lang w:val="es-ES_tradnl"/>
              </w:rPr>
              <w:t>La CMR-19 encarga a la Oficina de Radiocomunicaciones que aplique los principios siguientes cuando tramite notificaciones de asignaciones de frecuencias a estaciones «IMT»:</w:t>
            </w:r>
          </w:p>
          <w:p w14:paraId="7F0397D2" w14:textId="77777777" w:rsidR="009A0FCF" w:rsidRPr="00BE6424" w:rsidRDefault="009A0FCF" w:rsidP="00B62D68">
            <w:pPr>
              <w:pStyle w:val="Tabletext"/>
              <w:tabs>
                <w:tab w:val="clear" w:pos="284"/>
                <w:tab w:val="left" w:pos="495"/>
              </w:tabs>
              <w:spacing w:before="80"/>
              <w:ind w:left="408" w:hanging="408"/>
              <w:rPr>
                <w:sz w:val="22"/>
                <w:lang w:val="es-ES_tradnl"/>
              </w:rPr>
            </w:pPr>
            <w:r w:rsidRPr="00BE6424">
              <w:rPr>
                <w:sz w:val="22"/>
                <w:lang w:val="es-ES_tradnl"/>
              </w:rPr>
              <w:t>a)</w:t>
            </w:r>
            <w:r w:rsidRPr="00BE6424">
              <w:rPr>
                <w:sz w:val="22"/>
                <w:lang w:val="es-ES_tradnl"/>
              </w:rPr>
              <w:tab/>
              <w:t>Las asignaciones a estaciones base en bandas de frecuencias identificadas para las IMT en el país que presenta la notificación se pueden notificar con la naturaleza del servicio «IM»*.</w:t>
            </w:r>
          </w:p>
          <w:p w14:paraId="47E43D8A" w14:textId="77777777" w:rsidR="009A0FCF" w:rsidRPr="00BE6424" w:rsidRDefault="009A0FCF" w:rsidP="00B62D68">
            <w:pPr>
              <w:pStyle w:val="Tabletext"/>
              <w:tabs>
                <w:tab w:val="clear" w:pos="284"/>
                <w:tab w:val="left" w:pos="495"/>
              </w:tabs>
              <w:spacing w:before="80"/>
              <w:ind w:left="408" w:hanging="408"/>
              <w:rPr>
                <w:sz w:val="22"/>
                <w:lang w:val="es-ES_tradnl"/>
              </w:rPr>
            </w:pPr>
            <w:r w:rsidRPr="00BE6424">
              <w:rPr>
                <w:sz w:val="22"/>
                <w:lang w:val="es-ES_tradnl"/>
              </w:rPr>
              <w:t>b)</w:t>
            </w:r>
            <w:r w:rsidRPr="00BE6424">
              <w:rPr>
                <w:sz w:val="22"/>
                <w:lang w:val="es-ES_tradnl"/>
              </w:rPr>
              <w:tab/>
              <w:t>Las asignaciones a estaciones base en bandas de frecuencias atribuidas al servicio móvil, que no están identificadas para las IMT en el país que presenta la notificación, se pueden notificar con una naturaleza del servicio distinta de «IM». Si en este caso las asignaciones a estaciones base se notifican con la naturaleza del servicio «IM», la notificación se devolverá a la administración notificante.</w:t>
            </w:r>
          </w:p>
          <w:p w14:paraId="1A19A07E" w14:textId="27F78BF9" w:rsidR="009A0FCF" w:rsidRPr="00BE6424" w:rsidRDefault="009A0FCF" w:rsidP="00B62D68">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El símbolo «IM» designa las estaciones IMT en el servicio móvil como se explica en la Carta Circular CR/391 de</w:t>
            </w:r>
            <w:r w:rsidR="00BE6424">
              <w:rPr>
                <w:sz w:val="22"/>
                <w:lang w:val="es-ES_tradnl"/>
              </w:rPr>
              <w:t> </w:t>
            </w:r>
            <w:r w:rsidRPr="00BE6424">
              <w:rPr>
                <w:sz w:val="22"/>
                <w:lang w:val="es-ES_tradnl"/>
              </w:rPr>
              <w:t>26/02/2016.</w:t>
            </w:r>
            <w:bookmarkEnd w:id="12"/>
          </w:p>
          <w:p w14:paraId="642EAE94" w14:textId="77777777" w:rsidR="009A0FCF" w:rsidRPr="00BE6424" w:rsidRDefault="009A0FCF" w:rsidP="001311B8">
            <w:pPr>
              <w:pStyle w:val="Tabletext"/>
              <w:spacing w:before="120"/>
              <w:rPr>
                <w:rFonts w:asciiTheme="minorHAnsi" w:hAnsiTheme="minorHAnsi" w:cstheme="minorHAnsi"/>
                <w:lang w:val="es-ES_tradnl"/>
              </w:rPr>
            </w:pPr>
            <w:bookmarkStart w:id="13" w:name="lt_pId063"/>
            <w:r w:rsidRPr="00BE6424">
              <w:rPr>
                <w:sz w:val="22"/>
                <w:lang w:val="es-ES_tradnl"/>
              </w:rPr>
              <w:t xml:space="preserve">El </w:t>
            </w:r>
            <w:r w:rsidRPr="00DA15A1">
              <w:rPr>
                <w:b/>
                <w:bCs/>
                <w:sz w:val="22"/>
                <w:lang w:val="es-ES_tradnl"/>
              </w:rPr>
              <w:t>Director de la BR</w:t>
            </w:r>
            <w:r w:rsidRPr="00BE6424">
              <w:rPr>
                <w:sz w:val="22"/>
                <w:lang w:val="es-ES_tradnl"/>
              </w:rPr>
              <w:t xml:space="preserve"> ofrece la siguiente aclaración: el texto relativo a la tramitación por la Oficina de Radiocomunicaciones de la notificación de las estaciones «IMT» tiene por objeto permitir a las administraciones notificar asignaciones como «IM» solo cuando se trate de estaciones base en bandas de frecuencias identificadas para las IMT en el país. De lo contrario, las asignaciones sólo podrán notificarse como «distintas de IM».</w:t>
            </w:r>
            <w:bookmarkEnd w:id="13"/>
          </w:p>
        </w:tc>
      </w:tr>
      <w:tr w:rsidR="009A0FCF" w:rsidRPr="00BE6424" w14:paraId="56E0BE9D" w14:textId="77777777" w:rsidTr="005321E9">
        <w:trPr>
          <w:gridAfter w:val="1"/>
          <w:wAfter w:w="29" w:type="dxa"/>
          <w:trHeight w:val="1139"/>
        </w:trPr>
        <w:tc>
          <w:tcPr>
            <w:tcW w:w="1669" w:type="dxa"/>
            <w:vMerge/>
          </w:tcPr>
          <w:p w14:paraId="1E964BDB"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06E8E3CF" w14:textId="77777777" w:rsidR="009A0FCF" w:rsidRPr="00BE6424" w:rsidRDefault="009A0FCF" w:rsidP="001311B8">
            <w:pPr>
              <w:pStyle w:val="Tablehead"/>
              <w:keepNext w:val="0"/>
              <w:rPr>
                <w:sz w:val="22"/>
                <w:lang w:val="es-ES_tradnl"/>
              </w:rPr>
            </w:pPr>
            <w:bookmarkStart w:id="14" w:name="lt_pId066"/>
            <w:r w:rsidRPr="00BE6424">
              <w:rPr>
                <w:sz w:val="22"/>
                <w:lang w:val="es-ES_tradnl"/>
              </w:rPr>
              <w:t>§§ 2.14 a 2.16</w:t>
            </w:r>
            <w:bookmarkEnd w:id="14"/>
          </w:p>
          <w:p w14:paraId="2F78281C" w14:textId="3F3835E5" w:rsidR="009A0FCF" w:rsidRPr="00BE6424" w:rsidRDefault="009A0FCF" w:rsidP="001311B8">
            <w:pPr>
              <w:pStyle w:val="Tablehead"/>
              <w:keepNext w:val="0"/>
              <w:rPr>
                <w:rFonts w:asciiTheme="minorHAnsi" w:hAnsiTheme="minorHAnsi" w:cstheme="minorHAnsi"/>
                <w:b w:val="0"/>
                <w:lang w:val="es-ES_tradnl"/>
              </w:rPr>
            </w:pPr>
            <w:bookmarkStart w:id="15" w:name="lt_pId067"/>
            <w:r w:rsidRPr="00BE6424">
              <w:rPr>
                <w:sz w:val="22"/>
                <w:lang w:val="es-ES_tradnl"/>
              </w:rPr>
              <w:t xml:space="preserve">Aprobación del documento </w:t>
            </w:r>
            <w:hyperlink r:id="rId17" w:history="1">
              <w:r w:rsidRPr="001C5E82">
                <w:rPr>
                  <w:rStyle w:val="Hyperlink"/>
                  <w:sz w:val="22"/>
                  <w:lang w:val="es-ES_tradnl"/>
                </w:rPr>
                <w:t>232</w:t>
              </w:r>
              <w:bookmarkEnd w:id="15"/>
            </w:hyperlink>
          </w:p>
        </w:tc>
        <w:tc>
          <w:tcPr>
            <w:tcW w:w="10733" w:type="dxa"/>
          </w:tcPr>
          <w:p w14:paraId="20F45F6A" w14:textId="7705FB7B" w:rsidR="0066031C" w:rsidRPr="00BE6424" w:rsidRDefault="009A0FCF" w:rsidP="00B62D68">
            <w:pPr>
              <w:pStyle w:val="Tabletext"/>
              <w:tabs>
                <w:tab w:val="clear" w:pos="284"/>
                <w:tab w:val="left" w:pos="439"/>
              </w:tabs>
              <w:spacing w:before="120"/>
              <w:rPr>
                <w:sz w:val="22"/>
                <w:lang w:val="es-ES_tradnl"/>
              </w:rPr>
            </w:pPr>
            <w:r w:rsidRPr="00BE6424">
              <w:rPr>
                <w:sz w:val="22"/>
                <w:lang w:val="es-ES_tradnl"/>
              </w:rPr>
              <w:t>1</w:t>
            </w:r>
            <w:r w:rsidRPr="00BE6424">
              <w:rPr>
                <w:sz w:val="22"/>
                <w:lang w:val="es-ES_tradnl"/>
              </w:rPr>
              <w:tab/>
            </w:r>
            <w:bookmarkStart w:id="16" w:name="lt_pId069"/>
            <w:r w:rsidRPr="00BE6424">
              <w:rPr>
                <w:sz w:val="22"/>
                <w:lang w:val="es-ES_tradnl"/>
              </w:rPr>
              <w:t xml:space="preserve">Sobre la base de la información facilitada en el § 3.1.3.5 del </w:t>
            </w:r>
            <w:proofErr w:type="spellStart"/>
            <w:r w:rsidRPr="00BE6424">
              <w:rPr>
                <w:sz w:val="22"/>
                <w:lang w:val="es-ES_tradnl"/>
              </w:rPr>
              <w:t>Addéndum</w:t>
            </w:r>
            <w:proofErr w:type="spellEnd"/>
            <w:r w:rsidRPr="00BE6424">
              <w:rPr>
                <w:sz w:val="22"/>
                <w:lang w:val="es-ES_tradnl"/>
              </w:rPr>
              <w:t xml:space="preserve"> 2 al Informe del Director, se ha tomado nota de que la Oficina determina las necesidades de coordinación para las asignaciones a los servicios terrenales con respecto a las estaciones terrenas típicas del servicio de radiodifusión por satélite con arreglo al número </w:t>
            </w:r>
            <w:r w:rsidRPr="00DA15A1">
              <w:rPr>
                <w:b/>
                <w:bCs/>
                <w:sz w:val="22"/>
                <w:lang w:val="es-ES_tradnl"/>
              </w:rPr>
              <w:t>9.19</w:t>
            </w:r>
            <w:r w:rsidRPr="00BE6424">
              <w:rPr>
                <w:sz w:val="22"/>
                <w:lang w:val="es-ES_tradnl"/>
              </w:rPr>
              <w:t xml:space="preserve"> del RR en ocho bandas de frecuencias, a saber: 620</w:t>
            </w:r>
            <w:r w:rsidRPr="00BE6424">
              <w:rPr>
                <w:sz w:val="22"/>
                <w:lang w:val="es-ES_tradnl"/>
              </w:rPr>
              <w:noBreakHyphen/>
              <w:t>790 MHz, 1 452</w:t>
            </w:r>
            <w:r w:rsidRPr="00BE6424">
              <w:rPr>
                <w:sz w:val="22"/>
                <w:lang w:val="es-ES_tradnl"/>
              </w:rPr>
              <w:noBreakHyphen/>
              <w:t>1 492 MHz, 2 310</w:t>
            </w:r>
            <w:r w:rsidRPr="00BE6424">
              <w:rPr>
                <w:sz w:val="22"/>
                <w:lang w:val="es-ES_tradnl"/>
              </w:rPr>
              <w:noBreakHyphen/>
              <w:t>2 360 MHz, 2 520</w:t>
            </w:r>
            <w:r w:rsidRPr="00BE6424">
              <w:rPr>
                <w:sz w:val="22"/>
                <w:lang w:val="es-ES_tradnl"/>
              </w:rPr>
              <w:noBreakHyphen/>
              <w:t>2 670 MHz, 11,7</w:t>
            </w:r>
            <w:r w:rsidRPr="00BE6424">
              <w:rPr>
                <w:sz w:val="22"/>
                <w:lang w:val="es-ES_tradnl"/>
              </w:rPr>
              <w:noBreakHyphen/>
              <w:t>12,75 GHz, 17,7</w:t>
            </w:r>
            <w:r w:rsidRPr="00BE6424">
              <w:rPr>
                <w:sz w:val="22"/>
                <w:lang w:val="es-ES_tradnl"/>
              </w:rPr>
              <w:noBreakHyphen/>
              <w:t>17,8 GHz, 40,5</w:t>
            </w:r>
            <w:r w:rsidRPr="00BE6424">
              <w:rPr>
                <w:sz w:val="22"/>
                <w:lang w:val="es-ES_tradnl"/>
              </w:rPr>
              <w:noBreakHyphen/>
              <w:t>42,5 GHz y 74</w:t>
            </w:r>
            <w:r w:rsidRPr="00BE6424">
              <w:rPr>
                <w:sz w:val="22"/>
                <w:lang w:val="es-ES_tradnl"/>
              </w:rPr>
              <w:noBreakHyphen/>
              <w:t>76 GHz.</w:t>
            </w:r>
          </w:p>
          <w:p w14:paraId="47AFEDC0" w14:textId="77777777" w:rsidR="009A0FCF" w:rsidRPr="00BE6424" w:rsidRDefault="009A0FCF" w:rsidP="00B62D68">
            <w:pPr>
              <w:pStyle w:val="Tabletext"/>
              <w:tabs>
                <w:tab w:val="clear" w:pos="284"/>
                <w:tab w:val="left" w:pos="439"/>
              </w:tabs>
              <w:spacing w:before="120"/>
              <w:rPr>
                <w:sz w:val="22"/>
                <w:lang w:val="es-ES_tradnl"/>
              </w:rPr>
            </w:pPr>
            <w:r w:rsidRPr="00BE6424">
              <w:rPr>
                <w:sz w:val="22"/>
                <w:lang w:val="es-ES_tradnl"/>
              </w:rPr>
              <w:t>2</w:t>
            </w:r>
            <w:r w:rsidRPr="00BE6424">
              <w:rPr>
                <w:sz w:val="22"/>
                <w:lang w:val="es-ES_tradnl"/>
              </w:rPr>
              <w:tab/>
              <w:t>También se ha tomado nota de que en la actualidad los umbrales de coordinación están disponibles solamente para la banda 11,7</w:t>
            </w:r>
            <w:r w:rsidRPr="00BE6424">
              <w:rPr>
                <w:sz w:val="22"/>
                <w:lang w:val="es-ES_tradnl"/>
              </w:rPr>
              <w:noBreakHyphen/>
              <w:t>12,7 GHz, como se consigna en el Anexo 3 al Apéndice </w:t>
            </w:r>
            <w:r w:rsidRPr="00DA15A1">
              <w:rPr>
                <w:b/>
                <w:bCs/>
                <w:sz w:val="22"/>
                <w:lang w:val="es-ES_tradnl"/>
              </w:rPr>
              <w:t>30</w:t>
            </w:r>
            <w:r w:rsidRPr="00BE6424">
              <w:rPr>
                <w:sz w:val="22"/>
                <w:lang w:val="es-ES_tradnl"/>
              </w:rPr>
              <w:t xml:space="preserve"> del RR. Para las demás bandas, la Oficina utiliza las Reglas de Procedimiento del número </w:t>
            </w:r>
            <w:r w:rsidRPr="00DA15A1">
              <w:rPr>
                <w:b/>
                <w:bCs/>
                <w:sz w:val="22"/>
                <w:lang w:val="es-ES_tradnl"/>
              </w:rPr>
              <w:t>9.19</w:t>
            </w:r>
            <w:r w:rsidRPr="00BE6424">
              <w:rPr>
                <w:sz w:val="22"/>
                <w:lang w:val="es-ES_tradnl"/>
              </w:rPr>
              <w:t xml:space="preserve"> del RR, que permiten establecer criterios de coordinación como superposición de frecuencias y distancia de coordinación de 1 200 km con respecto a los territorios en los que se encuentran las estaciones terrenas habituales del SRS. Se ha reconocido que 1 200 km sería una distancia de coordinación sumamente moderada que podría sobreestimar las necesidades reales de coordinación y dar lugar a una carga de coordinación considerable a las administraciones.</w:t>
            </w:r>
          </w:p>
          <w:p w14:paraId="4340AD80" w14:textId="1DA90EB8" w:rsidR="009A0FCF" w:rsidRPr="00BE6424" w:rsidRDefault="009A0FCF" w:rsidP="00B62D68">
            <w:pPr>
              <w:pStyle w:val="Tabletext"/>
              <w:tabs>
                <w:tab w:val="clear" w:pos="284"/>
                <w:tab w:val="left" w:pos="439"/>
              </w:tabs>
              <w:spacing w:before="120"/>
              <w:rPr>
                <w:sz w:val="22"/>
                <w:lang w:val="es-ES_tradnl"/>
              </w:rPr>
            </w:pPr>
            <w:r w:rsidRPr="00BE6424">
              <w:rPr>
                <w:sz w:val="22"/>
                <w:lang w:val="es-ES_tradnl"/>
              </w:rPr>
              <w:t>3</w:t>
            </w:r>
            <w:r w:rsidRPr="00BE6424">
              <w:rPr>
                <w:sz w:val="22"/>
                <w:lang w:val="es-ES_tradnl"/>
              </w:rPr>
              <w:tab/>
              <w:t xml:space="preserve">Se invita a las Comisiones de Estudio del UIT-R pertinentes a elaborar criterios más específicos para determinar los requisitos de coordinación con arreglo al número </w:t>
            </w:r>
            <w:r w:rsidRPr="00DA15A1">
              <w:rPr>
                <w:b/>
                <w:bCs/>
                <w:sz w:val="22"/>
                <w:lang w:val="es-ES_tradnl"/>
              </w:rPr>
              <w:t>9.19</w:t>
            </w:r>
            <w:r w:rsidRPr="00BE6424">
              <w:rPr>
                <w:sz w:val="22"/>
                <w:lang w:val="es-ES_tradnl"/>
              </w:rPr>
              <w:t xml:space="preserve"> del RR en las bandas 620</w:t>
            </w:r>
            <w:r w:rsidRPr="00BE6424">
              <w:rPr>
                <w:sz w:val="22"/>
                <w:lang w:val="es-ES_tradnl"/>
              </w:rPr>
              <w:noBreakHyphen/>
              <w:t>790 MHz</w:t>
            </w:r>
            <w:r w:rsidRPr="000A6C0D">
              <w:rPr>
                <w:rStyle w:val="FootnoteReference"/>
                <w:lang w:val="fr-FR"/>
              </w:rPr>
              <w:footnoteReference w:id="1"/>
            </w:r>
            <w:r w:rsidR="000A6C0D" w:rsidRPr="000A6C0D">
              <w:t>,</w:t>
            </w:r>
            <w:r w:rsidRPr="00BE6424">
              <w:rPr>
                <w:sz w:val="22"/>
                <w:lang w:val="es-ES_tradnl"/>
              </w:rPr>
              <w:t xml:space="preserve"> 1 452</w:t>
            </w:r>
            <w:r w:rsidRPr="00BE6424">
              <w:rPr>
                <w:sz w:val="22"/>
                <w:lang w:val="es-ES_tradnl"/>
              </w:rPr>
              <w:noBreakHyphen/>
              <w:t>1 492 MHz, 2 310</w:t>
            </w:r>
            <w:r w:rsidRPr="00BE6424">
              <w:rPr>
                <w:sz w:val="22"/>
                <w:lang w:val="es-ES_tradnl"/>
              </w:rPr>
              <w:noBreakHyphen/>
              <w:t>2 360 MHz, 2 520</w:t>
            </w:r>
            <w:r w:rsidRPr="00BE6424">
              <w:rPr>
                <w:sz w:val="22"/>
                <w:lang w:val="es-ES_tradnl"/>
              </w:rPr>
              <w:noBreakHyphen/>
              <w:t>2 670 MHz, 17,7</w:t>
            </w:r>
            <w:r w:rsidRPr="00BE6424">
              <w:rPr>
                <w:sz w:val="22"/>
                <w:lang w:val="es-ES_tradnl"/>
              </w:rPr>
              <w:noBreakHyphen/>
              <w:t>17,8 GHz, 40,5 42,5 GHz y 74</w:t>
            </w:r>
            <w:r w:rsidRPr="00BE6424">
              <w:rPr>
                <w:sz w:val="22"/>
                <w:lang w:val="es-ES_tradnl"/>
              </w:rPr>
              <w:noBreakHyphen/>
              <w:t>76 GHz.</w:t>
            </w:r>
          </w:p>
          <w:p w14:paraId="234CDDAB" w14:textId="4C302F63" w:rsidR="009A0FCF" w:rsidRPr="00BE6424" w:rsidRDefault="009A0FCF" w:rsidP="00B62D68">
            <w:pPr>
              <w:pStyle w:val="Tabletext"/>
              <w:tabs>
                <w:tab w:val="clear" w:pos="284"/>
                <w:tab w:val="left" w:pos="439"/>
              </w:tabs>
              <w:spacing w:before="120"/>
              <w:rPr>
                <w:lang w:val="es-ES_tradnl"/>
              </w:rPr>
            </w:pPr>
            <w:r w:rsidRPr="00BE6424">
              <w:rPr>
                <w:sz w:val="22"/>
                <w:lang w:val="es-ES_tradnl"/>
              </w:rPr>
              <w:t>4</w:t>
            </w:r>
            <w:r w:rsidRPr="00BE6424">
              <w:rPr>
                <w:sz w:val="22"/>
                <w:lang w:val="es-ES_tradnl"/>
              </w:rPr>
              <w:tab/>
              <w:t xml:space="preserve">Además, se invita a la Oficina, cuando estén disponibles los umbrales de coordinación, que simule el examen de las notificaciones del número </w:t>
            </w:r>
            <w:r w:rsidRPr="00DA15A1">
              <w:rPr>
                <w:b/>
                <w:bCs/>
                <w:sz w:val="22"/>
                <w:lang w:val="es-ES_tradnl"/>
              </w:rPr>
              <w:t>9.19</w:t>
            </w:r>
            <w:r w:rsidRPr="00BE6424">
              <w:rPr>
                <w:sz w:val="22"/>
                <w:lang w:val="es-ES_tradnl"/>
              </w:rPr>
              <w:t xml:space="preserve"> del RR en las bandas no planificadas utilizando modelos de elevación digital (DEM) y notifique los resultados de dicho examen a la Junta del Reglamento de Radiocomunicaciones para que se tomen medidas adicionales.</w:t>
            </w:r>
            <w:bookmarkEnd w:id="16"/>
          </w:p>
        </w:tc>
      </w:tr>
      <w:tr w:rsidR="009A0FCF" w:rsidRPr="00BE6424" w14:paraId="6CA5F22C" w14:textId="77777777" w:rsidTr="005321E9">
        <w:trPr>
          <w:gridAfter w:val="1"/>
          <w:wAfter w:w="29" w:type="dxa"/>
          <w:trHeight w:val="1139"/>
        </w:trPr>
        <w:tc>
          <w:tcPr>
            <w:tcW w:w="1669" w:type="dxa"/>
            <w:vMerge/>
          </w:tcPr>
          <w:p w14:paraId="06FD708B"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43D3405D" w14:textId="77777777" w:rsidR="009A0FCF" w:rsidRPr="00BE6424" w:rsidRDefault="009A0FCF" w:rsidP="001311B8">
            <w:pPr>
              <w:pStyle w:val="Tablehead"/>
              <w:keepNext w:val="0"/>
              <w:rPr>
                <w:sz w:val="22"/>
                <w:lang w:val="es-ES_tradnl"/>
              </w:rPr>
            </w:pPr>
            <w:bookmarkStart w:id="19" w:name="lt_pId078"/>
            <w:r w:rsidRPr="00BE6424">
              <w:rPr>
                <w:sz w:val="22"/>
                <w:lang w:val="es-ES_tradnl"/>
              </w:rPr>
              <w:t>§§ 2.20 a 2.22</w:t>
            </w:r>
            <w:bookmarkEnd w:id="19"/>
          </w:p>
          <w:p w14:paraId="1A590EA6" w14:textId="7BE2F9FF" w:rsidR="009A0FCF" w:rsidRPr="00BE6424" w:rsidRDefault="009A0FCF" w:rsidP="001311B8">
            <w:pPr>
              <w:pStyle w:val="Tablehead"/>
              <w:keepNext w:val="0"/>
              <w:rPr>
                <w:rFonts w:asciiTheme="minorHAnsi" w:hAnsiTheme="minorHAnsi" w:cstheme="minorHAnsi"/>
                <w:b w:val="0"/>
                <w:lang w:val="es-ES_tradnl"/>
              </w:rPr>
            </w:pPr>
            <w:bookmarkStart w:id="20" w:name="lt_pId079"/>
            <w:r w:rsidRPr="00BE6424">
              <w:rPr>
                <w:sz w:val="22"/>
                <w:lang w:val="es-ES_tradnl"/>
              </w:rPr>
              <w:t xml:space="preserve">Aprobación del documento </w:t>
            </w:r>
            <w:hyperlink r:id="rId18" w:history="1">
              <w:r w:rsidRPr="001C5E82">
                <w:rPr>
                  <w:rStyle w:val="Hyperlink"/>
                  <w:sz w:val="22"/>
                  <w:lang w:val="es-ES_tradnl"/>
                </w:rPr>
                <w:t>293</w:t>
              </w:r>
              <w:bookmarkEnd w:id="20"/>
            </w:hyperlink>
          </w:p>
        </w:tc>
        <w:tc>
          <w:tcPr>
            <w:tcW w:w="10733" w:type="dxa"/>
          </w:tcPr>
          <w:p w14:paraId="6593A821" w14:textId="06496D53" w:rsidR="009A0FCF" w:rsidRPr="00BE6424" w:rsidRDefault="009A0FCF" w:rsidP="00B62D68">
            <w:pPr>
              <w:pStyle w:val="Tabletext"/>
              <w:spacing w:before="120"/>
              <w:rPr>
                <w:sz w:val="22"/>
                <w:lang w:val="es-ES_tradnl"/>
              </w:rPr>
            </w:pPr>
            <w:bookmarkStart w:id="21" w:name="lt_pId080"/>
            <w:r w:rsidRPr="00BE6424">
              <w:rPr>
                <w:sz w:val="22"/>
                <w:lang w:val="es-ES_tradnl"/>
              </w:rPr>
              <w:t>Observando las circunstancias excepcionales a las que se han enfrentado la Administración de Eslovenia durante la puesta en servicio de la red de satélites NEMO</w:t>
            </w:r>
            <w:r w:rsidRPr="00BE6424">
              <w:rPr>
                <w:sz w:val="22"/>
                <w:lang w:val="es-ES_tradnl"/>
              </w:rPr>
              <w:noBreakHyphen/>
              <w:t xml:space="preserve">HD, la CMR-19 decide excluir las asignaciones de esta red de satélites, inscrita en el Registro Internacional de Frecuencias (véase la Parte II-S contenida en la BR IFIC 2832), de la aplicación de los límites de </w:t>
            </w:r>
            <w:proofErr w:type="spellStart"/>
            <w:r w:rsidRPr="00BE6424">
              <w:rPr>
                <w:sz w:val="22"/>
                <w:lang w:val="es-ES_tradnl"/>
              </w:rPr>
              <w:t>p.i.r.e</w:t>
            </w:r>
            <w:proofErr w:type="spellEnd"/>
            <w:r w:rsidRPr="00BE6424">
              <w:rPr>
                <w:sz w:val="22"/>
                <w:lang w:val="es-ES_tradnl"/>
              </w:rPr>
              <w:t xml:space="preserve">. en la banda de frecuencias 401-403 MHz que figuran en el número </w:t>
            </w:r>
            <w:r w:rsidRPr="00DA15A1">
              <w:rPr>
                <w:b/>
                <w:bCs/>
                <w:sz w:val="22"/>
                <w:lang w:val="es-ES_tradnl"/>
              </w:rPr>
              <w:t>5.C12</w:t>
            </w:r>
            <w:r w:rsidRPr="00BE6424">
              <w:rPr>
                <w:sz w:val="22"/>
                <w:lang w:val="es-ES_tradnl"/>
              </w:rPr>
              <w:t xml:space="preserve"> del RR hasta el</w:t>
            </w:r>
            <w:r w:rsidR="00DA15A1">
              <w:rPr>
                <w:sz w:val="22"/>
                <w:lang w:val="es-ES_tradnl"/>
              </w:rPr>
              <w:t> </w:t>
            </w:r>
            <w:r w:rsidRPr="00BE6424">
              <w:rPr>
                <w:sz w:val="22"/>
                <w:lang w:val="es-ES_tradnl"/>
              </w:rPr>
              <w:t>22</w:t>
            </w:r>
            <w:r w:rsidR="00DA15A1">
              <w:rPr>
                <w:sz w:val="22"/>
                <w:lang w:val="es-ES_tradnl"/>
              </w:rPr>
              <w:t> </w:t>
            </w:r>
            <w:r w:rsidRPr="00BE6424">
              <w:rPr>
                <w:sz w:val="22"/>
                <w:lang w:val="es-ES_tradnl"/>
              </w:rPr>
              <w:t>de noviembre de 2029, y encarga a la Oficina de Radiocomunicaciones que actúe en consecuencia.</w:t>
            </w:r>
            <w:bookmarkEnd w:id="21"/>
          </w:p>
        </w:tc>
      </w:tr>
      <w:tr w:rsidR="009A0FCF" w:rsidRPr="00BE6424" w14:paraId="159CE996" w14:textId="77777777" w:rsidTr="005321E9">
        <w:trPr>
          <w:gridAfter w:val="1"/>
          <w:wAfter w:w="29" w:type="dxa"/>
          <w:trHeight w:val="1139"/>
        </w:trPr>
        <w:tc>
          <w:tcPr>
            <w:tcW w:w="1669" w:type="dxa"/>
            <w:vMerge/>
          </w:tcPr>
          <w:p w14:paraId="35486950"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35FCE81F" w14:textId="77777777" w:rsidR="009A0FCF" w:rsidRPr="00BE6424" w:rsidRDefault="009A0FCF" w:rsidP="001311B8">
            <w:pPr>
              <w:pStyle w:val="Tablehead"/>
              <w:keepNext w:val="0"/>
              <w:rPr>
                <w:sz w:val="22"/>
                <w:lang w:val="es-ES_tradnl"/>
              </w:rPr>
            </w:pPr>
            <w:bookmarkStart w:id="22" w:name="lt_pId081"/>
            <w:r w:rsidRPr="00BE6424">
              <w:rPr>
                <w:sz w:val="22"/>
                <w:lang w:val="es-ES_tradnl"/>
              </w:rPr>
              <w:t>§§ 2.23 a 2.26</w:t>
            </w:r>
            <w:bookmarkEnd w:id="22"/>
          </w:p>
          <w:p w14:paraId="4261C0BB" w14:textId="15A9D3C8" w:rsidR="009A0FCF" w:rsidRPr="00BE6424" w:rsidRDefault="009A0FCF" w:rsidP="001311B8">
            <w:pPr>
              <w:pStyle w:val="Tablehead"/>
              <w:keepNext w:val="0"/>
              <w:rPr>
                <w:rFonts w:asciiTheme="minorHAnsi" w:hAnsiTheme="minorHAnsi" w:cstheme="minorHAnsi"/>
                <w:b w:val="0"/>
                <w:lang w:val="es-ES_tradnl"/>
              </w:rPr>
            </w:pPr>
            <w:bookmarkStart w:id="23" w:name="lt_pId082"/>
            <w:r w:rsidRPr="00BE6424">
              <w:rPr>
                <w:sz w:val="22"/>
                <w:lang w:val="es-ES_tradnl"/>
              </w:rPr>
              <w:t xml:space="preserve">Aprobación del documento </w:t>
            </w:r>
            <w:hyperlink r:id="rId19" w:history="1">
              <w:r w:rsidRPr="001C5E82">
                <w:rPr>
                  <w:rStyle w:val="Hyperlink"/>
                  <w:sz w:val="22"/>
                  <w:lang w:val="es-ES_tradnl"/>
                </w:rPr>
                <w:t>289</w:t>
              </w:r>
              <w:bookmarkEnd w:id="23"/>
            </w:hyperlink>
          </w:p>
        </w:tc>
        <w:tc>
          <w:tcPr>
            <w:tcW w:w="10733" w:type="dxa"/>
          </w:tcPr>
          <w:p w14:paraId="3B2BAD1C" w14:textId="77777777" w:rsidR="009A0FCF" w:rsidRPr="00BE6424" w:rsidRDefault="009A0FCF" w:rsidP="00B62D68">
            <w:pPr>
              <w:pStyle w:val="Tabletext"/>
              <w:spacing w:before="120"/>
              <w:rPr>
                <w:sz w:val="22"/>
                <w:lang w:val="es-ES_tradnl"/>
              </w:rPr>
            </w:pPr>
            <w:bookmarkStart w:id="24" w:name="lt_pId083"/>
            <w:r w:rsidRPr="00BE6424">
              <w:rPr>
                <w:sz w:val="22"/>
                <w:lang w:val="es-ES_tradnl"/>
              </w:rPr>
              <w:t xml:space="preserve">Como resultado de la supresión de la Resolución </w:t>
            </w:r>
            <w:r w:rsidRPr="00DA15A1">
              <w:rPr>
                <w:b/>
                <w:bCs/>
                <w:sz w:val="22"/>
                <w:lang w:val="es-ES_tradnl"/>
              </w:rPr>
              <w:t>556 (CMR-15)</w:t>
            </w:r>
            <w:r w:rsidRPr="00BE6424">
              <w:rPr>
                <w:sz w:val="22"/>
                <w:lang w:val="es-ES_tradnl"/>
              </w:rPr>
              <w:t>, se encarga a la Oficina que siga aplicando el método de cálculo en vigor en relación con la asignación analógica en el Plan para la Región 2</w:t>
            </w:r>
            <w:bookmarkEnd w:id="24"/>
            <w:r w:rsidRPr="00BE6424">
              <w:rPr>
                <w:sz w:val="22"/>
                <w:lang w:val="es-ES_tradnl"/>
              </w:rPr>
              <w:t>.</w:t>
            </w:r>
          </w:p>
        </w:tc>
      </w:tr>
      <w:tr w:rsidR="009A0FCF" w:rsidRPr="00BE6424" w14:paraId="64118485" w14:textId="77777777" w:rsidTr="005321E9">
        <w:trPr>
          <w:gridAfter w:val="1"/>
          <w:wAfter w:w="29" w:type="dxa"/>
          <w:trHeight w:val="584"/>
        </w:trPr>
        <w:tc>
          <w:tcPr>
            <w:tcW w:w="1669" w:type="dxa"/>
            <w:vMerge w:val="restart"/>
          </w:tcPr>
          <w:p w14:paraId="3FB9CDE0" w14:textId="47400D37" w:rsidR="009A0FCF" w:rsidRPr="00124AA2" w:rsidRDefault="009A0FCF" w:rsidP="00E51EC7">
            <w:pPr>
              <w:spacing w:before="40" w:afterLines="40" w:after="96" w:line="240" w:lineRule="auto"/>
              <w:jc w:val="left"/>
              <w:rPr>
                <w:rFonts w:asciiTheme="minorHAnsi" w:hAnsiTheme="minorHAnsi" w:cstheme="minorHAnsi"/>
                <w:b/>
                <w:color w:val="800000"/>
                <w:sz w:val="22"/>
                <w:lang w:val="es-ES_tradnl"/>
              </w:rPr>
            </w:pPr>
            <w:bookmarkStart w:id="25" w:name="lt_pId084"/>
            <w:r w:rsidRPr="00124AA2">
              <w:rPr>
                <w:rFonts w:asciiTheme="minorHAnsi" w:hAnsiTheme="minorHAnsi" w:cstheme="minorHAnsi"/>
                <w:b/>
                <w:sz w:val="22"/>
                <w:lang w:val="es-ES_tradnl"/>
              </w:rPr>
              <w:t xml:space="preserve">Documento </w:t>
            </w:r>
            <w:hyperlink r:id="rId20" w:history="1">
              <w:r w:rsidRPr="00124AA2">
                <w:rPr>
                  <w:rStyle w:val="Hyperlink"/>
                  <w:rFonts w:asciiTheme="minorHAnsi" w:hAnsiTheme="minorHAnsi" w:cstheme="minorHAnsi"/>
                  <w:b/>
                  <w:sz w:val="22"/>
                  <w:lang w:val="es-ES_tradnl"/>
                </w:rPr>
                <w:t>CMR19/568</w:t>
              </w:r>
            </w:hyperlink>
            <w:r w:rsidRPr="00124AA2">
              <w:rPr>
                <w:rFonts w:asciiTheme="minorHAnsi" w:hAnsiTheme="minorHAnsi" w:cstheme="minorHAnsi"/>
                <w:b/>
                <w:sz w:val="22"/>
                <w:lang w:val="es-ES_tradnl"/>
              </w:rPr>
              <w:t xml:space="preserve"> – </w:t>
            </w:r>
            <w:r w:rsidRPr="00124AA2">
              <w:rPr>
                <w:rFonts w:asciiTheme="minorHAnsi" w:hAnsiTheme="minorHAnsi" w:cstheme="minorHAnsi"/>
                <w:b/>
                <w:bCs/>
                <w:sz w:val="22"/>
                <w:lang w:val="es-ES_tradnl"/>
              </w:rPr>
              <w:t>Actas de la séptima Sesión Plenaria</w:t>
            </w:r>
            <w:bookmarkEnd w:id="25"/>
          </w:p>
        </w:tc>
        <w:tc>
          <w:tcPr>
            <w:tcW w:w="1881" w:type="dxa"/>
          </w:tcPr>
          <w:p w14:paraId="561BCE8F" w14:textId="77777777" w:rsidR="009A0FCF" w:rsidRPr="00BE6424" w:rsidRDefault="009A0FCF" w:rsidP="001311B8">
            <w:pPr>
              <w:pStyle w:val="Tablehead"/>
              <w:keepNext w:val="0"/>
              <w:rPr>
                <w:sz w:val="22"/>
                <w:lang w:val="es-ES_tradnl"/>
              </w:rPr>
            </w:pPr>
            <w:bookmarkStart w:id="26" w:name="lt_pId085"/>
            <w:r w:rsidRPr="00BE6424">
              <w:rPr>
                <w:sz w:val="22"/>
                <w:lang w:val="es-ES_tradnl"/>
              </w:rPr>
              <w:t>§§ 4.1 a 4.4</w:t>
            </w:r>
            <w:bookmarkEnd w:id="26"/>
          </w:p>
          <w:p w14:paraId="03D02908" w14:textId="727D805B" w:rsidR="009A0FCF" w:rsidRPr="00BE6424" w:rsidRDefault="009A0FCF" w:rsidP="001311B8">
            <w:pPr>
              <w:pStyle w:val="Tablehead"/>
              <w:keepNext w:val="0"/>
              <w:rPr>
                <w:rFonts w:asciiTheme="minorHAnsi" w:hAnsiTheme="minorHAnsi" w:cstheme="minorHAnsi"/>
                <w:b w:val="0"/>
                <w:lang w:val="es-ES_tradnl"/>
              </w:rPr>
            </w:pPr>
            <w:bookmarkStart w:id="27" w:name="lt_pId086"/>
            <w:r w:rsidRPr="00BE6424">
              <w:rPr>
                <w:sz w:val="22"/>
                <w:lang w:val="es-ES_tradnl"/>
              </w:rPr>
              <w:t xml:space="preserve">Aprobación del documento </w:t>
            </w:r>
            <w:hyperlink r:id="rId21" w:history="1">
              <w:r w:rsidRPr="001C5E82">
                <w:rPr>
                  <w:rStyle w:val="Hyperlink"/>
                  <w:sz w:val="22"/>
                  <w:lang w:val="es-ES_tradnl"/>
                </w:rPr>
                <w:t>303</w:t>
              </w:r>
              <w:bookmarkEnd w:id="27"/>
            </w:hyperlink>
          </w:p>
        </w:tc>
        <w:tc>
          <w:tcPr>
            <w:tcW w:w="10733" w:type="dxa"/>
          </w:tcPr>
          <w:p w14:paraId="63C2CCA7" w14:textId="77777777" w:rsidR="009A0FCF" w:rsidRPr="00BE6424" w:rsidRDefault="009A0FCF" w:rsidP="00B62D68">
            <w:pPr>
              <w:pStyle w:val="Tabletext"/>
              <w:spacing w:before="120"/>
              <w:rPr>
                <w:b/>
                <w:bCs/>
                <w:sz w:val="22"/>
                <w:lang w:val="es-ES_tradnl"/>
              </w:rPr>
            </w:pPr>
            <w:bookmarkStart w:id="28" w:name="lt_pId087"/>
            <w:r w:rsidRPr="00BE6424">
              <w:rPr>
                <w:b/>
                <w:bCs/>
                <w:sz w:val="22"/>
                <w:lang w:val="es-ES_tradnl"/>
              </w:rPr>
              <w:t>Instrucciones a la Oficina de Radiocomunicaciones en aplicación del Anexo 7 revisado al Apéndice 30 del RR y las Resoluciones conexas</w:t>
            </w:r>
          </w:p>
          <w:p w14:paraId="43321E13" w14:textId="77777777" w:rsidR="009A0FCF" w:rsidRPr="00BE6424" w:rsidRDefault="009A0FCF" w:rsidP="00B62D68">
            <w:pPr>
              <w:pStyle w:val="Tabletext"/>
              <w:tabs>
                <w:tab w:val="clear" w:pos="284"/>
                <w:tab w:val="left" w:pos="439"/>
              </w:tabs>
              <w:spacing w:before="120"/>
              <w:ind w:left="439" w:hanging="439"/>
              <w:rPr>
                <w:b/>
                <w:bCs/>
                <w:sz w:val="22"/>
                <w:lang w:val="es-ES_tradnl"/>
              </w:rPr>
            </w:pPr>
            <w:r w:rsidRPr="00BE6424">
              <w:rPr>
                <w:b/>
                <w:bCs/>
                <w:sz w:val="22"/>
                <w:lang w:val="es-ES_tradnl"/>
              </w:rPr>
              <w:t>1</w:t>
            </w:r>
            <w:r w:rsidRPr="00BE6424">
              <w:rPr>
                <w:b/>
                <w:bCs/>
                <w:sz w:val="22"/>
                <w:lang w:val="es-ES_tradnl"/>
              </w:rPr>
              <w:tab/>
              <w:t>Aplicación de las restricciones orbitales revisadas aplicables a los satélites de radiodifusión que prestan servicio en una zona de la Región 1 utilizando una frecuencia en la banda 11,7-12,2 GHz</w:t>
            </w:r>
          </w:p>
          <w:p w14:paraId="74B89EF5" w14:textId="47D69AAD" w:rsidR="009A0FCF" w:rsidRPr="00BE6424" w:rsidRDefault="009A0FCF" w:rsidP="00814E4A">
            <w:pPr>
              <w:pStyle w:val="Tabletext"/>
              <w:tabs>
                <w:tab w:val="clear" w:pos="284"/>
                <w:tab w:val="left" w:pos="439"/>
              </w:tabs>
              <w:spacing w:before="120"/>
              <w:ind w:left="439" w:hanging="439"/>
              <w:rPr>
                <w:sz w:val="22"/>
                <w:lang w:val="es-ES_tradnl"/>
              </w:rPr>
            </w:pPr>
            <w:r w:rsidRPr="00BE6424">
              <w:rPr>
                <w:rFonts w:asciiTheme="minorHAnsi" w:hAnsiTheme="minorHAnsi" w:cstheme="minorHAnsi"/>
                <w:lang w:val="es-ES_tradnl"/>
              </w:rPr>
              <w:tab/>
            </w:r>
            <w:r w:rsidRPr="00BE6424">
              <w:rPr>
                <w:sz w:val="22"/>
                <w:lang w:val="es-ES_tradnl"/>
              </w:rPr>
              <w:t xml:space="preserve">Cuando, con arreglo al Artículo 4 del Apéndice </w:t>
            </w:r>
            <w:r w:rsidRPr="00BE6424">
              <w:rPr>
                <w:b/>
                <w:bCs/>
                <w:sz w:val="22"/>
                <w:lang w:val="es-ES_tradnl"/>
              </w:rPr>
              <w:t>30</w:t>
            </w:r>
            <w:r w:rsidRPr="00BE6424">
              <w:rPr>
                <w:sz w:val="22"/>
                <w:lang w:val="es-ES_tradnl"/>
              </w:rPr>
              <w:t xml:space="preserve"> del RR, una administración de las Regiones 1 y 3 presente a la Oficina una nueva red de satélites con asignaciones de frecuencias en la banda 11,7-12,2 GHz, que preste servicio en una zona de la Región 1 desde el oeste y ocupando una posición orbital nominal más al oeste de</w:t>
            </w:r>
            <w:r w:rsidR="00814E4A" w:rsidRPr="00BE6424">
              <w:rPr>
                <w:sz w:val="22"/>
                <w:lang w:val="es-ES_tradnl"/>
              </w:rPr>
              <w:t> </w:t>
            </w:r>
            <w:r w:rsidRPr="00BE6424">
              <w:rPr>
                <w:sz w:val="22"/>
                <w:lang w:val="es-ES_tradnl"/>
              </w:rPr>
              <w:t>37,2° W, las asignaciones de frecuencias de dicha red de satélites se considerarán admisibles únicamente si una porción de tierra situada en la parte occidental de la Región 1 determinada por la aplicación informática pertinente de la Oficina de Radiocomunicaciones (a excepción de cualquier territorio que tenga una categoría especial (por ejemplo, la Antártida)) es visible desde la posición orbital nominal de dicha red de satélites (es decir, el ángulo de elevación es superior a 5 grados). De lo contrario, la Oficina devolverá dichas asignaciones a la administración notificante.</w:t>
            </w:r>
          </w:p>
          <w:p w14:paraId="69B717F6" w14:textId="77777777" w:rsidR="009A0FCF" w:rsidRPr="00BE6424" w:rsidRDefault="009A0FCF" w:rsidP="00814E4A">
            <w:pPr>
              <w:pStyle w:val="Tabletext"/>
              <w:tabs>
                <w:tab w:val="clear" w:pos="284"/>
                <w:tab w:val="left" w:pos="439"/>
              </w:tabs>
              <w:spacing w:before="120"/>
              <w:ind w:left="439" w:hanging="439"/>
              <w:rPr>
                <w:b/>
                <w:bCs/>
                <w:sz w:val="22"/>
                <w:lang w:val="es-ES_tradnl"/>
              </w:rPr>
            </w:pPr>
            <w:r w:rsidRPr="00BE6424">
              <w:rPr>
                <w:b/>
                <w:bCs/>
                <w:sz w:val="22"/>
                <w:lang w:val="es-ES_tradnl"/>
              </w:rPr>
              <w:t>2</w:t>
            </w:r>
            <w:r w:rsidRPr="00BE6424">
              <w:rPr>
                <w:b/>
                <w:bCs/>
                <w:sz w:val="22"/>
                <w:lang w:val="es-ES_tradnl"/>
              </w:rPr>
              <w:tab/>
              <w:t>Aplicación de las restricciones orbitales revisadas aplicables a los satélites de radiodifusión que prestan servicio en una zona de la Región 2 utilizando una frecuencia en la banda 12,2-12,7 GHz</w:t>
            </w:r>
          </w:p>
          <w:p w14:paraId="301F150E" w14:textId="42022E66" w:rsidR="009A0FCF" w:rsidRPr="00BE6424" w:rsidRDefault="009A0FCF" w:rsidP="00814E4A">
            <w:pPr>
              <w:pStyle w:val="Tabletext"/>
              <w:tabs>
                <w:tab w:val="clear" w:pos="284"/>
                <w:tab w:val="left" w:pos="439"/>
              </w:tabs>
              <w:spacing w:before="120"/>
              <w:ind w:left="439" w:hanging="439"/>
              <w:rPr>
                <w:sz w:val="22"/>
                <w:lang w:val="es-ES_tradnl"/>
              </w:rPr>
            </w:pPr>
            <w:r w:rsidRPr="00BE6424">
              <w:rPr>
                <w:rFonts w:asciiTheme="minorHAnsi" w:hAnsiTheme="minorHAnsi" w:cstheme="minorHAnsi"/>
                <w:sz w:val="22"/>
                <w:lang w:val="es-ES_tradnl"/>
              </w:rPr>
              <w:tab/>
            </w:r>
            <w:r w:rsidRPr="00BE6424">
              <w:rPr>
                <w:sz w:val="22"/>
                <w:lang w:val="es-ES_tradnl"/>
              </w:rPr>
              <w:t xml:space="preserve">Cuando, con arreglo al Artículo </w:t>
            </w:r>
            <w:r w:rsidRPr="00DA15A1">
              <w:rPr>
                <w:b/>
                <w:bCs/>
                <w:sz w:val="22"/>
                <w:lang w:val="es-ES_tradnl"/>
              </w:rPr>
              <w:t>4</w:t>
            </w:r>
            <w:r w:rsidRPr="00BE6424">
              <w:rPr>
                <w:sz w:val="22"/>
                <w:lang w:val="es-ES_tradnl"/>
              </w:rPr>
              <w:t xml:space="preserve"> del Apéndice </w:t>
            </w:r>
            <w:r w:rsidRPr="00BE6424">
              <w:rPr>
                <w:b/>
                <w:bCs/>
                <w:sz w:val="22"/>
                <w:lang w:val="es-ES_tradnl"/>
              </w:rPr>
              <w:t>30</w:t>
            </w:r>
            <w:r w:rsidRPr="00BE6424">
              <w:rPr>
                <w:sz w:val="22"/>
                <w:lang w:val="es-ES_tradnl"/>
              </w:rPr>
              <w:t xml:space="preserve"> del RR, una administración de la Región 2 presente a la Oficina una nueva red de satélites con asignaciones de frecuencias en la banda 12,2-12,5 GHz (</w:t>
            </w:r>
            <w:proofErr w:type="spellStart"/>
            <w:r w:rsidRPr="00BE6424">
              <w:rPr>
                <w:sz w:val="22"/>
                <w:lang w:val="es-ES_tradnl"/>
              </w:rPr>
              <w:t>resp</w:t>
            </w:r>
            <w:proofErr w:type="spellEnd"/>
            <w:r w:rsidRPr="00BE6424">
              <w:rPr>
                <w:sz w:val="22"/>
                <w:lang w:val="es-ES_tradnl"/>
              </w:rPr>
              <w:t>.</w:t>
            </w:r>
            <w:r w:rsidR="003C2176" w:rsidRPr="00BE6424">
              <w:rPr>
                <w:sz w:val="22"/>
                <w:lang w:val="es-ES_tradnl"/>
              </w:rPr>
              <w:t> </w:t>
            </w:r>
            <w:r w:rsidRPr="00BE6424">
              <w:rPr>
                <w:sz w:val="22"/>
                <w:lang w:val="es-ES_tradnl"/>
              </w:rPr>
              <w:t>12,5</w:t>
            </w:r>
            <w:r w:rsidR="00814E4A" w:rsidRPr="00BE6424">
              <w:rPr>
                <w:sz w:val="22"/>
                <w:lang w:val="es-ES_tradnl"/>
              </w:rPr>
              <w:noBreakHyphen/>
            </w:r>
            <w:r w:rsidRPr="00BE6424">
              <w:rPr>
                <w:sz w:val="22"/>
                <w:lang w:val="es-ES_tradnl"/>
              </w:rPr>
              <w:t>12,7</w:t>
            </w:r>
            <w:r w:rsidR="00814E4A" w:rsidRPr="00BE6424">
              <w:rPr>
                <w:sz w:val="22"/>
                <w:lang w:val="es-ES_tradnl"/>
              </w:rPr>
              <w:t> </w:t>
            </w:r>
            <w:r w:rsidRPr="00BE6424">
              <w:rPr>
                <w:sz w:val="22"/>
                <w:lang w:val="es-ES_tradnl"/>
              </w:rPr>
              <w:t>GHz), que preste servicio en una zona de la Región 2 desde el este y ocupando una posición orbital nominal más al este de</w:t>
            </w:r>
            <w:r w:rsidR="00BE6424">
              <w:rPr>
                <w:sz w:val="22"/>
                <w:lang w:val="es-ES_tradnl"/>
              </w:rPr>
              <w:t> </w:t>
            </w:r>
            <w:r w:rsidRPr="00BE6424">
              <w:rPr>
                <w:sz w:val="22"/>
                <w:lang w:val="es-ES_tradnl"/>
              </w:rPr>
              <w:t>44° W (</w:t>
            </w:r>
            <w:proofErr w:type="spellStart"/>
            <w:r w:rsidRPr="00BE6424">
              <w:rPr>
                <w:sz w:val="22"/>
                <w:lang w:val="es-ES_tradnl"/>
              </w:rPr>
              <w:t>resp</w:t>
            </w:r>
            <w:proofErr w:type="spellEnd"/>
            <w:r w:rsidRPr="00BE6424">
              <w:rPr>
                <w:sz w:val="22"/>
                <w:lang w:val="es-ES_tradnl"/>
              </w:rPr>
              <w:t>. 54° W), las asignaciones de frecuencias de dicha red de satélites se considerarán admisibles únicamente si una porción de tierra situada en la parte oriental de la Región 2 determinada por la aplicación informática pertinente de la Oficina de Radiocomunicaciones (a excepción de cualquier territorio que tenga una categoría especial (por ejemplo, la Antártida)) es visible desde la posición orbital nominal de dicha red de satélites (es decir, el ángulo de elevación es superior a 5 grados). De lo contrario, la Oficina devolverá dichas asignaciones a la administración notificante.</w:t>
            </w:r>
          </w:p>
          <w:p w14:paraId="33778803" w14:textId="77777777" w:rsidR="009A0FCF" w:rsidRPr="00BE6424" w:rsidRDefault="009A0FCF" w:rsidP="00814E4A">
            <w:pPr>
              <w:pStyle w:val="Tabletext"/>
              <w:tabs>
                <w:tab w:val="clear" w:pos="284"/>
                <w:tab w:val="left" w:pos="439"/>
              </w:tabs>
              <w:spacing w:before="120"/>
              <w:ind w:left="439" w:hanging="439"/>
              <w:rPr>
                <w:b/>
                <w:bCs/>
                <w:sz w:val="22"/>
                <w:lang w:val="es-ES_tradnl"/>
              </w:rPr>
            </w:pPr>
            <w:r w:rsidRPr="00BE6424">
              <w:rPr>
                <w:b/>
                <w:bCs/>
                <w:sz w:val="22"/>
                <w:lang w:val="es-ES_tradnl"/>
              </w:rPr>
              <w:t>3</w:t>
            </w:r>
            <w:r w:rsidRPr="00BE6424">
              <w:rPr>
                <w:b/>
                <w:bCs/>
                <w:sz w:val="22"/>
                <w:lang w:val="es-ES_tradnl"/>
              </w:rPr>
              <w:tab/>
              <w:t>Aplicación de la Resolución COM5/2 (CMR</w:t>
            </w:r>
            <w:r w:rsidRPr="00BE6424">
              <w:rPr>
                <w:b/>
                <w:bCs/>
                <w:sz w:val="22"/>
                <w:lang w:val="es-ES_tradnl"/>
              </w:rPr>
              <w:noBreakHyphen/>
              <w:t>19)</w:t>
            </w:r>
          </w:p>
          <w:p w14:paraId="0BA9B156" w14:textId="77777777" w:rsidR="009A0FCF" w:rsidRPr="00BE6424" w:rsidRDefault="009A0FCF" w:rsidP="00814E4A">
            <w:pPr>
              <w:pStyle w:val="Tabletext"/>
              <w:tabs>
                <w:tab w:val="clear" w:pos="284"/>
                <w:tab w:val="left" w:pos="439"/>
              </w:tabs>
              <w:spacing w:before="120"/>
              <w:ind w:left="439" w:hanging="439"/>
              <w:rPr>
                <w:sz w:val="22"/>
                <w:lang w:val="es-ES_tradnl"/>
              </w:rPr>
            </w:pPr>
            <w:r w:rsidRPr="00BE6424">
              <w:rPr>
                <w:rFonts w:asciiTheme="minorHAnsi" w:hAnsiTheme="minorHAnsi" w:cstheme="minorHAnsi"/>
                <w:lang w:val="es-ES_tradnl"/>
              </w:rPr>
              <w:tab/>
            </w:r>
            <w:r w:rsidRPr="00BE6424">
              <w:rPr>
                <w:sz w:val="22"/>
                <w:lang w:val="es-ES_tradnl"/>
              </w:rPr>
              <w:t xml:space="preserve">El </w:t>
            </w:r>
            <w:r w:rsidRPr="00DA15A1">
              <w:rPr>
                <w:i/>
                <w:iCs/>
                <w:sz w:val="22"/>
                <w:lang w:val="es-ES_tradnl"/>
              </w:rPr>
              <w:t>resuelve</w:t>
            </w:r>
            <w:r w:rsidRPr="00BE6424">
              <w:rPr>
                <w:sz w:val="22"/>
                <w:lang w:val="es-ES_tradnl"/>
              </w:rPr>
              <w:t xml:space="preserve"> 2 de la Resolución </w:t>
            </w:r>
            <w:r w:rsidRPr="00DA15A1">
              <w:rPr>
                <w:b/>
                <w:bCs/>
                <w:sz w:val="22"/>
                <w:lang w:val="es-ES_tradnl"/>
              </w:rPr>
              <w:t>COM5/2 (CMR-19)</w:t>
            </w:r>
            <w:r w:rsidRPr="00BE6424">
              <w:rPr>
                <w:sz w:val="22"/>
                <w:lang w:val="es-ES_tradnl"/>
              </w:rPr>
              <w:t xml:space="preserve"> indica que la identificación de asignaciones de frecuencias de ciertas redes asociadas con diámetros de antena de estación terrena de 40 cm y de 45 cm se basan únicamente en el EPM y en una separación orbital mínima inferior a 9 grados. Este resuelve sólo tiene aplicación en la banda de frecuencias 11,7-12,2 GHz. La red de satélites HISPASAT-37A incluida en el Anexo 1 a esta Resolución contiene asignaciones de frecuencias que se solapan en parte con la banda de frecuencias 11,7-12,2 GHz. Para la protección de estas asignaciones frente a redes de satélites no planificadas, se tienen que aplicar los criterios incluidos en la Resolución </w:t>
            </w:r>
            <w:r w:rsidRPr="00DA15A1">
              <w:rPr>
                <w:b/>
                <w:bCs/>
                <w:sz w:val="22"/>
                <w:lang w:val="es-ES_tradnl"/>
              </w:rPr>
              <w:t>COM5/4 (CMR-19)</w:t>
            </w:r>
            <w:r w:rsidRPr="00BE6424">
              <w:rPr>
                <w:sz w:val="22"/>
                <w:lang w:val="es-ES_tradnl"/>
              </w:rPr>
              <w:t xml:space="preserve"> sin embargo, para la protección de esas asignaciones ante nuevas notificaciones con arreglo al Artículo 4 que están sujetas a la Resolución </w:t>
            </w:r>
            <w:r w:rsidRPr="00DA15A1">
              <w:rPr>
                <w:b/>
                <w:bCs/>
                <w:sz w:val="22"/>
                <w:lang w:val="es-ES_tradnl"/>
              </w:rPr>
              <w:t>COM5/2 (CMR-19)</w:t>
            </w:r>
            <w:r w:rsidRPr="00BE6424">
              <w:rPr>
                <w:sz w:val="22"/>
                <w:lang w:val="es-ES_tradnl"/>
              </w:rPr>
              <w:t>, se tienen que utilizar los criterios incluidos en el resuelve 2 de esta Resolución.</w:t>
            </w:r>
          </w:p>
          <w:p w14:paraId="0804E658" w14:textId="77777777" w:rsidR="009A0FCF" w:rsidRPr="00BE6424" w:rsidRDefault="009A0FCF" w:rsidP="00814E4A">
            <w:pPr>
              <w:pStyle w:val="Tabletext"/>
              <w:tabs>
                <w:tab w:val="clear" w:pos="284"/>
                <w:tab w:val="left" w:pos="439"/>
              </w:tabs>
              <w:spacing w:before="120"/>
              <w:ind w:left="439" w:hanging="439"/>
              <w:rPr>
                <w:rFonts w:asciiTheme="minorHAnsi" w:hAnsiTheme="minorHAnsi" w:cstheme="minorHAnsi"/>
                <w:b/>
                <w:bCs/>
                <w:lang w:val="es-ES_tradnl"/>
              </w:rPr>
            </w:pPr>
            <w:r w:rsidRPr="00BE6424">
              <w:rPr>
                <w:b/>
                <w:bCs/>
                <w:sz w:val="22"/>
                <w:lang w:val="es-ES_tradnl"/>
              </w:rPr>
              <w:t>4</w:t>
            </w:r>
            <w:r w:rsidRPr="00BE6424">
              <w:rPr>
                <w:b/>
                <w:bCs/>
                <w:sz w:val="22"/>
                <w:lang w:val="es-ES_tradnl"/>
              </w:rPr>
              <w:tab/>
              <w:t>Aplicación de la nueva Resolución COM5/3 (CMR-19)</w:t>
            </w:r>
          </w:p>
          <w:p w14:paraId="3F0576FD" w14:textId="77777777" w:rsidR="009A0FCF" w:rsidRPr="00BE6424" w:rsidRDefault="009A0FCF" w:rsidP="00814E4A">
            <w:pPr>
              <w:pStyle w:val="Tabletext"/>
              <w:tabs>
                <w:tab w:val="clear" w:pos="284"/>
                <w:tab w:val="left" w:pos="439"/>
              </w:tabs>
              <w:spacing w:before="120"/>
              <w:ind w:left="439" w:hanging="439"/>
              <w:rPr>
                <w:b/>
                <w:bCs/>
                <w:sz w:val="22"/>
                <w:lang w:val="es-ES_tradnl"/>
              </w:rPr>
            </w:pPr>
            <w:r w:rsidRPr="00BE6424">
              <w:rPr>
                <w:b/>
                <w:bCs/>
                <w:i/>
                <w:iCs/>
                <w:sz w:val="22"/>
                <w:lang w:val="es-ES_tradnl"/>
              </w:rPr>
              <w:t>a)</w:t>
            </w:r>
            <w:r w:rsidRPr="00BE6424">
              <w:rPr>
                <w:b/>
                <w:bCs/>
                <w:i/>
                <w:iCs/>
                <w:sz w:val="22"/>
                <w:lang w:val="es-ES_tradnl"/>
              </w:rPr>
              <w:tab/>
            </w:r>
            <w:r w:rsidRPr="00BE6424">
              <w:rPr>
                <w:b/>
                <w:bCs/>
                <w:sz w:val="22"/>
                <w:lang w:val="es-ES_tradnl"/>
              </w:rPr>
              <w:t>Resuelve 2 sobre la fecha de recepción de las notificaciones</w:t>
            </w:r>
          </w:p>
          <w:p w14:paraId="4FB2AA84" w14:textId="77777777" w:rsidR="009A0FCF" w:rsidRPr="00BE6424" w:rsidRDefault="009A0FCF" w:rsidP="00814E4A">
            <w:pPr>
              <w:pStyle w:val="Tabletext"/>
              <w:tabs>
                <w:tab w:val="clear" w:pos="284"/>
                <w:tab w:val="left" w:pos="439"/>
              </w:tabs>
              <w:spacing w:before="120"/>
              <w:ind w:left="439" w:hanging="439"/>
              <w:rPr>
                <w:sz w:val="22"/>
                <w:lang w:val="es-ES_tradnl"/>
              </w:rPr>
            </w:pPr>
            <w:r w:rsidRPr="00BE6424">
              <w:rPr>
                <w:sz w:val="22"/>
                <w:lang w:val="es-ES_tradnl"/>
              </w:rPr>
              <w:tab/>
              <w:t>Las notificaciones a que se hace referencia en el resuelve 2 tendrán la fecha común de recepción del 21 de mayo de 2020. La fecha oficial de recepción y la fecha de protección será el 21 de mayo de 2020 si las notificaciones están completas. Si las notificaciones no están completas y se recibe, no más tarde del 21 de mayo de 2020, una respuesta al telefax de la Oficina solicitando la información que falta, la fecha oficial de recepción y la fecha de protección será el 21 de mayo de 2020. Si la respuesta al telefax de la Oficina se recibe con posterioridad al 21 de mayo de 2020, la fecha de protección será la misma que la fecha oficial de recepción establecida con arreglo a la Regla de Procedimiento relativa a la admisibilidad de las notificaciones. La fecha de protección establecida se utilizará para el examen de la Oficina en virtud de las disposiciones pertinentes de los Apéndices </w:t>
            </w:r>
            <w:r w:rsidRPr="00DA15A1">
              <w:rPr>
                <w:b/>
                <w:bCs/>
                <w:sz w:val="22"/>
                <w:lang w:val="es-ES_tradnl"/>
              </w:rPr>
              <w:t>30</w:t>
            </w:r>
            <w:r w:rsidRPr="00BE6424">
              <w:rPr>
                <w:sz w:val="22"/>
                <w:lang w:val="es-ES_tradnl"/>
              </w:rPr>
              <w:t xml:space="preserve"> y </w:t>
            </w:r>
            <w:r w:rsidRPr="00DA15A1">
              <w:rPr>
                <w:b/>
                <w:bCs/>
                <w:sz w:val="22"/>
                <w:lang w:val="es-ES_tradnl"/>
              </w:rPr>
              <w:t>30A</w:t>
            </w:r>
            <w:r w:rsidRPr="00BE6424">
              <w:rPr>
                <w:sz w:val="22"/>
                <w:lang w:val="es-ES_tradnl"/>
              </w:rPr>
              <w:t xml:space="preserve"> del RR. En el caso de las notificaciones con la misma fecha de recepción oficial, la Oficina las tendrá en cuenta en su examen técnico y reglamentario.</w:t>
            </w:r>
          </w:p>
          <w:p w14:paraId="1444654B" w14:textId="77777777" w:rsidR="009A0FCF" w:rsidRPr="00BE6424" w:rsidRDefault="009A0FCF" w:rsidP="00814E4A">
            <w:pPr>
              <w:pStyle w:val="Tabletext"/>
              <w:tabs>
                <w:tab w:val="clear" w:pos="284"/>
                <w:tab w:val="left" w:pos="439"/>
              </w:tabs>
              <w:spacing w:before="120"/>
              <w:ind w:left="439" w:hanging="439"/>
              <w:rPr>
                <w:b/>
                <w:bCs/>
                <w:sz w:val="22"/>
                <w:lang w:val="es-ES_tradnl"/>
              </w:rPr>
            </w:pPr>
            <w:r w:rsidRPr="00BE6424">
              <w:rPr>
                <w:b/>
                <w:bCs/>
                <w:sz w:val="22"/>
                <w:lang w:val="es-ES_tradnl"/>
              </w:rPr>
              <w:t>b)</w:t>
            </w:r>
            <w:r w:rsidRPr="00BE6424">
              <w:rPr>
                <w:b/>
                <w:bCs/>
                <w:sz w:val="22"/>
                <w:lang w:val="es-ES_tradnl"/>
              </w:rPr>
              <w:tab/>
              <w:t>Resuelve 3 sobre la fecha de recepción de las notificaciones</w:t>
            </w:r>
          </w:p>
          <w:p w14:paraId="1EEEB1D5" w14:textId="317BCB6F" w:rsidR="009A0FCF" w:rsidRPr="00BE6424" w:rsidRDefault="009A0FCF" w:rsidP="00814E4A">
            <w:pPr>
              <w:pStyle w:val="Tabletext"/>
              <w:tabs>
                <w:tab w:val="clear" w:pos="284"/>
                <w:tab w:val="left" w:pos="439"/>
              </w:tabs>
              <w:spacing w:before="120"/>
              <w:ind w:left="439" w:hanging="439"/>
              <w:rPr>
                <w:sz w:val="22"/>
                <w:lang w:val="es-ES_tradnl"/>
              </w:rPr>
            </w:pPr>
            <w:r w:rsidRPr="00BE6424">
              <w:rPr>
                <w:sz w:val="22"/>
                <w:lang w:val="es-ES_tradnl"/>
              </w:rPr>
              <w:tab/>
              <w:t>Las notificaciones a que se hace referencia en el resuelve 3 (es decir, las notificaciones con arreglo al</w:t>
            </w:r>
            <w:r w:rsidR="00814E4A" w:rsidRPr="00BE6424">
              <w:rPr>
                <w:sz w:val="22"/>
                <w:lang w:val="es-ES_tradnl"/>
              </w:rPr>
              <w:t> </w:t>
            </w:r>
            <w:r w:rsidRPr="00BE6424">
              <w:rPr>
                <w:sz w:val="22"/>
                <w:lang w:val="es-ES_tradnl"/>
              </w:rPr>
              <w:t>§ 4.1.3 del Apéndice </w:t>
            </w:r>
            <w:r w:rsidRPr="00DA15A1">
              <w:rPr>
                <w:b/>
                <w:bCs/>
                <w:sz w:val="22"/>
                <w:lang w:val="es-ES_tradnl"/>
              </w:rPr>
              <w:t>30</w:t>
            </w:r>
            <w:r w:rsidRPr="00BE6424">
              <w:rPr>
                <w:sz w:val="22"/>
                <w:lang w:val="es-ES_tradnl"/>
              </w:rPr>
              <w:t xml:space="preserve"> del RR en la banda de frecuencias 11,7-12,5 GHz y las asignaciones a enlaces de conexión en las bandas de frecuencias 14,5-14,8 GHz y 17,3-18,1 GHz del Apéndice </w:t>
            </w:r>
            <w:r w:rsidRPr="00DA15A1">
              <w:rPr>
                <w:b/>
                <w:bCs/>
                <w:sz w:val="22"/>
                <w:lang w:val="es-ES_tradnl"/>
              </w:rPr>
              <w:t>30A</w:t>
            </w:r>
            <w:r w:rsidRPr="00BE6424">
              <w:rPr>
                <w:sz w:val="22"/>
                <w:lang w:val="es-ES_tradnl"/>
              </w:rPr>
              <w:t xml:space="preserve"> del RR) en una posición orbital de los arcos orbitales cuyas restricciones del Anexo 7 al Apéndice </w:t>
            </w:r>
            <w:r w:rsidRPr="00DA15A1">
              <w:rPr>
                <w:b/>
                <w:bCs/>
                <w:sz w:val="22"/>
                <w:lang w:val="es-ES_tradnl"/>
              </w:rPr>
              <w:t>30 (Rev.CMR-15)</w:t>
            </w:r>
            <w:r w:rsidRPr="00BE6424">
              <w:rPr>
                <w:sz w:val="22"/>
                <w:lang w:val="es-ES_tradnl"/>
              </w:rPr>
              <w:t xml:space="preserve"> del RR haya suprimido la CMR-19 y no reúnan los requisitos especificados en el § 1 del Adjunto a dicha Resolución, tendrá la fecha común de recepción del 22 de mayo de 2020. En el caso de esas notificaciones, la fecha de protección será la misma que la fecha oficial de recepción establecida con arreglo a la Regla de Procedimiento relativa a la admisibilidad de las notificaciones. La fecha de protección establecida se utilizará para el examen de la Oficina en virtud de las disposiciones pertinentes de los Apéndices </w:t>
            </w:r>
            <w:r w:rsidRPr="00DA15A1">
              <w:rPr>
                <w:b/>
                <w:bCs/>
                <w:sz w:val="22"/>
                <w:lang w:val="es-ES_tradnl"/>
              </w:rPr>
              <w:t>30</w:t>
            </w:r>
            <w:r w:rsidRPr="00BE6424">
              <w:rPr>
                <w:sz w:val="22"/>
                <w:lang w:val="es-ES_tradnl"/>
              </w:rPr>
              <w:t xml:space="preserve"> y </w:t>
            </w:r>
            <w:r w:rsidRPr="00DA15A1">
              <w:rPr>
                <w:b/>
                <w:bCs/>
                <w:sz w:val="22"/>
                <w:lang w:val="es-ES_tradnl"/>
              </w:rPr>
              <w:t>30A</w:t>
            </w:r>
            <w:r w:rsidRPr="00BE6424">
              <w:rPr>
                <w:sz w:val="22"/>
                <w:lang w:val="es-ES_tradnl"/>
              </w:rPr>
              <w:t xml:space="preserve"> del RR. En el caso de las notificaciones con la misma fecha de recepción oficial, la Oficina las tendrá en cuenta en su examen técnico y reglamentario.</w:t>
            </w:r>
          </w:p>
          <w:p w14:paraId="46290C13" w14:textId="77777777" w:rsidR="009A0FCF" w:rsidRPr="00BE6424" w:rsidRDefault="009A0FCF" w:rsidP="00814E4A">
            <w:pPr>
              <w:pStyle w:val="Tabletext"/>
              <w:tabs>
                <w:tab w:val="clear" w:pos="284"/>
                <w:tab w:val="left" w:pos="439"/>
              </w:tabs>
              <w:spacing w:before="120"/>
              <w:ind w:left="439" w:hanging="439"/>
              <w:rPr>
                <w:b/>
                <w:bCs/>
                <w:sz w:val="22"/>
                <w:lang w:val="es-ES_tradnl"/>
              </w:rPr>
            </w:pPr>
            <w:r w:rsidRPr="00BE6424">
              <w:rPr>
                <w:b/>
                <w:bCs/>
                <w:sz w:val="22"/>
                <w:lang w:val="es-ES_tradnl"/>
              </w:rPr>
              <w:t>c)</w:t>
            </w:r>
            <w:r w:rsidRPr="00BE6424">
              <w:rPr>
                <w:b/>
                <w:bCs/>
                <w:sz w:val="22"/>
                <w:lang w:val="es-ES_tradnl"/>
              </w:rPr>
              <w:tab/>
              <w:t>Notificaciones con arreglo al § 4.1.12 del Apéndice 30/30A del RR de las redes de satélites que aplican dicha Resolución</w:t>
            </w:r>
          </w:p>
          <w:p w14:paraId="2FC10A9F" w14:textId="3F2259B3" w:rsidR="009A0FCF" w:rsidRPr="00BE6424" w:rsidRDefault="009A0FCF" w:rsidP="00814E4A">
            <w:pPr>
              <w:pStyle w:val="Tabletext"/>
              <w:tabs>
                <w:tab w:val="clear" w:pos="284"/>
                <w:tab w:val="left" w:pos="439"/>
              </w:tabs>
              <w:spacing w:before="120"/>
              <w:ind w:left="439" w:hanging="439"/>
              <w:rPr>
                <w:sz w:val="22"/>
                <w:lang w:val="es-ES_tradnl"/>
              </w:rPr>
            </w:pPr>
            <w:r w:rsidRPr="00BE6424">
              <w:rPr>
                <w:sz w:val="22"/>
                <w:lang w:val="es-ES_tradnl"/>
              </w:rPr>
              <w:tab/>
              <w:t>Durante la coordinación de frecuencias, la administración notificante puede modificar el haz de elíptico a conformado. Por lo tanto, la Oficina aceptará las notificaciones de redes de satélites que apliquen dicha Resolución y contengan un haz conformado con arreglo al § 4.1.12 de los Apéndices </w:t>
            </w:r>
            <w:r w:rsidRPr="00DA15A1">
              <w:rPr>
                <w:b/>
                <w:bCs/>
                <w:sz w:val="22"/>
                <w:lang w:val="es-ES_tradnl"/>
              </w:rPr>
              <w:t>30</w:t>
            </w:r>
            <w:r w:rsidRPr="00BE6424">
              <w:rPr>
                <w:sz w:val="22"/>
                <w:lang w:val="es-ES_tradnl"/>
              </w:rPr>
              <w:t xml:space="preserve"> y </w:t>
            </w:r>
            <w:r w:rsidRPr="00DA15A1">
              <w:rPr>
                <w:b/>
                <w:bCs/>
                <w:sz w:val="22"/>
                <w:lang w:val="es-ES_tradnl"/>
              </w:rPr>
              <w:t>30A</w:t>
            </w:r>
            <w:r w:rsidRPr="00BE6424">
              <w:rPr>
                <w:sz w:val="22"/>
                <w:lang w:val="es-ES_tradnl"/>
              </w:rPr>
              <w:t xml:space="preserve"> del</w:t>
            </w:r>
            <w:r w:rsidR="00814E4A" w:rsidRPr="00BE6424">
              <w:rPr>
                <w:sz w:val="22"/>
                <w:lang w:val="es-ES_tradnl"/>
              </w:rPr>
              <w:t> </w:t>
            </w:r>
            <w:r w:rsidRPr="00BE6424">
              <w:rPr>
                <w:sz w:val="22"/>
                <w:lang w:val="es-ES_tradnl"/>
              </w:rPr>
              <w:t>RR, si las características de la notificación en virtud del § 4.1.12 se encuentran dentro de las características globales de la notificación con arreglo al § 4.1.3.</w:t>
            </w:r>
          </w:p>
          <w:p w14:paraId="1BC147D0" w14:textId="260B6480" w:rsidR="009A0FCF" w:rsidRPr="00BE6424" w:rsidRDefault="009A0FCF" w:rsidP="00814E4A">
            <w:pPr>
              <w:pStyle w:val="Tabletext"/>
              <w:keepNext/>
              <w:keepLines/>
              <w:tabs>
                <w:tab w:val="clear" w:pos="284"/>
                <w:tab w:val="left" w:pos="439"/>
              </w:tabs>
              <w:spacing w:before="120"/>
              <w:ind w:left="437" w:hanging="437"/>
              <w:rPr>
                <w:b/>
                <w:bCs/>
                <w:sz w:val="22"/>
                <w:lang w:val="es-ES_tradnl"/>
              </w:rPr>
            </w:pPr>
            <w:r w:rsidRPr="00BE6424">
              <w:rPr>
                <w:b/>
                <w:bCs/>
                <w:sz w:val="22"/>
                <w:lang w:val="es-ES_tradnl"/>
              </w:rPr>
              <w:t>5</w:t>
            </w:r>
            <w:r w:rsidRPr="00BE6424">
              <w:rPr>
                <w:b/>
                <w:bCs/>
                <w:sz w:val="22"/>
                <w:lang w:val="es-ES_tradnl"/>
              </w:rPr>
              <w:tab/>
              <w:t>Cálculo de la separación orbital geocéntrica mínima mencionada en los resuelve 1 y 2 de la Resolución</w:t>
            </w:r>
            <w:r w:rsidR="00DA15A1">
              <w:rPr>
                <w:b/>
                <w:bCs/>
                <w:sz w:val="22"/>
                <w:lang w:val="es-ES_tradnl"/>
              </w:rPr>
              <w:t> </w:t>
            </w:r>
            <w:r w:rsidRPr="00BE6424">
              <w:rPr>
                <w:b/>
                <w:bCs/>
                <w:sz w:val="22"/>
                <w:lang w:val="es-ES_tradnl"/>
              </w:rPr>
              <w:t>COM5/4 (CMR</w:t>
            </w:r>
            <w:r w:rsidRPr="00BE6424">
              <w:rPr>
                <w:b/>
                <w:bCs/>
                <w:sz w:val="22"/>
                <w:lang w:val="es-ES_tradnl"/>
              </w:rPr>
              <w:noBreakHyphen/>
              <w:t>19)</w:t>
            </w:r>
          </w:p>
          <w:p w14:paraId="38D34B89" w14:textId="757539C4" w:rsidR="0066031C" w:rsidRPr="00BE6424" w:rsidRDefault="009A0FCF" w:rsidP="002421F7">
            <w:pPr>
              <w:pStyle w:val="Tabletext"/>
              <w:tabs>
                <w:tab w:val="clear" w:pos="284"/>
                <w:tab w:val="left" w:pos="439"/>
              </w:tabs>
              <w:spacing w:before="120"/>
              <w:ind w:left="439" w:hanging="439"/>
              <w:rPr>
                <w:sz w:val="22"/>
                <w:lang w:val="es-ES_tradnl"/>
              </w:rPr>
            </w:pPr>
            <w:r w:rsidRPr="00BE6424">
              <w:rPr>
                <w:sz w:val="22"/>
                <w:lang w:val="es-ES_tradnl"/>
              </w:rPr>
              <w:tab/>
              <w:t>Al calcular la separación orbital geocéntrica mínima entre las estaciones espaciales deseada e interferente, la Oficina tendrá en cuenta las precisiones para mantener la estación en el sentido Este-Oeste de las estaciones espaciales del SFS y del SRS de modo que ambas estaciones espaciales se encuentren lo más próximas posible.</w:t>
            </w:r>
          </w:p>
          <w:p w14:paraId="71ABBA28" w14:textId="7859BF52" w:rsidR="009A0FCF" w:rsidRPr="00BE6424" w:rsidRDefault="009A0FCF" w:rsidP="002421F7">
            <w:pPr>
              <w:pStyle w:val="Tabletext"/>
              <w:tabs>
                <w:tab w:val="clear" w:pos="284"/>
                <w:tab w:val="left" w:pos="439"/>
              </w:tabs>
              <w:spacing w:before="120"/>
              <w:rPr>
                <w:rFonts w:asciiTheme="minorHAnsi" w:hAnsiTheme="minorHAnsi" w:cstheme="minorHAnsi"/>
                <w:b/>
                <w:szCs w:val="24"/>
                <w:lang w:val="es-ES_tradnl"/>
              </w:rPr>
            </w:pPr>
            <w:r w:rsidRPr="00BE6424">
              <w:rPr>
                <w:rFonts w:asciiTheme="minorHAnsi" w:hAnsiTheme="minorHAnsi" w:cstheme="minorHAnsi"/>
                <w:b/>
                <w:bCs/>
                <w:lang w:val="es-ES_tradnl"/>
              </w:rPr>
              <w:t>6</w:t>
            </w:r>
            <w:r w:rsidRPr="00BE6424">
              <w:rPr>
                <w:rFonts w:asciiTheme="minorHAnsi" w:hAnsiTheme="minorHAnsi" w:cstheme="minorHAnsi"/>
                <w:lang w:val="es-ES_tradnl"/>
              </w:rPr>
              <w:tab/>
            </w:r>
            <w:r w:rsidRPr="00BE6424">
              <w:rPr>
                <w:sz w:val="22"/>
                <w:lang w:val="es-ES_tradnl"/>
              </w:rPr>
              <w:t xml:space="preserve">En relación con el caso específico de la Administración de Sudán del Sur, que no dispone actualmente de ninguna asignación de frecuencias en los Planes de los Apéndices </w:t>
            </w:r>
            <w:r w:rsidRPr="00BE6424">
              <w:rPr>
                <w:b/>
                <w:bCs/>
                <w:sz w:val="22"/>
                <w:lang w:val="es-ES_tradnl"/>
              </w:rPr>
              <w:t>30</w:t>
            </w:r>
            <w:r w:rsidRPr="00BE6424">
              <w:rPr>
                <w:sz w:val="22"/>
                <w:lang w:val="es-ES_tradnl"/>
              </w:rPr>
              <w:t xml:space="preserve"> y </w:t>
            </w:r>
            <w:r w:rsidRPr="00BE6424">
              <w:rPr>
                <w:b/>
                <w:bCs/>
                <w:sz w:val="22"/>
                <w:lang w:val="es-ES_tradnl"/>
              </w:rPr>
              <w:t>30A</w:t>
            </w:r>
            <w:r w:rsidRPr="00BE6424">
              <w:rPr>
                <w:sz w:val="22"/>
                <w:lang w:val="es-ES_tradnl"/>
              </w:rPr>
              <w:t xml:space="preserve"> del RR, la CMR-19 decidió que la Administración de Sudán del Sur puede aplicar la Resolución </w:t>
            </w:r>
            <w:r w:rsidRPr="00BE6424">
              <w:rPr>
                <w:b/>
                <w:bCs/>
                <w:sz w:val="22"/>
                <w:lang w:val="es-ES_tradnl"/>
              </w:rPr>
              <w:t>COM5/3 (CMR</w:t>
            </w:r>
            <w:r w:rsidRPr="00BE6424">
              <w:rPr>
                <w:b/>
                <w:bCs/>
                <w:sz w:val="22"/>
                <w:lang w:val="es-ES_tradnl"/>
              </w:rPr>
              <w:noBreakHyphen/>
              <w:t>19)</w:t>
            </w:r>
            <w:r w:rsidRPr="00BE6424">
              <w:rPr>
                <w:sz w:val="22"/>
                <w:lang w:val="es-ES_tradnl"/>
              </w:rPr>
              <w:t xml:space="preserve"> y encargó a la Oficina de Radiocomunicaciones aceptar tales notificaciones de la Administración de Sudán del Sur.</w:t>
            </w:r>
            <w:bookmarkEnd w:id="28"/>
          </w:p>
        </w:tc>
      </w:tr>
      <w:tr w:rsidR="009A0FCF" w:rsidRPr="00BE6424" w14:paraId="5A98916D" w14:textId="77777777" w:rsidTr="005321E9">
        <w:trPr>
          <w:gridAfter w:val="1"/>
          <w:wAfter w:w="29" w:type="dxa"/>
          <w:trHeight w:val="1139"/>
        </w:trPr>
        <w:tc>
          <w:tcPr>
            <w:tcW w:w="1669" w:type="dxa"/>
            <w:vMerge/>
          </w:tcPr>
          <w:p w14:paraId="0F15C30D"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50E8904E" w14:textId="77777777" w:rsidR="009A0FCF" w:rsidRPr="00BE6424" w:rsidRDefault="009A0FCF" w:rsidP="001311B8">
            <w:pPr>
              <w:pStyle w:val="Tablehead"/>
              <w:keepNext w:val="0"/>
              <w:rPr>
                <w:sz w:val="22"/>
                <w:lang w:val="es-ES_tradnl"/>
              </w:rPr>
            </w:pPr>
            <w:bookmarkStart w:id="29" w:name="lt_pId130"/>
            <w:r w:rsidRPr="00BE6424">
              <w:rPr>
                <w:sz w:val="22"/>
                <w:lang w:val="es-ES_tradnl"/>
              </w:rPr>
              <w:t>§§ 4.5 a 4.7</w:t>
            </w:r>
            <w:bookmarkEnd w:id="29"/>
          </w:p>
          <w:p w14:paraId="04F4DE3A" w14:textId="7EF3A13F" w:rsidR="009A0FCF" w:rsidRPr="00BE6424" w:rsidRDefault="009A0FCF" w:rsidP="001311B8">
            <w:pPr>
              <w:pStyle w:val="Tablehead"/>
              <w:keepNext w:val="0"/>
              <w:rPr>
                <w:sz w:val="22"/>
                <w:lang w:val="es-ES_tradnl"/>
              </w:rPr>
            </w:pPr>
            <w:bookmarkStart w:id="30" w:name="lt_pId131"/>
            <w:r w:rsidRPr="00BE6424">
              <w:rPr>
                <w:sz w:val="22"/>
                <w:lang w:val="es-ES_tradnl"/>
              </w:rPr>
              <w:t xml:space="preserve">Aprobación del documento </w:t>
            </w:r>
            <w:hyperlink r:id="rId22" w:history="1">
              <w:r w:rsidRPr="001C5E82">
                <w:rPr>
                  <w:rStyle w:val="Hyperlink"/>
                  <w:sz w:val="22"/>
                  <w:lang w:val="es-ES_tradnl"/>
                </w:rPr>
                <w:t>338</w:t>
              </w:r>
              <w:bookmarkEnd w:id="30"/>
            </w:hyperlink>
          </w:p>
        </w:tc>
        <w:tc>
          <w:tcPr>
            <w:tcW w:w="10733" w:type="dxa"/>
          </w:tcPr>
          <w:p w14:paraId="40FDFB09" w14:textId="77777777" w:rsidR="009A0FCF" w:rsidRPr="00BE6424" w:rsidRDefault="009A0FCF" w:rsidP="00814E4A">
            <w:pPr>
              <w:pStyle w:val="Tabletext"/>
              <w:tabs>
                <w:tab w:val="clear" w:pos="284"/>
                <w:tab w:val="left" w:pos="439"/>
              </w:tabs>
              <w:spacing w:before="120"/>
              <w:ind w:left="439" w:hanging="439"/>
              <w:rPr>
                <w:b/>
                <w:bCs/>
                <w:sz w:val="22"/>
                <w:lang w:val="es-ES_tradnl"/>
              </w:rPr>
            </w:pPr>
            <w:bookmarkStart w:id="31" w:name="lt_pId132"/>
            <w:r w:rsidRPr="00BE6424">
              <w:rPr>
                <w:b/>
                <w:bCs/>
                <w:sz w:val="22"/>
                <w:lang w:val="es-ES_tradnl"/>
              </w:rPr>
              <w:t>Atribución a la investigación espacial en 14,5</w:t>
            </w:r>
            <w:r w:rsidRPr="00BE6424">
              <w:rPr>
                <w:b/>
                <w:bCs/>
                <w:sz w:val="22"/>
                <w:lang w:val="es-ES_tradnl"/>
              </w:rPr>
              <w:noBreakHyphen/>
              <w:t>14,8 GHz</w:t>
            </w:r>
          </w:p>
          <w:p w14:paraId="6A94694D" w14:textId="623CBA31" w:rsidR="009A0FCF" w:rsidRPr="00BE6424" w:rsidRDefault="009A0FCF" w:rsidP="002421F7">
            <w:pPr>
              <w:pStyle w:val="Tabletext"/>
              <w:tabs>
                <w:tab w:val="clear" w:pos="284"/>
                <w:tab w:val="left" w:pos="439"/>
              </w:tabs>
              <w:spacing w:before="120"/>
              <w:rPr>
                <w:rFonts w:asciiTheme="minorHAnsi" w:hAnsiTheme="minorHAnsi" w:cstheme="minorHAnsi"/>
                <w:b/>
                <w:sz w:val="22"/>
                <w:lang w:val="es-ES_tradnl"/>
              </w:rPr>
            </w:pPr>
            <w:r w:rsidRPr="00BE6424">
              <w:rPr>
                <w:sz w:val="22"/>
                <w:lang w:val="es-ES_tradnl"/>
              </w:rPr>
              <w:t>Tras</w:t>
            </w:r>
            <w:r w:rsidRPr="00BE6424">
              <w:rPr>
                <w:rFonts w:asciiTheme="minorHAnsi" w:hAnsiTheme="minorHAnsi" w:cstheme="minorHAnsi"/>
                <w:sz w:val="22"/>
                <w:lang w:val="es-ES_tradnl"/>
              </w:rPr>
              <w:t xml:space="preserve"> examinar la sección 3.1.2.4 del Documento 4(Add.2), la Comisión 5 concluyó que la Conferencia debe encargar al Director de la </w:t>
            </w:r>
            <w:r w:rsidRPr="00BE6424">
              <w:rPr>
                <w:sz w:val="22"/>
                <w:lang w:val="es-ES_tradnl"/>
              </w:rPr>
              <w:t>Oficina</w:t>
            </w:r>
            <w:r w:rsidRPr="00BE6424">
              <w:rPr>
                <w:rFonts w:asciiTheme="minorHAnsi" w:hAnsiTheme="minorHAnsi" w:cstheme="minorHAnsi"/>
                <w:sz w:val="22"/>
                <w:lang w:val="es-ES_tradnl"/>
              </w:rPr>
              <w:t xml:space="preserve"> de Radiocomunicaciones que supervise el uso de la atribución a la investigación espacial en la banda de frecuencias 14,5</w:t>
            </w:r>
            <w:r w:rsidRPr="00BE6424">
              <w:rPr>
                <w:rFonts w:asciiTheme="minorHAnsi" w:hAnsiTheme="minorHAnsi" w:cstheme="minorHAnsi"/>
                <w:sz w:val="22"/>
                <w:lang w:val="es-ES_tradnl"/>
              </w:rPr>
              <w:noBreakHyphen/>
              <w:t>14,8 GHz, y debe invitar al UIT</w:t>
            </w:r>
            <w:r w:rsidRPr="00BE6424">
              <w:rPr>
                <w:rFonts w:asciiTheme="minorHAnsi" w:hAnsiTheme="minorHAnsi" w:cstheme="minorHAnsi"/>
                <w:sz w:val="22"/>
                <w:lang w:val="es-ES_tradnl"/>
              </w:rPr>
              <w:noBreakHyphen/>
              <w:t>R a que estudie la evolución de los parámetros técnicos de los sistemas del servicio de investigación espacial y el entorno de compartición conexo de la misma banda de frecuencias.</w:t>
            </w:r>
            <w:bookmarkEnd w:id="31"/>
          </w:p>
        </w:tc>
      </w:tr>
      <w:tr w:rsidR="009A0FCF" w:rsidRPr="00BE6424" w14:paraId="3BB9F3E1" w14:textId="77777777" w:rsidTr="005321E9">
        <w:trPr>
          <w:gridAfter w:val="1"/>
          <w:wAfter w:w="29" w:type="dxa"/>
          <w:trHeight w:val="1139"/>
        </w:trPr>
        <w:tc>
          <w:tcPr>
            <w:tcW w:w="1669" w:type="dxa"/>
            <w:vMerge/>
          </w:tcPr>
          <w:p w14:paraId="2A0FF65D"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416B199D" w14:textId="77777777" w:rsidR="009A0FCF" w:rsidRPr="00BE6424" w:rsidRDefault="009A0FCF" w:rsidP="001311B8">
            <w:pPr>
              <w:pStyle w:val="Tablehead"/>
              <w:keepNext w:val="0"/>
              <w:rPr>
                <w:sz w:val="22"/>
                <w:lang w:val="es-ES_tradnl"/>
              </w:rPr>
            </w:pPr>
            <w:bookmarkStart w:id="32" w:name="lt_pId134"/>
            <w:r w:rsidRPr="00BE6424">
              <w:rPr>
                <w:sz w:val="22"/>
                <w:lang w:val="es-ES_tradnl"/>
              </w:rPr>
              <w:t>§§ 13.1 a 13.7</w:t>
            </w:r>
            <w:bookmarkEnd w:id="32"/>
          </w:p>
          <w:p w14:paraId="44C26EFB" w14:textId="18675248" w:rsidR="009A0FCF" w:rsidRPr="00BE6424" w:rsidRDefault="009A0FCF" w:rsidP="001311B8">
            <w:pPr>
              <w:pStyle w:val="Tablehead"/>
              <w:keepNext w:val="0"/>
              <w:rPr>
                <w:sz w:val="22"/>
                <w:lang w:val="es-ES_tradnl"/>
              </w:rPr>
            </w:pPr>
            <w:bookmarkStart w:id="33" w:name="lt_pId135"/>
            <w:r w:rsidRPr="00BE6424">
              <w:rPr>
                <w:sz w:val="22"/>
                <w:lang w:val="es-ES_tradnl"/>
              </w:rPr>
              <w:t xml:space="preserve">Examen del documento </w:t>
            </w:r>
            <w:hyperlink r:id="rId23" w:history="1">
              <w:r w:rsidRPr="001C5E82">
                <w:rPr>
                  <w:rStyle w:val="Hyperlink"/>
                  <w:sz w:val="22"/>
                  <w:lang w:val="es-ES_tradnl"/>
                </w:rPr>
                <w:t>238</w:t>
              </w:r>
              <w:bookmarkEnd w:id="33"/>
            </w:hyperlink>
          </w:p>
        </w:tc>
        <w:tc>
          <w:tcPr>
            <w:tcW w:w="10733" w:type="dxa"/>
          </w:tcPr>
          <w:p w14:paraId="72286FF1" w14:textId="77777777" w:rsidR="009A0FCF" w:rsidRPr="00BE6424" w:rsidRDefault="009A0FCF" w:rsidP="002421F7">
            <w:pPr>
              <w:pStyle w:val="Tabletext"/>
              <w:keepNext/>
              <w:keepLines/>
              <w:tabs>
                <w:tab w:val="clear" w:pos="284"/>
                <w:tab w:val="left" w:pos="439"/>
              </w:tabs>
              <w:spacing w:before="120"/>
              <w:ind w:left="437" w:hanging="437"/>
              <w:rPr>
                <w:sz w:val="22"/>
                <w:lang w:val="es-ES_tradnl"/>
              </w:rPr>
            </w:pPr>
            <w:r w:rsidRPr="00BE6424">
              <w:rPr>
                <w:sz w:val="22"/>
                <w:lang w:val="es-ES_tradnl"/>
              </w:rPr>
              <w:t>13.1</w:t>
            </w:r>
            <w:r w:rsidRPr="00BE6424">
              <w:rPr>
                <w:sz w:val="22"/>
                <w:lang w:val="es-ES_tradnl"/>
              </w:rPr>
              <w:tab/>
            </w:r>
            <w:bookmarkStart w:id="34" w:name="lt_pId308"/>
            <w:r w:rsidRPr="00BE6424">
              <w:rPr>
                <w:sz w:val="22"/>
                <w:lang w:val="es-ES_tradnl"/>
              </w:rPr>
              <w:t xml:space="preserve">El </w:t>
            </w:r>
            <w:r w:rsidRPr="00BE6424">
              <w:rPr>
                <w:b/>
                <w:bCs/>
                <w:sz w:val="22"/>
                <w:lang w:val="es-ES_tradnl"/>
              </w:rPr>
              <w:t>delegado de Egipto</w:t>
            </w:r>
            <w:r w:rsidRPr="00BE6424">
              <w:rPr>
                <w:sz w:val="22"/>
                <w:lang w:val="es-ES_tradnl"/>
              </w:rPr>
              <w:t xml:space="preserve"> presenta el Documento 238, que contiene una petición relativa al satélite </w:t>
            </w:r>
            <w:proofErr w:type="spellStart"/>
            <w:r w:rsidRPr="00BE6424">
              <w:rPr>
                <w:sz w:val="22"/>
                <w:lang w:val="es-ES_tradnl"/>
              </w:rPr>
              <w:t>Nilesat</w:t>
            </w:r>
            <w:proofErr w:type="spellEnd"/>
            <w:r w:rsidRPr="00BE6424">
              <w:rPr>
                <w:sz w:val="22"/>
                <w:lang w:val="es-ES_tradnl"/>
              </w:rPr>
              <w:t xml:space="preserve"> 301 de Egipto, que debe situarse en la posición orbital 7° W antes del 19 de marzo de 2022, fecha en la que se cumple el plazo para la puesta en servicio de las asignaciones de frecuencias de la notificación EGY-N-SAT. Aunque confía en que podrá cumplir ese plazo, la Administración de Egipto está preocupada por si se produce algún percance imprevisto que produzca un retraso ajeno a su control, afectando a la fecha de lanzamiento del satélite. Por consiguiente, pidió a la Conferencia que concediera una prórroga de seis meses del plazo hasta el 19 de septiembre de 2022.</w:t>
            </w:r>
            <w:bookmarkEnd w:id="34"/>
          </w:p>
          <w:p w14:paraId="145B6BD0" w14:textId="77777777" w:rsidR="009A0FCF" w:rsidRPr="00BE6424" w:rsidRDefault="00E30B31" w:rsidP="002421F7">
            <w:pPr>
              <w:pStyle w:val="Tabletext"/>
              <w:tabs>
                <w:tab w:val="clear" w:pos="1134"/>
                <w:tab w:val="clear" w:pos="2268"/>
              </w:tabs>
              <w:rPr>
                <w:rFonts w:asciiTheme="minorHAnsi" w:eastAsia="MS Mincho" w:hAnsiTheme="minorHAnsi" w:cstheme="minorHAnsi"/>
                <w:szCs w:val="24"/>
                <w:lang w:val="es-ES_tradnl"/>
              </w:rPr>
            </w:pPr>
            <w:r w:rsidRPr="00BE6424">
              <w:rPr>
                <w:sz w:val="22"/>
                <w:lang w:val="es-ES_tradnl"/>
              </w:rPr>
              <w:t>[</w:t>
            </w:r>
            <w:r w:rsidR="009A0FCF" w:rsidRPr="00BE6424">
              <w:rPr>
                <w:sz w:val="22"/>
                <w:lang w:val="es-ES_tradnl"/>
              </w:rPr>
              <w:t>…</w:t>
            </w:r>
            <w:r w:rsidRPr="00BE6424">
              <w:rPr>
                <w:sz w:val="22"/>
                <w:lang w:val="es-ES_tradnl"/>
              </w:rPr>
              <w:t>]</w:t>
            </w:r>
          </w:p>
          <w:p w14:paraId="1243B666" w14:textId="77777777" w:rsidR="009A0FCF" w:rsidRPr="00BE6424" w:rsidRDefault="009A0FCF" w:rsidP="002421F7">
            <w:pPr>
              <w:pStyle w:val="Tabletext"/>
              <w:keepNext/>
              <w:keepLines/>
              <w:tabs>
                <w:tab w:val="clear" w:pos="284"/>
                <w:tab w:val="left" w:pos="439"/>
              </w:tabs>
              <w:spacing w:before="120"/>
              <w:ind w:left="437" w:hanging="437"/>
              <w:rPr>
                <w:sz w:val="22"/>
                <w:lang w:val="es-ES_tradnl"/>
              </w:rPr>
            </w:pPr>
            <w:r w:rsidRPr="00BE6424">
              <w:rPr>
                <w:sz w:val="22"/>
                <w:lang w:val="es-ES_tradnl"/>
              </w:rPr>
              <w:t>13.6</w:t>
            </w:r>
            <w:r w:rsidRPr="00BE6424">
              <w:rPr>
                <w:sz w:val="22"/>
                <w:lang w:val="es-ES_tradnl"/>
              </w:rPr>
              <w:tab/>
              <w:t xml:space="preserve">El </w:t>
            </w:r>
            <w:r w:rsidRPr="00BE6424">
              <w:rPr>
                <w:b/>
                <w:bCs/>
                <w:sz w:val="22"/>
                <w:lang w:val="es-ES_tradnl"/>
              </w:rPr>
              <w:t>Presidente</w:t>
            </w:r>
            <w:r w:rsidRPr="00BE6424">
              <w:rPr>
                <w:sz w:val="22"/>
                <w:lang w:val="es-ES_tradnl"/>
              </w:rPr>
              <w:t xml:space="preserve"> entiende que la Conferencia desea aprobar la solicitud de la Administración de Egipto.</w:t>
            </w:r>
          </w:p>
          <w:p w14:paraId="4AB9247F" w14:textId="77777777" w:rsidR="009A0FCF" w:rsidRPr="00BE6424" w:rsidRDefault="009A0FCF" w:rsidP="002421F7">
            <w:pPr>
              <w:pStyle w:val="Tabletext"/>
              <w:keepNext/>
              <w:keepLines/>
              <w:tabs>
                <w:tab w:val="clear" w:pos="284"/>
                <w:tab w:val="left" w:pos="439"/>
              </w:tabs>
              <w:spacing w:before="120"/>
              <w:ind w:left="437" w:hanging="437"/>
              <w:rPr>
                <w:rFonts w:eastAsia="MS Mincho"/>
                <w:szCs w:val="24"/>
                <w:lang w:val="es-ES_tradnl"/>
              </w:rPr>
            </w:pPr>
            <w:r w:rsidRPr="00BE6424">
              <w:rPr>
                <w:sz w:val="22"/>
                <w:lang w:val="es-ES_tradnl"/>
              </w:rPr>
              <w:t>13.7</w:t>
            </w:r>
            <w:r w:rsidRPr="00BE6424">
              <w:rPr>
                <w:sz w:val="22"/>
                <w:lang w:val="es-ES_tradnl"/>
              </w:rPr>
              <w:tab/>
              <w:t xml:space="preserve">Así se </w:t>
            </w:r>
            <w:r w:rsidRPr="00BE6424">
              <w:rPr>
                <w:b/>
                <w:bCs/>
                <w:sz w:val="22"/>
                <w:lang w:val="es-ES_tradnl"/>
              </w:rPr>
              <w:t>acuerda</w:t>
            </w:r>
            <w:r w:rsidRPr="00BE6424">
              <w:rPr>
                <w:sz w:val="22"/>
                <w:lang w:val="es-ES_tradnl"/>
              </w:rPr>
              <w:t>.</w:t>
            </w:r>
          </w:p>
        </w:tc>
      </w:tr>
      <w:tr w:rsidR="009A0FCF" w:rsidRPr="00BE6424" w14:paraId="74629724" w14:textId="77777777" w:rsidTr="005321E9">
        <w:trPr>
          <w:gridAfter w:val="1"/>
          <w:wAfter w:w="29" w:type="dxa"/>
          <w:trHeight w:val="1139"/>
        </w:trPr>
        <w:tc>
          <w:tcPr>
            <w:tcW w:w="1669" w:type="dxa"/>
            <w:vMerge w:val="restart"/>
          </w:tcPr>
          <w:p w14:paraId="67CDCD1C" w14:textId="0652D65B" w:rsidR="009A0FCF" w:rsidRPr="00124AA2" w:rsidRDefault="009A0FCF" w:rsidP="00E51EC7">
            <w:pPr>
              <w:spacing w:before="40" w:afterLines="40" w:after="96" w:line="240" w:lineRule="auto"/>
              <w:jc w:val="left"/>
              <w:rPr>
                <w:rFonts w:asciiTheme="minorHAnsi" w:hAnsiTheme="minorHAnsi" w:cstheme="minorHAnsi"/>
                <w:b/>
                <w:color w:val="800000"/>
                <w:sz w:val="22"/>
                <w:lang w:val="es-ES_tradnl"/>
              </w:rPr>
            </w:pPr>
            <w:bookmarkStart w:id="35" w:name="lt_pId145"/>
            <w:r w:rsidRPr="00124AA2">
              <w:rPr>
                <w:rFonts w:asciiTheme="minorHAnsi" w:hAnsiTheme="minorHAnsi" w:cstheme="minorHAnsi"/>
                <w:b/>
                <w:sz w:val="22"/>
                <w:lang w:val="es-ES_tradnl"/>
              </w:rPr>
              <w:t xml:space="preserve">Documento </w:t>
            </w:r>
            <w:hyperlink r:id="rId24" w:history="1">
              <w:r w:rsidRPr="00124AA2">
                <w:rPr>
                  <w:rStyle w:val="Hyperlink"/>
                  <w:rFonts w:asciiTheme="minorHAnsi" w:hAnsiTheme="minorHAnsi" w:cstheme="minorHAnsi"/>
                  <w:b/>
                  <w:sz w:val="22"/>
                  <w:lang w:val="es-ES_tradnl"/>
                </w:rPr>
                <w:t>CMR19/569</w:t>
              </w:r>
            </w:hyperlink>
            <w:r w:rsidRPr="00124AA2">
              <w:rPr>
                <w:rFonts w:asciiTheme="minorHAnsi" w:hAnsiTheme="minorHAnsi" w:cstheme="minorHAnsi"/>
                <w:b/>
                <w:sz w:val="22"/>
                <w:lang w:val="es-ES_tradnl"/>
              </w:rPr>
              <w:t xml:space="preserve"> – </w:t>
            </w:r>
            <w:r w:rsidRPr="00124AA2">
              <w:rPr>
                <w:rFonts w:asciiTheme="minorHAnsi" w:hAnsiTheme="minorHAnsi" w:cstheme="minorHAnsi"/>
                <w:b/>
                <w:bCs/>
                <w:sz w:val="22"/>
                <w:lang w:val="es-ES_tradnl"/>
              </w:rPr>
              <w:t xml:space="preserve">Actas de la </w:t>
            </w:r>
            <w:r w:rsidRPr="00124AA2">
              <w:rPr>
                <w:rFonts w:asciiTheme="minorHAnsi" w:hAnsiTheme="minorHAnsi" w:cstheme="minorHAnsi"/>
                <w:b/>
                <w:sz w:val="22"/>
                <w:lang w:val="es-ES_tradnl"/>
              </w:rPr>
              <w:t>octava</w:t>
            </w:r>
            <w:r w:rsidRPr="00124AA2">
              <w:rPr>
                <w:rFonts w:asciiTheme="minorHAnsi" w:hAnsiTheme="minorHAnsi" w:cstheme="minorHAnsi"/>
                <w:b/>
                <w:bCs/>
                <w:sz w:val="22"/>
                <w:lang w:val="es-ES_tradnl"/>
              </w:rPr>
              <w:t xml:space="preserve"> Sesión Plenaria</w:t>
            </w:r>
            <w:bookmarkEnd w:id="35"/>
          </w:p>
        </w:tc>
        <w:tc>
          <w:tcPr>
            <w:tcW w:w="1881" w:type="dxa"/>
          </w:tcPr>
          <w:p w14:paraId="5D42AB39" w14:textId="77777777" w:rsidR="009A0FCF" w:rsidRPr="00BE6424" w:rsidRDefault="009A0FCF" w:rsidP="001311B8">
            <w:pPr>
              <w:pStyle w:val="Tablehead"/>
              <w:keepNext w:val="0"/>
              <w:rPr>
                <w:sz w:val="22"/>
                <w:lang w:val="es-ES_tradnl"/>
              </w:rPr>
            </w:pPr>
            <w:bookmarkStart w:id="36" w:name="lt_pId146"/>
            <w:r w:rsidRPr="00BE6424">
              <w:rPr>
                <w:sz w:val="22"/>
                <w:lang w:val="es-ES_tradnl"/>
              </w:rPr>
              <w:t>§§ 3.4 a 3.7</w:t>
            </w:r>
            <w:bookmarkEnd w:id="36"/>
          </w:p>
          <w:p w14:paraId="61AF93CE" w14:textId="03C7C45E" w:rsidR="009A0FCF" w:rsidRPr="00BE6424" w:rsidRDefault="009A0FCF" w:rsidP="001311B8">
            <w:pPr>
              <w:pStyle w:val="Tablehead"/>
              <w:keepNext w:val="0"/>
              <w:rPr>
                <w:sz w:val="22"/>
                <w:lang w:val="es-ES_tradnl"/>
              </w:rPr>
            </w:pPr>
            <w:bookmarkStart w:id="37" w:name="lt_pId147"/>
            <w:r w:rsidRPr="00BE6424">
              <w:rPr>
                <w:sz w:val="22"/>
                <w:lang w:val="es-ES_tradnl"/>
              </w:rPr>
              <w:t xml:space="preserve">Aprobación del documento </w:t>
            </w:r>
            <w:hyperlink r:id="rId25" w:history="1">
              <w:r w:rsidRPr="001C5E82">
                <w:rPr>
                  <w:rStyle w:val="Hyperlink"/>
                  <w:sz w:val="22"/>
                  <w:lang w:val="es-ES_tradnl"/>
                </w:rPr>
                <w:t>344</w:t>
              </w:r>
              <w:bookmarkEnd w:id="37"/>
            </w:hyperlink>
          </w:p>
        </w:tc>
        <w:tc>
          <w:tcPr>
            <w:tcW w:w="10733" w:type="dxa"/>
          </w:tcPr>
          <w:p w14:paraId="27C62778" w14:textId="77777777" w:rsidR="009A0FCF" w:rsidRPr="00BE6424" w:rsidRDefault="009A0FCF" w:rsidP="002421F7">
            <w:pPr>
              <w:pStyle w:val="Tabletext"/>
              <w:tabs>
                <w:tab w:val="clear" w:pos="284"/>
                <w:tab w:val="left" w:pos="439"/>
              </w:tabs>
              <w:spacing w:before="120"/>
              <w:rPr>
                <w:rFonts w:asciiTheme="minorHAnsi" w:hAnsiTheme="minorHAnsi" w:cstheme="minorHAnsi"/>
                <w:sz w:val="22"/>
                <w:lang w:val="es-ES_tradnl"/>
              </w:rPr>
            </w:pPr>
            <w:bookmarkStart w:id="38" w:name="lt_pId148"/>
            <w:r w:rsidRPr="00BE6424">
              <w:rPr>
                <w:rFonts w:asciiTheme="minorHAnsi" w:hAnsiTheme="minorHAnsi" w:cstheme="minorHAnsi"/>
                <w:sz w:val="22"/>
                <w:lang w:val="es-ES_tradnl"/>
              </w:rPr>
              <w:t>La CMR-19 recibió el Documento 92(Add.21) que trata de la preocupación creada por la interferencia de enlace ascendente que sufren dos redes de satélites OSG en la banda de frecuencias 2 670</w:t>
            </w:r>
            <w:r w:rsidRPr="00BE6424">
              <w:rPr>
                <w:rFonts w:asciiTheme="minorHAnsi" w:hAnsiTheme="minorHAnsi" w:cstheme="minorHAnsi"/>
                <w:sz w:val="22"/>
                <w:lang w:val="es-ES_tradnl"/>
              </w:rPr>
              <w:noBreakHyphen/>
              <w:t>2 690 MHz. El problema también se incluyó en la Parte 1 del Informe del Director (Documento 4(Add.1), Anexo 2, § 2.3.2) y se debatió durante la Asamblea de Radiocomunicaciones 2019 (AR</w:t>
            </w:r>
            <w:r w:rsidRPr="00BE6424">
              <w:rPr>
                <w:rFonts w:asciiTheme="minorHAnsi" w:hAnsiTheme="minorHAnsi" w:cstheme="minorHAnsi"/>
                <w:sz w:val="22"/>
                <w:lang w:val="es-ES_tradnl"/>
              </w:rPr>
              <w:noBreakHyphen/>
              <w:t>19). El resultado del debate en la AR-19 fue el reconocimiento de la preocupación expresada en relación con las dificultades que se están produciendo actualmente, debidas a la continuada incompatibilidad entre el SMS y el SM, y una invitación a la CMR</w:t>
            </w:r>
            <w:r w:rsidRPr="00BE6424">
              <w:rPr>
                <w:rFonts w:asciiTheme="minorHAnsi" w:hAnsiTheme="minorHAnsi" w:cstheme="minorHAnsi"/>
                <w:sz w:val="22"/>
                <w:lang w:val="es-ES_tradnl"/>
              </w:rPr>
              <w:noBreakHyphen/>
              <w:t>19 a que adopte las medidas que considere adecuadas, con miras a acelerar la resolución satisfactoria del problema.</w:t>
            </w:r>
          </w:p>
          <w:p w14:paraId="25742956" w14:textId="77777777" w:rsidR="009A0FCF" w:rsidRPr="00BE6424" w:rsidRDefault="009A0FCF" w:rsidP="003E0BC1">
            <w:pPr>
              <w:pStyle w:val="TabletextodyCalibri"/>
              <w:rPr>
                <w:szCs w:val="24"/>
              </w:rPr>
            </w:pPr>
            <w:r w:rsidRPr="00BE6424">
              <w:t>La CMR</w:t>
            </w:r>
            <w:r w:rsidRPr="00BE6424">
              <w:noBreakHyphen/>
              <w:t xml:space="preserve">19 reconoció la urgencia del problema debido a la interferencia que se está produciendo actualmente. También consideró la posibilidad de revisar la Resolución </w:t>
            </w:r>
            <w:r w:rsidRPr="00BE6424">
              <w:rPr>
                <w:b/>
                <w:bCs/>
              </w:rPr>
              <w:t>225 (Rev.CMR</w:t>
            </w:r>
            <w:r w:rsidRPr="00BE6424">
              <w:rPr>
                <w:b/>
                <w:bCs/>
              </w:rPr>
              <w:noBreakHyphen/>
              <w:t>12)</w:t>
            </w:r>
            <w:r w:rsidRPr="00BE6424">
              <w:t xml:space="preserve"> con el fin de dar a conocer en particular este problema. Si bien no se acordó la propuesta de revisión, la CMR</w:t>
            </w:r>
            <w:r w:rsidRPr="00BE6424">
              <w:noBreakHyphen/>
              <w:t>19 acordó invitar al UIT</w:t>
            </w:r>
            <w:r w:rsidRPr="00BE6424">
              <w:noBreakHyphen/>
              <w:t>R a centrar sus esfuerzos en acelerar los estudios de compartición con miras a finalizar la elaboración de Recomendaciones y/o Informes adecuados que proporcionen las medidas técnicas y operativas para la coexistencia del servicio móvil por satélite y la componente terrenal de las IMT en la banda de frecuencias 2 655</w:t>
            </w:r>
            <w:r w:rsidRPr="00BE6424">
              <w:noBreakHyphen/>
              <w:t>2 690 MHz, durante el siguiente ciclo de estudios, es decir en 2023</w:t>
            </w:r>
            <w:bookmarkEnd w:id="38"/>
            <w:r w:rsidRPr="00BE6424">
              <w:t>.</w:t>
            </w:r>
          </w:p>
        </w:tc>
      </w:tr>
      <w:tr w:rsidR="009A0FCF" w:rsidRPr="00BE6424" w14:paraId="184562CE" w14:textId="77777777" w:rsidTr="005321E9">
        <w:trPr>
          <w:gridAfter w:val="1"/>
          <w:wAfter w:w="29" w:type="dxa"/>
          <w:trHeight w:val="1139"/>
        </w:trPr>
        <w:tc>
          <w:tcPr>
            <w:tcW w:w="1669" w:type="dxa"/>
            <w:vMerge/>
          </w:tcPr>
          <w:p w14:paraId="054D2430"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7B71EC52" w14:textId="77777777" w:rsidR="009A0FCF" w:rsidRPr="00BE6424" w:rsidRDefault="009A0FCF" w:rsidP="001311B8">
            <w:pPr>
              <w:pStyle w:val="Tablehead"/>
              <w:keepNext w:val="0"/>
              <w:rPr>
                <w:sz w:val="22"/>
                <w:lang w:val="es-ES_tradnl"/>
              </w:rPr>
            </w:pPr>
            <w:bookmarkStart w:id="39" w:name="lt_pId154"/>
            <w:r w:rsidRPr="00BE6424">
              <w:rPr>
                <w:sz w:val="22"/>
                <w:lang w:val="es-ES_tradnl"/>
              </w:rPr>
              <w:t>§§ 3.8 a 3.10</w:t>
            </w:r>
            <w:bookmarkEnd w:id="39"/>
          </w:p>
          <w:p w14:paraId="5C841068" w14:textId="1F0BD42A" w:rsidR="009A0FCF" w:rsidRPr="00BE6424" w:rsidRDefault="009A0FCF" w:rsidP="001311B8">
            <w:pPr>
              <w:pStyle w:val="Tablehead"/>
              <w:keepNext w:val="0"/>
              <w:rPr>
                <w:rFonts w:asciiTheme="minorHAnsi" w:hAnsiTheme="minorHAnsi" w:cstheme="minorHAnsi"/>
                <w:b w:val="0"/>
                <w:lang w:val="es-ES_tradnl"/>
              </w:rPr>
            </w:pPr>
            <w:bookmarkStart w:id="40" w:name="lt_pId155"/>
            <w:r w:rsidRPr="00BE6424">
              <w:rPr>
                <w:sz w:val="22"/>
                <w:lang w:val="es-ES_tradnl"/>
              </w:rPr>
              <w:t xml:space="preserve">Aprobación del documento </w:t>
            </w:r>
            <w:hyperlink r:id="rId26" w:history="1">
              <w:r w:rsidRPr="001C5E82">
                <w:rPr>
                  <w:rStyle w:val="Hyperlink"/>
                  <w:sz w:val="22"/>
                  <w:lang w:val="es-ES_tradnl"/>
                </w:rPr>
                <w:t>347</w:t>
              </w:r>
              <w:bookmarkEnd w:id="40"/>
            </w:hyperlink>
          </w:p>
        </w:tc>
        <w:tc>
          <w:tcPr>
            <w:tcW w:w="10733" w:type="dxa"/>
          </w:tcPr>
          <w:p w14:paraId="5176411E" w14:textId="477BCC33" w:rsidR="009A0FCF" w:rsidRPr="00BE6424" w:rsidRDefault="009A0FCF" w:rsidP="002421F7">
            <w:pPr>
              <w:pStyle w:val="Tabletext"/>
              <w:tabs>
                <w:tab w:val="clear" w:pos="284"/>
                <w:tab w:val="left" w:pos="439"/>
              </w:tabs>
              <w:spacing w:before="120"/>
              <w:rPr>
                <w:rFonts w:asciiTheme="minorHAnsi" w:hAnsiTheme="minorHAnsi" w:cstheme="minorHAnsi"/>
                <w:sz w:val="22"/>
                <w:lang w:val="es-ES_tradnl"/>
              </w:rPr>
            </w:pPr>
            <w:bookmarkStart w:id="41" w:name="lt_pId156"/>
            <w:r w:rsidRPr="00BE6424">
              <w:rPr>
                <w:rFonts w:asciiTheme="minorHAnsi" w:hAnsiTheme="minorHAnsi" w:cstheme="minorHAnsi"/>
                <w:sz w:val="22"/>
                <w:lang w:val="es-ES_tradnl"/>
              </w:rPr>
              <w:t xml:space="preserve">De conformidad con el punto 9.3 del orden del día de la CMR-19, la Conferencia recibió el Documento 15 de la Junta del Reglamento de Radiocomunicaciones titulado </w:t>
            </w:r>
            <w:r w:rsidRPr="00BE6424">
              <w:rPr>
                <w:rFonts w:asciiTheme="minorHAnsi" w:hAnsiTheme="minorHAnsi" w:cstheme="minorHAnsi"/>
                <w:i/>
                <w:iCs/>
                <w:sz w:val="22"/>
                <w:lang w:val="es-ES_tradnl"/>
              </w:rPr>
              <w:t>Informe de la Junta del Reglamento de Radiocomunicaciones sobre</w:t>
            </w:r>
            <w:r w:rsidR="00934E5D">
              <w:rPr>
                <w:rFonts w:asciiTheme="minorHAnsi" w:hAnsiTheme="minorHAnsi" w:cstheme="minorHAnsi"/>
                <w:i/>
                <w:iCs/>
                <w:sz w:val="22"/>
                <w:lang w:val="es-ES_tradnl"/>
              </w:rPr>
              <w:t> </w:t>
            </w:r>
            <w:r w:rsidRPr="00BE6424">
              <w:rPr>
                <w:rFonts w:asciiTheme="minorHAnsi" w:hAnsiTheme="minorHAnsi" w:cstheme="minorHAnsi"/>
                <w:i/>
                <w:iCs/>
                <w:sz w:val="22"/>
                <w:lang w:val="es-ES_tradnl"/>
              </w:rPr>
              <w:t xml:space="preserve">la Resolución </w:t>
            </w:r>
            <w:r w:rsidRPr="00BE6424">
              <w:rPr>
                <w:rFonts w:asciiTheme="minorHAnsi" w:hAnsiTheme="minorHAnsi" w:cstheme="minorHAnsi"/>
                <w:b/>
                <w:bCs/>
                <w:i/>
                <w:iCs/>
                <w:sz w:val="22"/>
                <w:lang w:val="es-ES_tradnl"/>
              </w:rPr>
              <w:t>80 (Rev.CMR-07)</w:t>
            </w:r>
            <w:r w:rsidRPr="00BE6424">
              <w:rPr>
                <w:rFonts w:asciiTheme="minorHAnsi" w:hAnsiTheme="minorHAnsi" w:cstheme="minorHAnsi"/>
                <w:sz w:val="22"/>
                <w:lang w:val="es-ES_tradnl"/>
              </w:rPr>
              <w:t>. Ese Informe resume las actividades de la RRB relacionadas con la Resolución</w:t>
            </w:r>
            <w:r w:rsidR="002421F7" w:rsidRPr="00BE6424">
              <w:rPr>
                <w:rFonts w:asciiTheme="minorHAnsi" w:hAnsiTheme="minorHAnsi" w:cstheme="minorHAnsi"/>
                <w:sz w:val="22"/>
                <w:lang w:val="es-ES_tradnl"/>
              </w:rPr>
              <w:t> </w:t>
            </w:r>
            <w:r w:rsidRPr="00BE6424">
              <w:rPr>
                <w:rFonts w:asciiTheme="minorHAnsi" w:hAnsiTheme="minorHAnsi" w:cstheme="minorHAnsi"/>
                <w:b/>
                <w:bCs/>
                <w:sz w:val="22"/>
                <w:lang w:val="es-ES_tradnl"/>
              </w:rPr>
              <w:t>80</w:t>
            </w:r>
            <w:r w:rsidR="00934E5D">
              <w:rPr>
                <w:rFonts w:asciiTheme="minorHAnsi" w:hAnsiTheme="minorHAnsi" w:cstheme="minorHAnsi"/>
                <w:b/>
                <w:bCs/>
                <w:sz w:val="22"/>
                <w:lang w:val="es-ES_tradnl"/>
              </w:rPr>
              <w:t> </w:t>
            </w:r>
            <w:r w:rsidRPr="00BE6424">
              <w:rPr>
                <w:rFonts w:asciiTheme="minorHAnsi" w:hAnsiTheme="minorHAnsi" w:cstheme="minorHAnsi"/>
                <w:b/>
                <w:bCs/>
                <w:sz w:val="22"/>
                <w:lang w:val="es-ES_tradnl"/>
              </w:rPr>
              <w:t>(Rev.</w:t>
            </w:r>
            <w:bookmarkStart w:id="42" w:name="_Hlk24508337"/>
            <w:r w:rsidRPr="00BE6424">
              <w:rPr>
                <w:rFonts w:asciiTheme="minorHAnsi" w:hAnsiTheme="minorHAnsi" w:cstheme="minorHAnsi"/>
                <w:b/>
                <w:bCs/>
                <w:sz w:val="22"/>
                <w:lang w:val="es-ES_tradnl"/>
              </w:rPr>
              <w:t>CMR</w:t>
            </w:r>
            <w:bookmarkEnd w:id="42"/>
            <w:r w:rsidRPr="00BE6424">
              <w:rPr>
                <w:rFonts w:asciiTheme="minorHAnsi" w:hAnsiTheme="minorHAnsi" w:cstheme="minorHAnsi"/>
                <w:b/>
                <w:bCs/>
                <w:sz w:val="22"/>
                <w:lang w:val="es-ES_tradnl"/>
              </w:rPr>
              <w:t>-07)</w:t>
            </w:r>
            <w:r w:rsidRPr="00BE6424">
              <w:rPr>
                <w:rFonts w:asciiTheme="minorHAnsi" w:hAnsiTheme="minorHAnsi" w:cstheme="minorHAnsi"/>
                <w:sz w:val="22"/>
                <w:lang w:val="es-ES_tradnl"/>
              </w:rPr>
              <w:t>, «</w:t>
            </w:r>
            <w:r w:rsidRPr="00BE6424">
              <w:rPr>
                <w:rFonts w:asciiTheme="minorHAnsi" w:hAnsiTheme="minorHAnsi" w:cstheme="minorHAnsi"/>
                <w:i/>
                <w:iCs/>
                <w:sz w:val="22"/>
                <w:lang w:val="es-ES_tradnl"/>
              </w:rPr>
              <w:t>Diligencia debida en la aplicación de los principios recogidos en la Constitución</w:t>
            </w:r>
            <w:r w:rsidRPr="00BE6424">
              <w:rPr>
                <w:rFonts w:asciiTheme="minorHAnsi" w:hAnsiTheme="minorHAnsi" w:cstheme="minorHAnsi"/>
                <w:sz w:val="22"/>
                <w:lang w:val="es-ES_tradnl"/>
              </w:rPr>
              <w:t>». En el Informe a la</w:t>
            </w:r>
            <w:r w:rsidR="00BE6424">
              <w:rPr>
                <w:rFonts w:asciiTheme="minorHAnsi" w:hAnsiTheme="minorHAnsi" w:cstheme="minorHAnsi"/>
                <w:sz w:val="22"/>
                <w:lang w:val="es-ES_tradnl"/>
              </w:rPr>
              <w:t> </w:t>
            </w:r>
            <w:r w:rsidRPr="00BE6424">
              <w:rPr>
                <w:rFonts w:asciiTheme="minorHAnsi" w:hAnsiTheme="minorHAnsi" w:cstheme="minorHAnsi"/>
                <w:sz w:val="22"/>
                <w:lang w:val="es-ES_tradnl"/>
              </w:rPr>
              <w:t>CMR-19, la Junta proporcionó una actualización del Informe a la CMR-15 centrada en sus esfuerzos para abordar temas a los que la Junta del Reglamento de Radiocomunicaciones había hecho frente desde la CMR</w:t>
            </w:r>
            <w:r w:rsidRPr="00BE6424">
              <w:rPr>
                <w:rFonts w:asciiTheme="minorHAnsi" w:hAnsiTheme="minorHAnsi" w:cstheme="minorHAnsi"/>
                <w:sz w:val="22"/>
                <w:lang w:val="es-ES_tradnl"/>
              </w:rPr>
              <w:noBreakHyphen/>
              <w:t xml:space="preserve">15 y que afectan al cumplimiento de los principios contenidos en el Artículo 44 de la Constitución y en el número </w:t>
            </w:r>
            <w:r w:rsidRPr="00934E5D">
              <w:rPr>
                <w:rFonts w:asciiTheme="minorHAnsi" w:hAnsiTheme="minorHAnsi" w:cstheme="minorHAnsi"/>
                <w:b/>
                <w:bCs/>
                <w:sz w:val="22"/>
                <w:lang w:val="es-ES_tradnl"/>
              </w:rPr>
              <w:t>0.3</w:t>
            </w:r>
            <w:r w:rsidRPr="00BE6424">
              <w:rPr>
                <w:rFonts w:asciiTheme="minorHAnsi" w:hAnsiTheme="minorHAnsi" w:cstheme="minorHAnsi"/>
                <w:sz w:val="22"/>
                <w:lang w:val="es-ES_tradnl"/>
              </w:rPr>
              <w:t xml:space="preserve"> del Preámbulo del Reglamento de Radiocomunicaciones.</w:t>
            </w:r>
          </w:p>
          <w:p w14:paraId="40AD05D9" w14:textId="77777777" w:rsidR="009A0FCF" w:rsidRPr="00BE6424" w:rsidRDefault="009A0FCF" w:rsidP="002421F7">
            <w:pPr>
              <w:pStyle w:val="Tabletext"/>
              <w:tabs>
                <w:tab w:val="clear" w:pos="284"/>
                <w:tab w:val="left" w:pos="439"/>
              </w:tabs>
              <w:spacing w:before="120"/>
              <w:rPr>
                <w:rFonts w:asciiTheme="minorHAnsi" w:hAnsiTheme="minorHAnsi" w:cstheme="minorHAnsi"/>
                <w:sz w:val="22"/>
                <w:lang w:val="es-ES_tradnl"/>
              </w:rPr>
            </w:pPr>
            <w:r w:rsidRPr="00BE6424">
              <w:rPr>
                <w:rFonts w:asciiTheme="minorHAnsi" w:hAnsiTheme="minorHAnsi" w:cstheme="minorHAnsi"/>
                <w:sz w:val="22"/>
                <w:lang w:val="es-ES_tradnl"/>
              </w:rPr>
              <w:t>El Informe de la Junta dice, en parte, lo siguiente: «</w:t>
            </w:r>
            <w:r w:rsidRPr="00BE6424">
              <w:rPr>
                <w:rFonts w:asciiTheme="minorHAnsi" w:hAnsiTheme="minorHAnsi" w:cstheme="minorHAnsi"/>
                <w:i/>
                <w:iCs/>
                <w:sz w:val="22"/>
                <w:lang w:val="es-ES_tradnl"/>
              </w:rPr>
              <w:t>La Junta examinó las dudas planteadas por algunas administraciones respecto de la adecuación de la aplicación del Artículo 48 de la Constitución de la UIT por otras administraciones. Los casos de supuesto incumplimiento del Artículo 48 de la Constitución sometidos a la Junta pueden resumirse como sigue</w:t>
            </w:r>
            <w:r w:rsidRPr="00BE6424">
              <w:rPr>
                <w:rFonts w:asciiTheme="minorHAnsi" w:hAnsiTheme="minorHAnsi" w:cstheme="minorHAnsi"/>
                <w:sz w:val="22"/>
                <w:lang w:val="es-ES_tradnl"/>
              </w:rPr>
              <w:t>:</w:t>
            </w:r>
          </w:p>
          <w:p w14:paraId="48C62987" w14:textId="77777777" w:rsidR="009A0FCF" w:rsidRPr="00BE6424" w:rsidRDefault="009A0FCF" w:rsidP="00BB7EB4">
            <w:pPr>
              <w:pStyle w:val="Tabletext"/>
              <w:tabs>
                <w:tab w:val="clear" w:pos="284"/>
                <w:tab w:val="clear" w:pos="1134"/>
              </w:tabs>
              <w:ind w:left="463" w:hanging="463"/>
              <w:rPr>
                <w:i/>
                <w:sz w:val="22"/>
                <w:lang w:val="es-ES_tradnl"/>
              </w:rPr>
            </w:pPr>
            <w:r w:rsidRPr="00BE6424">
              <w:rPr>
                <w:i/>
                <w:sz w:val="22"/>
                <w:lang w:val="es-ES_tradnl"/>
              </w:rPr>
              <w:t>–</w:t>
            </w:r>
            <w:r w:rsidRPr="00BE6424">
              <w:rPr>
                <w:i/>
                <w:sz w:val="22"/>
                <w:lang w:val="es-ES_tradnl"/>
              </w:rPr>
              <w:tab/>
              <w:t xml:space="preserve">Administraciones que invocan el Artículo 48 de la Constitución una vez que la Oficina ha puesto en marcha una investigación en virtud del número </w:t>
            </w:r>
            <w:r w:rsidRPr="00BE6424">
              <w:rPr>
                <w:b/>
                <w:bCs/>
                <w:i/>
                <w:sz w:val="22"/>
                <w:lang w:val="es-ES_tradnl"/>
              </w:rPr>
              <w:t>13.6</w:t>
            </w:r>
            <w:r w:rsidRPr="00BE6424">
              <w:rPr>
                <w:i/>
                <w:sz w:val="22"/>
                <w:lang w:val="es-ES_tradnl"/>
              </w:rPr>
              <w:t xml:space="preserve"> del RR como manera de evitar la aplicación del mismo y de conservar los derechos en el Registro Internacional de Frecuencias.</w:t>
            </w:r>
          </w:p>
          <w:p w14:paraId="7533F5C2" w14:textId="77777777" w:rsidR="009A0FCF" w:rsidRPr="00BE6424" w:rsidRDefault="009A0FCF" w:rsidP="00BB7EB4">
            <w:pPr>
              <w:pStyle w:val="Tabletext"/>
              <w:tabs>
                <w:tab w:val="clear" w:pos="284"/>
                <w:tab w:val="clear" w:pos="1134"/>
              </w:tabs>
              <w:ind w:left="463" w:hanging="463"/>
              <w:rPr>
                <w:i/>
                <w:sz w:val="22"/>
                <w:lang w:val="es-ES_tradnl"/>
              </w:rPr>
            </w:pPr>
            <w:r w:rsidRPr="00BE6424">
              <w:rPr>
                <w:i/>
                <w:sz w:val="22"/>
                <w:lang w:val="es-ES_tradnl"/>
              </w:rPr>
              <w:t>–</w:t>
            </w:r>
            <w:r w:rsidRPr="00BE6424">
              <w:rPr>
                <w:i/>
                <w:sz w:val="22"/>
                <w:lang w:val="es-ES_tradnl"/>
              </w:rPr>
              <w:tab/>
              <w:t>Administraciones que invocan el Artículo 48 de la Constitución para asignaciones de frecuencias que no se utilizan con fines militares».</w:t>
            </w:r>
          </w:p>
          <w:p w14:paraId="65680BE2" w14:textId="77777777" w:rsidR="009A0FCF" w:rsidRPr="00BE6424" w:rsidRDefault="009A0FCF" w:rsidP="00BB7EB4">
            <w:pPr>
              <w:pStyle w:val="Tabletext"/>
              <w:tabs>
                <w:tab w:val="clear" w:pos="1134"/>
                <w:tab w:val="clear" w:pos="2268"/>
              </w:tabs>
              <w:spacing w:before="120"/>
              <w:rPr>
                <w:sz w:val="22"/>
                <w:lang w:val="es-ES_tradnl"/>
              </w:rPr>
            </w:pPr>
            <w:r w:rsidRPr="00BE6424">
              <w:rPr>
                <w:sz w:val="22"/>
                <w:lang w:val="es-ES_tradnl"/>
              </w:rPr>
              <w:t>En respuesta al contenido de este Informe de la Junta, la Conferencia recibió varias contribuciones de administraciones que incluían diversas medidas para su consideración por la Conferencia a fin de abordar las preocupaciones planteadas por las administraciones, aunque se entendía que ninguna de esas medidas podría ser aplicada sin una instrucción específica de una Conferencia de Plenipotenciarios a una CMR para efectivamente hacerlo.</w:t>
            </w:r>
          </w:p>
          <w:p w14:paraId="639CD968" w14:textId="77777777" w:rsidR="009A0FCF" w:rsidRPr="00BE6424" w:rsidRDefault="009A0FCF" w:rsidP="00BB7EB4">
            <w:pPr>
              <w:pStyle w:val="Tabletext"/>
              <w:tabs>
                <w:tab w:val="clear" w:pos="1134"/>
                <w:tab w:val="clear" w:pos="2268"/>
              </w:tabs>
              <w:spacing w:before="120"/>
              <w:rPr>
                <w:sz w:val="22"/>
                <w:lang w:val="es-ES_tradnl"/>
              </w:rPr>
            </w:pPr>
            <w:r w:rsidRPr="00BE6424">
              <w:rPr>
                <w:sz w:val="22"/>
                <w:lang w:val="es-ES_tradnl"/>
              </w:rPr>
              <w:t xml:space="preserve">Teniendo en cuenta el Informe de la Junta sobre la Resolución </w:t>
            </w:r>
            <w:r w:rsidRPr="00BE6424">
              <w:rPr>
                <w:b/>
                <w:bCs/>
                <w:sz w:val="22"/>
                <w:lang w:val="es-ES_tradnl"/>
              </w:rPr>
              <w:t>80 (Rev.CMR-07)</w:t>
            </w:r>
            <w:r w:rsidRPr="00BE6424">
              <w:rPr>
                <w:sz w:val="22"/>
                <w:lang w:val="es-ES_tradnl"/>
              </w:rPr>
              <w:t>, las contribuciones a la CMR-19 y los comentarios recibidos en la misma al respecto, la CMR</w:t>
            </w:r>
            <w:r w:rsidRPr="00BE6424">
              <w:rPr>
                <w:sz w:val="22"/>
                <w:lang w:val="es-ES_tradnl"/>
              </w:rPr>
              <w:noBreakHyphen/>
              <w:t>19, de conformidad con el Artículo 21 del Convenio de la UIT, invita a la Conferencia de Plenipotenciarios de 2022 a que considere la cuestión de la invocación del Artículo 48 de la Constitución en relación al Reglamento de Radiocomunicaciones planteada en la CMR-19 y que adopte, si es necesario, las medidas necesarias, según proceda.</w:t>
            </w:r>
          </w:p>
          <w:p w14:paraId="134D51BC" w14:textId="77777777" w:rsidR="009A0FCF" w:rsidRPr="00BE6424" w:rsidRDefault="009A0FCF" w:rsidP="00BB7EB4">
            <w:pPr>
              <w:pStyle w:val="Tabletext"/>
              <w:tabs>
                <w:tab w:val="clear" w:pos="1134"/>
                <w:tab w:val="clear" w:pos="2268"/>
              </w:tabs>
              <w:spacing w:before="120"/>
              <w:rPr>
                <w:rFonts w:asciiTheme="minorHAnsi" w:hAnsiTheme="minorHAnsi" w:cstheme="minorHAnsi"/>
                <w:b/>
                <w:color w:val="800000"/>
                <w:szCs w:val="24"/>
                <w:lang w:val="es-ES_tradnl"/>
              </w:rPr>
            </w:pPr>
            <w:r w:rsidRPr="00BE6424">
              <w:rPr>
                <w:sz w:val="22"/>
                <w:lang w:val="es-ES_tradnl"/>
              </w:rPr>
              <w:t>Además, y a tal fin, la CMR-19 ha encargado a la Oficina que continúe su práctica actual de responder a las solicitudes específicas de las administraciones relativas a la situación de redes de satélites individuales, incluida la indicación de si se ha invocado el Artículo 48 de la Constitución para una red de satélites.</w:t>
            </w:r>
            <w:bookmarkEnd w:id="41"/>
          </w:p>
        </w:tc>
      </w:tr>
      <w:tr w:rsidR="009A0FCF" w:rsidRPr="00BE6424" w14:paraId="6C5EED0B" w14:textId="77777777" w:rsidTr="005321E9">
        <w:trPr>
          <w:gridAfter w:val="1"/>
          <w:wAfter w:w="29" w:type="dxa"/>
          <w:trHeight w:val="1139"/>
        </w:trPr>
        <w:tc>
          <w:tcPr>
            <w:tcW w:w="1669" w:type="dxa"/>
            <w:vMerge/>
          </w:tcPr>
          <w:p w14:paraId="38EC3395"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58839E30" w14:textId="77777777" w:rsidR="009A0FCF" w:rsidRPr="00BE6424" w:rsidRDefault="009A0FCF" w:rsidP="001311B8">
            <w:pPr>
              <w:pStyle w:val="Tablehead"/>
              <w:keepNext w:val="0"/>
              <w:rPr>
                <w:sz w:val="22"/>
                <w:lang w:val="es-ES_tradnl"/>
              </w:rPr>
            </w:pPr>
            <w:bookmarkStart w:id="43" w:name="lt_pId169"/>
            <w:r w:rsidRPr="00BE6424">
              <w:rPr>
                <w:sz w:val="22"/>
                <w:lang w:val="es-ES_tradnl"/>
              </w:rPr>
              <w:t>§§ 3.11 a 3.15</w:t>
            </w:r>
            <w:bookmarkEnd w:id="43"/>
          </w:p>
          <w:p w14:paraId="4C588715" w14:textId="23FBCDE9" w:rsidR="009A0FCF" w:rsidRPr="00BE6424" w:rsidRDefault="009A0FCF" w:rsidP="001311B8">
            <w:pPr>
              <w:pStyle w:val="Tablehead"/>
              <w:keepNext w:val="0"/>
              <w:rPr>
                <w:rFonts w:asciiTheme="minorHAnsi" w:hAnsiTheme="minorHAnsi" w:cstheme="minorHAnsi"/>
                <w:b w:val="0"/>
                <w:lang w:val="es-ES_tradnl"/>
              </w:rPr>
            </w:pPr>
            <w:bookmarkStart w:id="44" w:name="lt_pId170"/>
            <w:r w:rsidRPr="00BE6424">
              <w:rPr>
                <w:sz w:val="22"/>
                <w:lang w:val="es-ES_tradnl"/>
              </w:rPr>
              <w:t xml:space="preserve">Aprobación del documento </w:t>
            </w:r>
            <w:hyperlink r:id="rId27" w:history="1">
              <w:r w:rsidRPr="001C5E82">
                <w:rPr>
                  <w:rStyle w:val="Hyperlink"/>
                  <w:sz w:val="22"/>
                  <w:lang w:val="es-ES_tradnl"/>
                </w:rPr>
                <w:t>451</w:t>
              </w:r>
              <w:bookmarkEnd w:id="44"/>
            </w:hyperlink>
          </w:p>
        </w:tc>
        <w:tc>
          <w:tcPr>
            <w:tcW w:w="10733" w:type="dxa"/>
          </w:tcPr>
          <w:p w14:paraId="7B42FCD4" w14:textId="77777777" w:rsidR="009A0FCF" w:rsidRPr="00BE6424" w:rsidRDefault="009A0FCF" w:rsidP="00BB7EB4">
            <w:pPr>
              <w:pStyle w:val="Tabletext"/>
              <w:tabs>
                <w:tab w:val="clear" w:pos="1134"/>
                <w:tab w:val="clear" w:pos="2268"/>
              </w:tabs>
              <w:spacing w:before="120"/>
              <w:rPr>
                <w:sz w:val="22"/>
                <w:lang w:val="es-ES_tradnl"/>
              </w:rPr>
            </w:pPr>
            <w:bookmarkStart w:id="45" w:name="_Hlk34052919"/>
            <w:bookmarkStart w:id="46" w:name="lt_pId171"/>
            <w:r w:rsidRPr="00BE6424">
              <w:rPr>
                <w:sz w:val="22"/>
                <w:lang w:val="es-ES_tradnl"/>
              </w:rPr>
              <w:t xml:space="preserve">De conformidad con el punto 9.2 del orden del día de la CMR-19, la Conferencia recibió el </w:t>
            </w:r>
            <w:proofErr w:type="spellStart"/>
            <w:r w:rsidRPr="00BE6424">
              <w:rPr>
                <w:sz w:val="22"/>
                <w:lang w:val="es-ES_tradnl"/>
              </w:rPr>
              <w:t>Addéndum</w:t>
            </w:r>
            <w:proofErr w:type="spellEnd"/>
            <w:r w:rsidRPr="00BE6424">
              <w:rPr>
                <w:sz w:val="22"/>
                <w:lang w:val="es-ES_tradnl"/>
              </w:rPr>
              <w:t> 2 al Documento 4 del Director de la Oficina de Radiocomunicaciones, titulado «Informe del Director sobre las actividades del Sector de Radiocomunicaciones, Parte 2». En este documento se resume la experiencia en la aplicación de los procedimientos del Reglamento de Radiocomunicaciones y otros asuntos conexos. En el Documento</w:t>
            </w:r>
            <w:r w:rsidRPr="00BE6424">
              <w:rPr>
                <w:rFonts w:asciiTheme="minorHAnsi" w:hAnsiTheme="minorHAnsi" w:cstheme="minorHAnsi"/>
                <w:sz w:val="22"/>
                <w:lang w:val="es-ES_tradnl"/>
              </w:rPr>
              <w:t xml:space="preserve"> </w:t>
            </w:r>
            <w:hyperlink r:id="rId28" w:history="1">
              <w:r w:rsidRPr="00BE6424">
                <w:rPr>
                  <w:rStyle w:val="Hyperlink"/>
                  <w:rFonts w:asciiTheme="minorHAnsi" w:hAnsiTheme="minorHAnsi" w:cstheme="minorHAnsi"/>
                  <w:sz w:val="22"/>
                  <w:lang w:val="es-ES_tradnl"/>
                </w:rPr>
                <w:t>351</w:t>
              </w:r>
            </w:hyperlink>
            <w:r w:rsidRPr="00BE6424">
              <w:rPr>
                <w:rFonts w:asciiTheme="minorHAnsi" w:hAnsiTheme="minorHAnsi" w:cstheme="minorHAnsi"/>
                <w:lang w:val="es-ES_tradnl"/>
              </w:rPr>
              <w:t xml:space="preserve"> </w:t>
            </w:r>
            <w:r w:rsidRPr="00BE6424">
              <w:rPr>
                <w:sz w:val="22"/>
                <w:lang w:val="es-ES_tradnl"/>
              </w:rPr>
              <w:t>se han compilado los resultados conseguidos por la CMR-19 al examinar el Informe del Director.</w:t>
            </w:r>
          </w:p>
          <w:p w14:paraId="53EA46CD" w14:textId="77777777" w:rsidR="009A0FCF" w:rsidRPr="00BE6424" w:rsidRDefault="009A0FCF" w:rsidP="00BB7EB4">
            <w:pPr>
              <w:pStyle w:val="Tabletext"/>
              <w:tabs>
                <w:tab w:val="clear" w:pos="1134"/>
                <w:tab w:val="clear" w:pos="2268"/>
              </w:tabs>
              <w:spacing w:before="120"/>
              <w:rPr>
                <w:sz w:val="22"/>
                <w:lang w:val="es-ES_tradnl"/>
              </w:rPr>
            </w:pPr>
            <w:r w:rsidRPr="00BE6424">
              <w:rPr>
                <w:sz w:val="22"/>
                <w:lang w:val="es-ES_tradnl"/>
              </w:rPr>
              <w:t>Al examinar la sección 3.1.2.1 sobre el «Requisito de coordinación con arreglo al número</w:t>
            </w:r>
            <w:r w:rsidRPr="00BE6424">
              <w:rPr>
                <w:rFonts w:asciiTheme="minorHAnsi" w:hAnsiTheme="minorHAnsi" w:cstheme="minorHAnsi"/>
                <w:lang w:val="es-ES_tradnl"/>
              </w:rPr>
              <w:t xml:space="preserve"> </w:t>
            </w:r>
            <w:r w:rsidRPr="00BE6424">
              <w:rPr>
                <w:b/>
                <w:bCs/>
                <w:sz w:val="22"/>
                <w:lang w:val="es-ES_tradnl"/>
              </w:rPr>
              <w:t>9.7</w:t>
            </w:r>
            <w:r w:rsidRPr="00BE6424">
              <w:rPr>
                <w:sz w:val="22"/>
                <w:lang w:val="es-ES_tradnl"/>
              </w:rPr>
              <w:t xml:space="preserve"> del RR para un enlace entre satélites de una estación espacial en órbita geoestacionaria que establece comunicación con una estación espacial en órbita no geoestacionaria, de conformidad con el número </w:t>
            </w:r>
            <w:r w:rsidRPr="00BE6424">
              <w:rPr>
                <w:b/>
                <w:bCs/>
                <w:sz w:val="22"/>
                <w:lang w:val="es-ES_tradnl"/>
              </w:rPr>
              <w:t>5.328B</w:t>
            </w:r>
            <w:r w:rsidRPr="00BE6424">
              <w:rPr>
                <w:sz w:val="22"/>
                <w:lang w:val="es-ES_tradnl"/>
              </w:rPr>
              <w:t xml:space="preserve"> del RR», a fin de cumplir los requisitos del número </w:t>
            </w:r>
            <w:r w:rsidRPr="00BE6424">
              <w:rPr>
                <w:b/>
                <w:bCs/>
                <w:sz w:val="22"/>
                <w:lang w:val="es-ES_tradnl"/>
              </w:rPr>
              <w:t>5.328B</w:t>
            </w:r>
            <w:r w:rsidRPr="00BE6424">
              <w:rPr>
                <w:sz w:val="22"/>
                <w:lang w:val="es-ES_tradnl"/>
              </w:rPr>
              <w:t xml:space="preserve"> del RR y del § 6.4 de la Regla de Procedimiento relativa al número </w:t>
            </w:r>
            <w:r w:rsidRPr="00BE6424">
              <w:rPr>
                <w:b/>
                <w:bCs/>
                <w:sz w:val="22"/>
                <w:lang w:val="es-ES_tradnl"/>
              </w:rPr>
              <w:t>11.32</w:t>
            </w:r>
            <w:r w:rsidRPr="00BE6424">
              <w:rPr>
                <w:sz w:val="22"/>
                <w:lang w:val="es-ES_tradnl"/>
              </w:rPr>
              <w:t xml:space="preserve"> del RR, la CMR-19 encarga a la Oficina que determine los requisitos de coordinación para dicho enlace de una estación OSG basada en una superposición de frecuencias similar a la de una estación no OSG hasta que se establezca algún otro criterio o método.</w:t>
            </w:r>
          </w:p>
          <w:p w14:paraId="5DAB14FE" w14:textId="77777777" w:rsidR="009A0FCF" w:rsidRPr="00BE6424" w:rsidRDefault="009A0FCF" w:rsidP="00BB7EB4">
            <w:pPr>
              <w:pStyle w:val="Tabletext"/>
              <w:tabs>
                <w:tab w:val="clear" w:pos="1134"/>
                <w:tab w:val="clear" w:pos="2268"/>
              </w:tabs>
              <w:spacing w:before="120"/>
              <w:rPr>
                <w:sz w:val="22"/>
                <w:lang w:val="es-ES_tradnl"/>
              </w:rPr>
            </w:pPr>
            <w:r w:rsidRPr="00BE6424">
              <w:rPr>
                <w:sz w:val="22"/>
                <w:lang w:val="es-ES_tradnl"/>
              </w:rPr>
              <w:t xml:space="preserve">Al examinar la sección 3.1.3.4 sobre el «Proyecto de base de datos CR/D disponible en la BR IFIC antes de la publicación de CR/D con arreglo al número </w:t>
            </w:r>
            <w:r w:rsidRPr="00BE6424">
              <w:rPr>
                <w:b/>
                <w:bCs/>
                <w:sz w:val="22"/>
                <w:lang w:val="es-ES_tradnl"/>
              </w:rPr>
              <w:t>9.53A</w:t>
            </w:r>
            <w:r w:rsidRPr="00BE6424">
              <w:rPr>
                <w:sz w:val="22"/>
                <w:lang w:val="es-ES_tradnl"/>
              </w:rPr>
              <w:t xml:space="preserve"> del RR», la CMR-19 encarga a la Oficina que cese su práctica habitual de elaborar un proyecto de CR/D.</w:t>
            </w:r>
          </w:p>
          <w:p w14:paraId="07512B0B" w14:textId="77777777" w:rsidR="009A0FCF" w:rsidRPr="00BE6424" w:rsidRDefault="009A0FCF" w:rsidP="00BB7EB4">
            <w:pPr>
              <w:pStyle w:val="Tabletext"/>
              <w:tabs>
                <w:tab w:val="clear" w:pos="1134"/>
                <w:tab w:val="clear" w:pos="2268"/>
              </w:tabs>
              <w:spacing w:before="120"/>
              <w:rPr>
                <w:sz w:val="22"/>
                <w:lang w:val="es-ES_tradnl"/>
              </w:rPr>
            </w:pPr>
            <w:r w:rsidRPr="00BE6424">
              <w:rPr>
                <w:sz w:val="22"/>
                <w:lang w:val="es-ES_tradnl"/>
              </w:rPr>
              <w:t xml:space="preserve">Al examinar la sección 3.1.4.2 sobre la «Situación de coordinación de una red de satélites durante su examen con arreglo a los números </w:t>
            </w:r>
            <w:r w:rsidRPr="00BE6424">
              <w:rPr>
                <w:b/>
                <w:bCs/>
                <w:sz w:val="22"/>
                <w:lang w:val="es-ES_tradnl"/>
              </w:rPr>
              <w:t>11.32</w:t>
            </w:r>
            <w:r w:rsidRPr="00BE6424">
              <w:rPr>
                <w:sz w:val="22"/>
                <w:lang w:val="es-ES_tradnl"/>
              </w:rPr>
              <w:t xml:space="preserve"> y </w:t>
            </w:r>
            <w:r w:rsidRPr="00BE6424">
              <w:rPr>
                <w:b/>
                <w:bCs/>
                <w:sz w:val="22"/>
                <w:lang w:val="es-ES_tradnl"/>
              </w:rPr>
              <w:t>11.32A</w:t>
            </w:r>
            <w:r w:rsidRPr="00BE6424">
              <w:rPr>
                <w:sz w:val="22"/>
                <w:lang w:val="es-ES_tradnl"/>
              </w:rPr>
              <w:t xml:space="preserve"> del RR», la CMR-19 está a favor de que la Oficina prepare el software descrito en esta sección del Informe del Director y confirma que el instrumento descrito se ajustará a las necesidades de las administraciones a la hora de comunicar el estado de coordinación con respecto a una administración afectada.</w:t>
            </w:r>
          </w:p>
          <w:p w14:paraId="4FED0582" w14:textId="77777777" w:rsidR="009A0FCF" w:rsidRPr="00BE6424" w:rsidRDefault="009A0FCF" w:rsidP="00BB7EB4">
            <w:pPr>
              <w:pStyle w:val="Tabletext"/>
              <w:tabs>
                <w:tab w:val="clear" w:pos="1134"/>
                <w:tab w:val="clear" w:pos="2268"/>
              </w:tabs>
              <w:spacing w:before="120"/>
              <w:rPr>
                <w:sz w:val="22"/>
                <w:lang w:val="es-ES_tradnl"/>
              </w:rPr>
            </w:pPr>
            <w:r w:rsidRPr="00BE6424">
              <w:rPr>
                <w:sz w:val="22"/>
                <w:lang w:val="es-ES_tradnl"/>
              </w:rPr>
              <w:t xml:space="preserve">La CMR-19 encarga a la Oficina que, al realizar el examen en virtud del número </w:t>
            </w:r>
            <w:r w:rsidRPr="00BE6424">
              <w:rPr>
                <w:b/>
                <w:bCs/>
                <w:sz w:val="22"/>
                <w:lang w:val="es-ES_tradnl"/>
              </w:rPr>
              <w:t>11.32A</w:t>
            </w:r>
            <w:r w:rsidRPr="00BE6424">
              <w:rPr>
                <w:sz w:val="22"/>
                <w:lang w:val="es-ES_tradnl"/>
              </w:rPr>
              <w:t xml:space="preserve"> del RR, tenga también en cuenta el estado de los acuerdos de coordinación con las redes de satélites de las administraciones afectadas a nivel de notificación cuando se facilite dicha información, para que la administración notificante pueda beneficiarse de los acuerdos de coordinación ya obtenidos.</w:t>
            </w:r>
          </w:p>
          <w:p w14:paraId="52F93520" w14:textId="77777777" w:rsidR="009A0FCF" w:rsidRPr="00BE6424" w:rsidRDefault="009A0FCF" w:rsidP="00A223E0">
            <w:pPr>
              <w:pStyle w:val="Tabletext"/>
              <w:tabs>
                <w:tab w:val="clear" w:pos="1134"/>
                <w:tab w:val="clear" w:pos="2268"/>
              </w:tabs>
              <w:spacing w:before="120"/>
              <w:rPr>
                <w:sz w:val="22"/>
                <w:lang w:val="es-ES_tradnl"/>
              </w:rPr>
            </w:pPr>
            <w:r w:rsidRPr="00BE6424">
              <w:rPr>
                <w:sz w:val="22"/>
                <w:lang w:val="es-ES_tradnl"/>
              </w:rPr>
              <w:t>La CMR-19 decidió modificar partes importantes del Apéndice </w:t>
            </w:r>
            <w:r w:rsidRPr="00BE6424">
              <w:rPr>
                <w:b/>
                <w:bCs/>
                <w:sz w:val="22"/>
                <w:lang w:val="es-ES_tradnl"/>
              </w:rPr>
              <w:t>4</w:t>
            </w:r>
            <w:r w:rsidRPr="00BE6424">
              <w:rPr>
                <w:sz w:val="22"/>
                <w:lang w:val="es-ES_tradnl"/>
              </w:rPr>
              <w:t xml:space="preserve"> del RR a fin de permitir ese examen.</w:t>
            </w:r>
          </w:p>
          <w:p w14:paraId="3D77F1DB" w14:textId="77777777" w:rsidR="009A0FCF" w:rsidRPr="00BE6424" w:rsidRDefault="009A0FCF" w:rsidP="00A223E0">
            <w:pPr>
              <w:pStyle w:val="Tabletext"/>
              <w:tabs>
                <w:tab w:val="clear" w:pos="1134"/>
                <w:tab w:val="clear" w:pos="2268"/>
              </w:tabs>
              <w:spacing w:before="120"/>
              <w:rPr>
                <w:sz w:val="22"/>
                <w:lang w:val="es-ES_tradnl"/>
              </w:rPr>
            </w:pPr>
            <w:r w:rsidRPr="00BE6424">
              <w:rPr>
                <w:sz w:val="22"/>
                <w:lang w:val="es-ES_tradnl"/>
              </w:rPr>
              <w:t xml:space="preserve">Al examinar la sección 3.1.4.3 sobre la «Posible revisión de la aplicación del número </w:t>
            </w:r>
            <w:r w:rsidRPr="00BE6424">
              <w:rPr>
                <w:b/>
                <w:bCs/>
                <w:sz w:val="22"/>
                <w:lang w:val="es-ES_tradnl"/>
              </w:rPr>
              <w:t>11.47</w:t>
            </w:r>
            <w:r w:rsidRPr="00BE6424">
              <w:rPr>
                <w:sz w:val="22"/>
                <w:lang w:val="es-ES_tradnl"/>
              </w:rPr>
              <w:t xml:space="preserve"> del RR con respecto a las inscripciones provisionales», de las dos opciones presentadas en esta sección para resolver las dificultades planteadas, la CMR-19 eligió la segunda opción de la forma que se indica a continuación:</w:t>
            </w:r>
          </w:p>
          <w:p w14:paraId="3D86213F" w14:textId="77777777" w:rsidR="009A0FCF" w:rsidRPr="00BE6424" w:rsidRDefault="009A0FCF" w:rsidP="00A223E0">
            <w:pPr>
              <w:pStyle w:val="Tabletext"/>
              <w:tabs>
                <w:tab w:val="clear" w:pos="1134"/>
                <w:tab w:val="clear" w:pos="2268"/>
              </w:tabs>
              <w:spacing w:before="120"/>
              <w:rPr>
                <w:sz w:val="22"/>
                <w:lang w:val="es-ES_tradnl"/>
              </w:rPr>
            </w:pPr>
            <w:r w:rsidRPr="00BE6424">
              <w:rPr>
                <w:sz w:val="22"/>
                <w:lang w:val="es-ES_tradnl"/>
              </w:rPr>
              <w:t>Se encarga a la Oficina la prórroga automática de las fechas de puesta en servicio previstas en la base de datos hasta el final del periodo reglamentario determinado en el número </w:t>
            </w:r>
            <w:r w:rsidRPr="00BE6424">
              <w:rPr>
                <w:b/>
                <w:bCs/>
                <w:sz w:val="22"/>
                <w:lang w:val="es-ES_tradnl"/>
              </w:rPr>
              <w:t>11.44</w:t>
            </w:r>
            <w:r w:rsidRPr="00BE6424">
              <w:rPr>
                <w:sz w:val="22"/>
                <w:lang w:val="es-ES_tradnl"/>
              </w:rPr>
              <w:t xml:space="preserve"> del RR si la Oficina no recibe confirmación durante los cuatro meses anteriores a la fecha prevista de puesta en servicio: no se publicará esta revisión de la fecha de puesta en servicio, pero la información podrá consultarse en el sitio web de la BR. Esta opción no exige modificación alguna del Reglamento de Radiocomunicaciones.</w:t>
            </w:r>
          </w:p>
          <w:p w14:paraId="5DB63AB0" w14:textId="77777777" w:rsidR="009A0FCF" w:rsidRPr="00BE6424" w:rsidRDefault="009A0FCF" w:rsidP="00A223E0">
            <w:pPr>
              <w:pStyle w:val="Tabletext"/>
              <w:tabs>
                <w:tab w:val="clear" w:pos="1134"/>
                <w:tab w:val="clear" w:pos="2268"/>
              </w:tabs>
              <w:spacing w:before="120"/>
              <w:rPr>
                <w:sz w:val="22"/>
                <w:lang w:val="es-ES_tradnl"/>
              </w:rPr>
            </w:pPr>
            <w:r w:rsidRPr="00BE6424">
              <w:rPr>
                <w:sz w:val="22"/>
                <w:lang w:val="es-ES_tradnl"/>
              </w:rPr>
              <w:t>Al examinar la sección 3.1.7.1 sobre los «Límites de densidad de flujo de potencia (</w:t>
            </w:r>
            <w:proofErr w:type="spellStart"/>
            <w:r w:rsidRPr="00BE6424">
              <w:rPr>
                <w:sz w:val="22"/>
                <w:lang w:val="es-ES_tradnl"/>
              </w:rPr>
              <w:t>dfp</w:t>
            </w:r>
            <w:proofErr w:type="spellEnd"/>
            <w:r w:rsidRPr="00BE6424">
              <w:rPr>
                <w:sz w:val="22"/>
                <w:lang w:val="es-ES_tradnl"/>
              </w:rPr>
              <w:t>) del Artículo </w:t>
            </w:r>
            <w:r w:rsidRPr="00BE6424">
              <w:rPr>
                <w:b/>
                <w:bCs/>
                <w:sz w:val="22"/>
                <w:lang w:val="es-ES_tradnl"/>
              </w:rPr>
              <w:t>21</w:t>
            </w:r>
            <w:r w:rsidRPr="00BE6424">
              <w:rPr>
                <w:sz w:val="22"/>
                <w:lang w:val="es-ES_tradnl"/>
              </w:rPr>
              <w:t xml:space="preserve"> del RR aplicables al servicio móvil por satélite en la banda de frecuencias 40</w:t>
            </w:r>
            <w:r w:rsidRPr="00BE6424">
              <w:rPr>
                <w:sz w:val="22"/>
                <w:lang w:val="es-ES_tradnl"/>
              </w:rPr>
              <w:noBreakHyphen/>
              <w:t xml:space="preserve">40,5 GHz», la CMR-19 decidió restablecer la mención omitida al servicio móvil por satélite en la banda de frecuencias 40-40,5 GHz en el Cuadro </w:t>
            </w:r>
            <w:r w:rsidRPr="00BE6424">
              <w:rPr>
                <w:b/>
                <w:bCs/>
                <w:sz w:val="22"/>
                <w:lang w:val="es-ES_tradnl"/>
              </w:rPr>
              <w:t>21-4</w:t>
            </w:r>
            <w:r w:rsidRPr="00BE6424">
              <w:rPr>
                <w:sz w:val="22"/>
                <w:lang w:val="es-ES_tradnl"/>
              </w:rPr>
              <w:t xml:space="preserve"> del RR y que este cambio en el Cuadro </w:t>
            </w:r>
            <w:r w:rsidRPr="00BE6424">
              <w:rPr>
                <w:b/>
                <w:bCs/>
                <w:sz w:val="22"/>
                <w:lang w:val="es-ES_tradnl"/>
              </w:rPr>
              <w:t>21</w:t>
            </w:r>
            <w:r w:rsidRPr="00BE6424">
              <w:rPr>
                <w:b/>
                <w:bCs/>
                <w:sz w:val="22"/>
                <w:lang w:val="es-ES_tradnl"/>
              </w:rPr>
              <w:noBreakHyphen/>
              <w:t>4</w:t>
            </w:r>
            <w:r w:rsidRPr="00BE6424">
              <w:rPr>
                <w:sz w:val="22"/>
                <w:lang w:val="es-ES_tradnl"/>
              </w:rPr>
              <w:t xml:space="preserve"> entre en vigor el 23 de noviembre de 2019. Además, la CMR-19 decidió encargar a la Oficina que no examine las asignaciones de frecuencias al SMS que ya estén publicadas en el momento en que ese restablecimiento entre en vigor.</w:t>
            </w:r>
          </w:p>
          <w:p w14:paraId="32F652BF" w14:textId="74BB3CCF" w:rsidR="009A0FCF" w:rsidRPr="00BE6424" w:rsidRDefault="009A0FCF" w:rsidP="00A223E0">
            <w:pPr>
              <w:pStyle w:val="Tabletext"/>
              <w:keepLines/>
              <w:tabs>
                <w:tab w:val="clear" w:pos="1134"/>
                <w:tab w:val="clear" w:pos="2268"/>
              </w:tabs>
              <w:spacing w:before="120"/>
              <w:rPr>
                <w:sz w:val="22"/>
                <w:lang w:val="es-ES_tradnl"/>
              </w:rPr>
            </w:pPr>
            <w:r w:rsidRPr="00BE6424">
              <w:rPr>
                <w:sz w:val="22"/>
                <w:lang w:val="es-ES_tradnl"/>
              </w:rPr>
              <w:t xml:space="preserve">Al examinar la sección 3.1.7.2 sobre el «Factor de escala en la definición de los límites de </w:t>
            </w:r>
            <w:proofErr w:type="spellStart"/>
            <w:r w:rsidRPr="00BE6424">
              <w:rPr>
                <w:sz w:val="22"/>
                <w:lang w:val="es-ES_tradnl"/>
              </w:rPr>
              <w:t>dfp</w:t>
            </w:r>
            <w:proofErr w:type="spellEnd"/>
            <w:r w:rsidRPr="00BE6424">
              <w:rPr>
                <w:sz w:val="22"/>
                <w:lang w:val="es-ES_tradnl"/>
              </w:rPr>
              <w:t xml:space="preserve"> del Artículo </w:t>
            </w:r>
            <w:r w:rsidRPr="00BE6424">
              <w:rPr>
                <w:b/>
                <w:bCs/>
                <w:sz w:val="22"/>
                <w:lang w:val="es-ES_tradnl"/>
              </w:rPr>
              <w:t>21</w:t>
            </w:r>
            <w:r w:rsidRPr="00BE6424">
              <w:rPr>
                <w:sz w:val="22"/>
                <w:lang w:val="es-ES_tradnl"/>
              </w:rPr>
              <w:t xml:space="preserve"> del RR aplicables a los sistemas de satélites no OSG del servicio fijo por satélite en la banda de frecuencias 17,7-19,3 GHz», la CMR-19 invita al UIT-R a que estudie la idoneidad de las ecuaciones incluidas en el número </w:t>
            </w:r>
            <w:r w:rsidRPr="00BE6424">
              <w:rPr>
                <w:b/>
                <w:bCs/>
                <w:sz w:val="22"/>
                <w:lang w:val="es-ES_tradnl"/>
              </w:rPr>
              <w:t>21.16.6</w:t>
            </w:r>
            <w:r w:rsidRPr="00BE6424">
              <w:rPr>
                <w:sz w:val="22"/>
                <w:lang w:val="es-ES_tradnl"/>
              </w:rPr>
              <w:t xml:space="preserve"> del RR para grandes sistemas de satélites no geoestacionarios (por ejemplo, los que tienen más de 1 000 satélites). Los resultados de los estudios podrán ser considerados por la CMR-23 en el marco del punto permanente 7 del orden del día, si se ha incluido algún tema en ese punto del orden del día en el Informe de la RPC-23. La CMR-19 también encarga a la Oficina de Radiocomunicaciones que publique conclusiones favorables cualificadas en virtud de los números</w:t>
            </w:r>
            <w:r w:rsidR="00BE6424">
              <w:rPr>
                <w:sz w:val="22"/>
                <w:lang w:val="es-ES_tradnl"/>
              </w:rPr>
              <w:t> </w:t>
            </w:r>
            <w:r w:rsidRPr="00BE6424">
              <w:rPr>
                <w:b/>
                <w:bCs/>
                <w:sz w:val="22"/>
                <w:lang w:val="es-ES_tradnl"/>
              </w:rPr>
              <w:t>9.35/11.31</w:t>
            </w:r>
            <w:r w:rsidRPr="00BE6424">
              <w:rPr>
                <w:sz w:val="22"/>
                <w:lang w:val="es-ES_tradnl"/>
              </w:rPr>
              <w:t xml:space="preserve"> del RR al examinar el cumplimiento de las asignaciones de frecuencias a los sistemas de satélites </w:t>
            </w:r>
            <w:r w:rsidRPr="001947AB">
              <w:rPr>
                <w:sz w:val="22"/>
                <w:lang w:val="es-ES_tradnl"/>
              </w:rPr>
              <w:t xml:space="preserve">no OSG del SFS con los límites de </w:t>
            </w:r>
            <w:proofErr w:type="spellStart"/>
            <w:r w:rsidRPr="001947AB">
              <w:rPr>
                <w:sz w:val="22"/>
                <w:lang w:val="es-ES_tradnl"/>
              </w:rPr>
              <w:t>dfp</w:t>
            </w:r>
            <w:proofErr w:type="spellEnd"/>
            <w:r w:rsidRPr="001947AB">
              <w:rPr>
                <w:sz w:val="22"/>
                <w:lang w:val="es-ES_tradnl"/>
              </w:rPr>
              <w:t xml:space="preserve"> del Artículo </w:t>
            </w:r>
            <w:r w:rsidRPr="001947AB">
              <w:rPr>
                <w:b/>
                <w:bCs/>
                <w:sz w:val="22"/>
                <w:lang w:val="es-ES_tradnl"/>
              </w:rPr>
              <w:t>21</w:t>
            </w:r>
            <w:r w:rsidRPr="001947AB">
              <w:rPr>
                <w:sz w:val="22"/>
                <w:lang w:val="es-ES_tradnl"/>
              </w:rPr>
              <w:t xml:space="preserve"> del RR que se apliquen en la banda de frecuencias 17,7-19,3 GHz, si la administración notificante así lo solicita. Esta práctica se aplicará a los sistemas de satélites no OSG del SFS para los que se hayan recibido solicitudes de coordinación desde el 23 de noviembre de 2019 hasta el último día de la</w:t>
            </w:r>
            <w:r w:rsidR="00BE6424" w:rsidRPr="001947AB">
              <w:rPr>
                <w:sz w:val="22"/>
                <w:lang w:val="es-ES_tradnl"/>
              </w:rPr>
              <w:t> </w:t>
            </w:r>
            <w:r w:rsidRPr="001947AB">
              <w:rPr>
                <w:sz w:val="22"/>
                <w:lang w:val="es-ES_tradnl"/>
              </w:rPr>
              <w:t>CMR</w:t>
            </w:r>
            <w:r w:rsidR="00BE6424" w:rsidRPr="001947AB">
              <w:rPr>
                <w:sz w:val="22"/>
                <w:lang w:val="es-ES_tradnl"/>
              </w:rPr>
              <w:t> </w:t>
            </w:r>
            <w:r w:rsidRPr="001947AB">
              <w:rPr>
                <w:sz w:val="22"/>
                <w:lang w:val="es-ES_tradnl"/>
              </w:rPr>
              <w:t>23.</w:t>
            </w:r>
          </w:p>
          <w:p w14:paraId="2ED136F0" w14:textId="77777777" w:rsidR="00C970C4" w:rsidRPr="00BE6424" w:rsidRDefault="00C970C4" w:rsidP="00BE6424">
            <w:pPr>
              <w:pStyle w:val="Tabletext"/>
              <w:keepLines/>
              <w:tabs>
                <w:tab w:val="clear" w:pos="1134"/>
                <w:tab w:val="clear" w:pos="2268"/>
              </w:tabs>
              <w:spacing w:before="120"/>
              <w:rPr>
                <w:sz w:val="22"/>
                <w:lang w:val="es-ES_tradnl"/>
              </w:rPr>
            </w:pPr>
            <w:r w:rsidRPr="00BE6424">
              <w:rPr>
                <w:sz w:val="22"/>
                <w:lang w:val="es-ES_tradnl"/>
              </w:rPr>
              <w:t>Al examinar la sección 3.2.5.6 sobre los «Puntos de retícula en el mar en el examen con los métodos del Anexo 4 del Apéndice </w:t>
            </w:r>
            <w:r w:rsidRPr="00BE6424">
              <w:rPr>
                <w:b/>
                <w:bCs/>
                <w:sz w:val="22"/>
                <w:lang w:val="es-ES_tradnl"/>
              </w:rPr>
              <w:t>30B</w:t>
            </w:r>
            <w:r w:rsidRPr="00BE6424">
              <w:rPr>
                <w:sz w:val="22"/>
                <w:lang w:val="es-ES_tradnl"/>
              </w:rPr>
              <w:t xml:space="preserve"> del RR», la CMR-19 decidió que, en aplicación del punto 2.2 del Anexo 4 al Apéndice </w:t>
            </w:r>
            <w:r w:rsidRPr="00BE6424">
              <w:rPr>
                <w:b/>
                <w:bCs/>
                <w:sz w:val="22"/>
                <w:lang w:val="es-ES_tradnl"/>
              </w:rPr>
              <w:t>30B</w:t>
            </w:r>
            <w:r w:rsidRPr="00BE6424">
              <w:rPr>
                <w:sz w:val="22"/>
                <w:lang w:val="es-ES_tradnl"/>
              </w:rPr>
              <w:t xml:space="preserve">, además de los puntos de prueba, sólo deben considerarse los puntos de la retícula situados en tierra y dentro de la zona de servicio. Al adoptar esta decisión, la CMR-19 reconoció que, en caso de que se amplíe la aplicación del Apéndice </w:t>
            </w:r>
            <w:r w:rsidRPr="001947AB">
              <w:rPr>
                <w:b/>
                <w:bCs/>
                <w:sz w:val="22"/>
                <w:lang w:val="es-ES_tradnl"/>
              </w:rPr>
              <w:t xml:space="preserve">30B </w:t>
            </w:r>
            <w:r w:rsidRPr="00BE6424">
              <w:rPr>
                <w:sz w:val="22"/>
                <w:lang w:val="es-ES_tradnl"/>
              </w:rPr>
              <w:t>más allá de su utilización actual, puede ser necesario reconsiderar esta decisión en el futuro. La CMR-19 decidió asimismo que la Oficina de Radiocomunicaciones no tendrá en cuenta los puntos de prueba en el mar en su examen técnico y reglamentario de las comunicaciones pertinentes recibidas por la Oficina.</w:t>
            </w:r>
          </w:p>
          <w:p w14:paraId="3BEE5158" w14:textId="77777777" w:rsidR="009A0FCF" w:rsidRPr="00BE6424" w:rsidRDefault="009A0FCF" w:rsidP="00A223E0">
            <w:pPr>
              <w:pStyle w:val="Tabletext"/>
              <w:keepLines/>
              <w:tabs>
                <w:tab w:val="clear" w:pos="1134"/>
                <w:tab w:val="clear" w:pos="2268"/>
              </w:tabs>
              <w:spacing w:before="120"/>
              <w:rPr>
                <w:sz w:val="22"/>
                <w:lang w:val="es-ES_tradnl"/>
              </w:rPr>
            </w:pPr>
            <w:r w:rsidRPr="00BE6424">
              <w:rPr>
                <w:sz w:val="22"/>
                <w:lang w:val="es-ES_tradnl"/>
              </w:rPr>
              <w:t xml:space="preserve">Al examinar la sección 3.3.1 sobre la «Resolución </w:t>
            </w:r>
            <w:r w:rsidRPr="00BE6424">
              <w:rPr>
                <w:b/>
                <w:bCs/>
                <w:sz w:val="22"/>
                <w:lang w:val="es-ES_tradnl"/>
              </w:rPr>
              <w:t>49 (Rev.CMR-15)</w:t>
            </w:r>
            <w:r w:rsidRPr="00BE6424">
              <w:rPr>
                <w:sz w:val="22"/>
                <w:lang w:val="es-ES_tradnl"/>
              </w:rPr>
              <w:t>», la CMR-19 decidió invitar al UIT-R a que estudie la cuestión de la necesidad de actualizar continuamente los datos de la Resolución </w:t>
            </w:r>
            <w:r w:rsidRPr="00BE6424">
              <w:rPr>
                <w:b/>
                <w:bCs/>
                <w:sz w:val="22"/>
                <w:lang w:val="es-ES_tradnl"/>
              </w:rPr>
              <w:t>49 (Rev.CMR-15)</w:t>
            </w:r>
            <w:r w:rsidRPr="00BE6424">
              <w:rPr>
                <w:sz w:val="22"/>
                <w:lang w:val="es-ES_tradnl"/>
              </w:rPr>
              <w:t xml:space="preserve"> y de racionalizar la presentación de los datos de la Resolución </w:t>
            </w:r>
            <w:r w:rsidRPr="00BE6424">
              <w:rPr>
                <w:b/>
                <w:bCs/>
                <w:sz w:val="22"/>
                <w:lang w:val="es-ES_tradnl"/>
              </w:rPr>
              <w:t>49 (Rev.CMR-15)</w:t>
            </w:r>
            <w:r w:rsidRPr="00BE6424">
              <w:rPr>
                <w:sz w:val="22"/>
                <w:lang w:val="es-ES_tradnl"/>
              </w:rPr>
              <w:t>.</w:t>
            </w:r>
          </w:p>
          <w:p w14:paraId="40B37A7B" w14:textId="77777777" w:rsidR="009A0FCF" w:rsidRPr="00BE6424" w:rsidRDefault="009A0FCF" w:rsidP="00A223E0">
            <w:pPr>
              <w:pStyle w:val="Tabletext"/>
              <w:keepLines/>
              <w:tabs>
                <w:tab w:val="clear" w:pos="1134"/>
                <w:tab w:val="clear" w:pos="2268"/>
              </w:tabs>
              <w:spacing w:before="120"/>
              <w:rPr>
                <w:sz w:val="22"/>
                <w:lang w:val="es-ES_tradnl"/>
              </w:rPr>
            </w:pPr>
            <w:r w:rsidRPr="00BE6424">
              <w:rPr>
                <w:sz w:val="22"/>
                <w:lang w:val="es-ES_tradnl"/>
              </w:rPr>
              <w:t>Al examinar la sección 3.4.2 sobre las «Estaciones terrenas características en el servicio fijo por satélite», la CMR-19 encarga a la Oficina que ponga fin a la recopilación de información sobre estaciones terrenas típicas en el servicio fijo por satélite.</w:t>
            </w:r>
          </w:p>
          <w:p w14:paraId="406E8E89" w14:textId="77777777" w:rsidR="009A0FCF" w:rsidRPr="00BE6424" w:rsidRDefault="009A0FCF" w:rsidP="00A223E0">
            <w:pPr>
              <w:pStyle w:val="Tabletext"/>
              <w:keepLines/>
              <w:tabs>
                <w:tab w:val="clear" w:pos="1134"/>
                <w:tab w:val="clear" w:pos="2268"/>
              </w:tabs>
              <w:spacing w:before="120"/>
              <w:rPr>
                <w:rFonts w:asciiTheme="minorHAnsi" w:hAnsiTheme="minorHAnsi" w:cstheme="minorHAnsi"/>
                <w:szCs w:val="24"/>
                <w:lang w:val="es-ES_tradnl"/>
              </w:rPr>
            </w:pPr>
            <w:r w:rsidRPr="00BE6424">
              <w:rPr>
                <w:sz w:val="22"/>
                <w:lang w:val="es-ES_tradnl"/>
              </w:rPr>
              <w:t>Al examinar la sección 3.4.3 sobre los «Parámetros excesivos», la CMR-19 invita al UIT-R a que revise los parámetros examinados en esta sección del Informe en el próximo ciclo de estudios y a que proporcione las orientaciones pertinentes a la Oficina.</w:t>
            </w:r>
            <w:bookmarkEnd w:id="45"/>
            <w:bookmarkEnd w:id="46"/>
          </w:p>
        </w:tc>
      </w:tr>
      <w:tr w:rsidR="009A0FCF" w:rsidRPr="00BE6424" w14:paraId="687E2222" w14:textId="77777777" w:rsidTr="005321E9">
        <w:trPr>
          <w:gridAfter w:val="1"/>
          <w:wAfter w:w="29" w:type="dxa"/>
          <w:trHeight w:val="1139"/>
        </w:trPr>
        <w:tc>
          <w:tcPr>
            <w:tcW w:w="1669" w:type="dxa"/>
            <w:vMerge/>
          </w:tcPr>
          <w:p w14:paraId="10B89F95"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15CECFDA" w14:textId="77777777" w:rsidR="009A0FCF" w:rsidRPr="00BE6424" w:rsidRDefault="009A0FCF" w:rsidP="001311B8">
            <w:pPr>
              <w:pStyle w:val="Tablehead"/>
              <w:keepNext w:val="0"/>
              <w:rPr>
                <w:sz w:val="22"/>
                <w:lang w:val="es-ES_tradnl"/>
              </w:rPr>
            </w:pPr>
            <w:bookmarkStart w:id="47" w:name="lt_pId194"/>
            <w:r w:rsidRPr="00BE6424">
              <w:rPr>
                <w:sz w:val="22"/>
                <w:lang w:val="es-ES_tradnl"/>
              </w:rPr>
              <w:t>§§ 3.16 a 3.18</w:t>
            </w:r>
            <w:bookmarkEnd w:id="47"/>
          </w:p>
          <w:p w14:paraId="3A08A4EE" w14:textId="50DA5BE6" w:rsidR="009A0FCF" w:rsidRPr="00BE6424" w:rsidRDefault="009A0FCF" w:rsidP="001311B8">
            <w:pPr>
              <w:pStyle w:val="Tablehead"/>
              <w:keepNext w:val="0"/>
              <w:rPr>
                <w:sz w:val="22"/>
                <w:lang w:val="es-ES_tradnl"/>
              </w:rPr>
            </w:pPr>
            <w:bookmarkStart w:id="48" w:name="lt_pId195"/>
            <w:r w:rsidRPr="00BE6424">
              <w:rPr>
                <w:sz w:val="22"/>
                <w:lang w:val="es-ES_tradnl"/>
              </w:rPr>
              <w:t xml:space="preserve">Aprobación del documento </w:t>
            </w:r>
            <w:hyperlink r:id="rId29" w:history="1">
              <w:r w:rsidRPr="001C5E82">
                <w:rPr>
                  <w:rStyle w:val="Hyperlink"/>
                  <w:sz w:val="22"/>
                  <w:lang w:val="es-ES_tradnl"/>
                </w:rPr>
                <w:t>452</w:t>
              </w:r>
              <w:bookmarkEnd w:id="48"/>
            </w:hyperlink>
          </w:p>
        </w:tc>
        <w:tc>
          <w:tcPr>
            <w:tcW w:w="10733" w:type="dxa"/>
          </w:tcPr>
          <w:p w14:paraId="78AC03EB" w14:textId="0AB950DD" w:rsidR="009A0FCF" w:rsidRPr="00BE6424" w:rsidRDefault="009A0FCF" w:rsidP="00A223E0">
            <w:pPr>
              <w:pStyle w:val="Tabletext"/>
              <w:keepLines/>
              <w:tabs>
                <w:tab w:val="clear" w:pos="1134"/>
                <w:tab w:val="clear" w:pos="2268"/>
              </w:tabs>
              <w:spacing w:before="120"/>
              <w:rPr>
                <w:sz w:val="22"/>
                <w:lang w:val="es-ES_tradnl"/>
              </w:rPr>
            </w:pPr>
            <w:bookmarkStart w:id="49" w:name="lt_pId196"/>
            <w:r w:rsidRPr="00BE6424">
              <w:rPr>
                <w:sz w:val="22"/>
                <w:lang w:val="es-ES_tradnl"/>
              </w:rPr>
              <w:t xml:space="preserve">De conformidad con el punto 9.3 del orden del día de la CMR-19, la Conferencia recibió el Documento 15 de la Junta del Reglamento de Radiocomunicaciones titulado Informe de la Junta del Reglamento de Radiocomunicaciones sobre la Resolución </w:t>
            </w:r>
            <w:r w:rsidRPr="00BE6424">
              <w:rPr>
                <w:b/>
                <w:bCs/>
                <w:sz w:val="22"/>
                <w:lang w:val="es-ES_tradnl"/>
              </w:rPr>
              <w:t>80 (Rev.CMR-07</w:t>
            </w:r>
            <w:r w:rsidRPr="00BE6424">
              <w:rPr>
                <w:sz w:val="22"/>
                <w:lang w:val="es-ES_tradnl"/>
              </w:rPr>
              <w:t>). Ese Informe resume las actividades de la RRB relacionadas con la Resolución</w:t>
            </w:r>
            <w:r w:rsidR="00A223E0" w:rsidRPr="00BE6424">
              <w:rPr>
                <w:sz w:val="22"/>
                <w:lang w:val="es-ES_tradnl"/>
              </w:rPr>
              <w:t> </w:t>
            </w:r>
            <w:r w:rsidRPr="00BE6424">
              <w:rPr>
                <w:b/>
                <w:bCs/>
                <w:sz w:val="22"/>
                <w:lang w:val="es-ES_tradnl"/>
              </w:rPr>
              <w:t>80 (Rev.CMR-07)</w:t>
            </w:r>
            <w:r w:rsidRPr="00BE6424">
              <w:rPr>
                <w:sz w:val="22"/>
                <w:lang w:val="es-ES_tradnl"/>
              </w:rPr>
              <w:t>.</w:t>
            </w:r>
          </w:p>
          <w:p w14:paraId="7A1F36D1" w14:textId="4CCE9446" w:rsidR="009A0FCF" w:rsidRPr="00BE6424" w:rsidRDefault="009A0FCF" w:rsidP="00A223E0">
            <w:pPr>
              <w:pStyle w:val="Tabletext"/>
              <w:keepLines/>
              <w:tabs>
                <w:tab w:val="clear" w:pos="1134"/>
                <w:tab w:val="clear" w:pos="2268"/>
              </w:tabs>
              <w:spacing w:before="120"/>
              <w:rPr>
                <w:sz w:val="22"/>
                <w:lang w:val="es-ES_tradnl"/>
              </w:rPr>
            </w:pPr>
            <w:r w:rsidRPr="00BE6424">
              <w:rPr>
                <w:sz w:val="22"/>
                <w:lang w:val="es-ES_tradnl"/>
              </w:rPr>
              <w:t>Al estudiar la sección 4.2 de este informe sobre «Vínculo entre puesta en servicio y notificación para inscripción en el</w:t>
            </w:r>
            <w:r w:rsidR="00BE6424">
              <w:rPr>
                <w:sz w:val="22"/>
                <w:lang w:val="es-ES_tradnl"/>
              </w:rPr>
              <w:t> </w:t>
            </w:r>
            <w:r w:rsidRPr="00BE6424">
              <w:rPr>
                <w:sz w:val="22"/>
                <w:lang w:val="es-ES_tradnl"/>
              </w:rPr>
              <w:t xml:space="preserve">MIFR» </w:t>
            </w:r>
            <w:bookmarkStart w:id="50" w:name="lt_pId024"/>
            <w:r w:rsidRPr="00BE6424">
              <w:rPr>
                <w:sz w:val="22"/>
                <w:lang w:val="es-ES_tradnl"/>
              </w:rPr>
              <w:t>la CMR-19 decidió que, en los casos en que:</w:t>
            </w:r>
            <w:bookmarkEnd w:id="50"/>
          </w:p>
          <w:p w14:paraId="1A86F839" w14:textId="77777777" w:rsidR="009A0FCF" w:rsidRPr="00BE6424" w:rsidRDefault="009A0FCF" w:rsidP="00A223E0">
            <w:pPr>
              <w:pStyle w:val="Tabletext"/>
              <w:tabs>
                <w:tab w:val="clear" w:pos="284"/>
                <w:tab w:val="left" w:pos="495"/>
              </w:tabs>
              <w:spacing w:before="80"/>
              <w:ind w:left="408" w:hanging="408"/>
              <w:rPr>
                <w:sz w:val="22"/>
                <w:lang w:val="es-ES_tradnl"/>
              </w:rPr>
            </w:pPr>
            <w:bookmarkStart w:id="51" w:name="lt_pId025"/>
            <w:r w:rsidRPr="00BE6424">
              <w:rPr>
                <w:sz w:val="22"/>
                <w:lang w:val="es-ES_tradnl"/>
              </w:rPr>
              <w:t>a)</w:t>
            </w:r>
            <w:bookmarkEnd w:id="51"/>
            <w:r w:rsidRPr="00BE6424">
              <w:rPr>
                <w:sz w:val="22"/>
                <w:lang w:val="es-ES_tradnl"/>
              </w:rPr>
              <w:tab/>
            </w:r>
            <w:bookmarkStart w:id="52" w:name="lt_pId026"/>
            <w:r w:rsidRPr="00BE6424">
              <w:rPr>
                <w:sz w:val="22"/>
                <w:lang w:val="es-ES_tradnl"/>
              </w:rPr>
              <w:t xml:space="preserve">la información relativa a la puesta en servicio de las asignaciones de frecuencias prevista en los Apéndices </w:t>
            </w:r>
            <w:r w:rsidRPr="00BE6424">
              <w:rPr>
                <w:b/>
                <w:bCs/>
                <w:sz w:val="22"/>
                <w:lang w:val="es-ES_tradnl"/>
              </w:rPr>
              <w:t>30</w:t>
            </w:r>
            <w:r w:rsidRPr="00BE6424">
              <w:rPr>
                <w:sz w:val="22"/>
                <w:lang w:val="es-ES_tradnl"/>
              </w:rPr>
              <w:t xml:space="preserve">, </w:t>
            </w:r>
            <w:r w:rsidRPr="00BE6424">
              <w:rPr>
                <w:b/>
                <w:bCs/>
                <w:sz w:val="22"/>
                <w:lang w:val="es-ES_tradnl"/>
              </w:rPr>
              <w:t>30A</w:t>
            </w:r>
            <w:r w:rsidRPr="00BE6424">
              <w:rPr>
                <w:sz w:val="22"/>
                <w:lang w:val="es-ES_tradnl"/>
              </w:rPr>
              <w:t xml:space="preserve"> o </w:t>
            </w:r>
            <w:r w:rsidRPr="00BE6424">
              <w:rPr>
                <w:b/>
                <w:bCs/>
                <w:sz w:val="22"/>
                <w:lang w:val="es-ES_tradnl"/>
              </w:rPr>
              <w:t>30B</w:t>
            </w:r>
            <w:r w:rsidRPr="00BE6424">
              <w:rPr>
                <w:sz w:val="22"/>
                <w:lang w:val="es-ES_tradnl"/>
              </w:rPr>
              <w:t xml:space="preserve"> del RR se presente antes de concluir el examen de la Parte B y las comunicaciones de las notificaciones sobre esas asignaciones de frecuencia</w:t>
            </w:r>
            <w:bookmarkEnd w:id="52"/>
            <w:r w:rsidRPr="00BE6424">
              <w:rPr>
                <w:sz w:val="22"/>
                <w:lang w:val="es-ES_tradnl"/>
              </w:rPr>
              <w:t>s;</w:t>
            </w:r>
          </w:p>
          <w:p w14:paraId="46ED65C5" w14:textId="77777777" w:rsidR="009A0FCF" w:rsidRPr="00BE6424" w:rsidRDefault="009A0FCF" w:rsidP="00A223E0">
            <w:pPr>
              <w:pStyle w:val="Tabletext"/>
              <w:tabs>
                <w:tab w:val="clear" w:pos="284"/>
                <w:tab w:val="left" w:pos="495"/>
              </w:tabs>
              <w:spacing w:before="80"/>
              <w:ind w:left="408" w:hanging="408"/>
              <w:rPr>
                <w:sz w:val="22"/>
                <w:lang w:val="es-ES_tradnl"/>
              </w:rPr>
            </w:pPr>
            <w:bookmarkStart w:id="53" w:name="lt_pId027"/>
            <w:r w:rsidRPr="00BE6424">
              <w:rPr>
                <w:sz w:val="22"/>
                <w:lang w:val="es-ES_tradnl"/>
              </w:rPr>
              <w:t>b)</w:t>
            </w:r>
            <w:bookmarkEnd w:id="53"/>
            <w:r w:rsidRPr="00BE6424">
              <w:rPr>
                <w:sz w:val="22"/>
                <w:lang w:val="es-ES_tradnl"/>
              </w:rPr>
              <w:tab/>
            </w:r>
            <w:bookmarkStart w:id="54" w:name="lt_pId028"/>
            <w:r w:rsidRPr="00BE6424">
              <w:rPr>
                <w:sz w:val="22"/>
                <w:lang w:val="es-ES_tradnl"/>
              </w:rPr>
              <w:t xml:space="preserve">los requisitos de los números </w:t>
            </w:r>
            <w:r w:rsidRPr="00BE6424">
              <w:rPr>
                <w:b/>
                <w:bCs/>
                <w:sz w:val="22"/>
                <w:lang w:val="es-ES_tradnl"/>
              </w:rPr>
              <w:t>11.44</w:t>
            </w:r>
            <w:r w:rsidRPr="00BE6424">
              <w:rPr>
                <w:sz w:val="22"/>
                <w:lang w:val="es-ES_tradnl"/>
              </w:rPr>
              <w:t xml:space="preserve"> y </w:t>
            </w:r>
            <w:r w:rsidRPr="00BE6424">
              <w:rPr>
                <w:b/>
                <w:bCs/>
                <w:sz w:val="22"/>
                <w:lang w:val="es-ES_tradnl"/>
              </w:rPr>
              <w:t>11.44B</w:t>
            </w:r>
            <w:r w:rsidRPr="00BE6424">
              <w:rPr>
                <w:sz w:val="22"/>
                <w:lang w:val="es-ES_tradnl"/>
              </w:rPr>
              <w:t xml:space="preserve"> del RR se han cumplido para dichas asignaciones de frecuencias antes de concluir el examen de su Parte B y de las comunicaciones de las notificaciones</w:t>
            </w:r>
            <w:bookmarkEnd w:id="54"/>
            <w:r w:rsidRPr="00BE6424">
              <w:rPr>
                <w:sz w:val="22"/>
                <w:lang w:val="es-ES_tradnl"/>
              </w:rPr>
              <w:t>;</w:t>
            </w:r>
          </w:p>
          <w:p w14:paraId="1C65FFD9" w14:textId="77777777" w:rsidR="009A0FCF" w:rsidRPr="00BE6424" w:rsidRDefault="009A0FCF" w:rsidP="00A223E0">
            <w:pPr>
              <w:pStyle w:val="Tabletext"/>
              <w:tabs>
                <w:tab w:val="clear" w:pos="284"/>
                <w:tab w:val="left" w:pos="495"/>
              </w:tabs>
              <w:spacing w:before="80"/>
              <w:ind w:left="408" w:hanging="408"/>
              <w:rPr>
                <w:sz w:val="22"/>
                <w:lang w:val="es-ES_tradnl"/>
              </w:rPr>
            </w:pPr>
            <w:bookmarkStart w:id="55" w:name="lt_pId029"/>
            <w:r w:rsidRPr="00BE6424">
              <w:rPr>
                <w:sz w:val="22"/>
                <w:lang w:val="es-ES_tradnl"/>
              </w:rPr>
              <w:t>c)</w:t>
            </w:r>
            <w:bookmarkEnd w:id="55"/>
            <w:r w:rsidRPr="00BE6424">
              <w:rPr>
                <w:sz w:val="22"/>
                <w:lang w:val="es-ES_tradnl"/>
              </w:rPr>
              <w:tab/>
            </w:r>
            <w:bookmarkStart w:id="56" w:name="lt_pId030"/>
            <w:r w:rsidRPr="00BE6424">
              <w:rPr>
                <w:sz w:val="22"/>
                <w:lang w:val="es-ES_tradnl"/>
              </w:rPr>
              <w:t xml:space="preserve">tras el cumplimiento de los requisitos del número </w:t>
            </w:r>
            <w:r w:rsidRPr="00BE6424">
              <w:rPr>
                <w:b/>
                <w:bCs/>
                <w:sz w:val="22"/>
                <w:lang w:val="es-ES_tradnl"/>
              </w:rPr>
              <w:t>11.44B</w:t>
            </w:r>
            <w:r w:rsidRPr="00BE6424">
              <w:rPr>
                <w:sz w:val="22"/>
                <w:lang w:val="es-ES_tradnl"/>
              </w:rPr>
              <w:t xml:space="preserve"> del RR, el satélite se haya reubicado en otra posición orbital antes de concluir el examen de la comunicación de la notificación relativa a esas asignaciones</w:t>
            </w:r>
            <w:bookmarkEnd w:id="56"/>
            <w:r w:rsidRPr="00BE6424">
              <w:rPr>
                <w:sz w:val="22"/>
                <w:lang w:val="es-ES_tradnl"/>
              </w:rPr>
              <w:t>;</w:t>
            </w:r>
          </w:p>
          <w:p w14:paraId="1014F40A" w14:textId="77777777" w:rsidR="009A0FCF" w:rsidRPr="00BE6424" w:rsidRDefault="009A0FCF" w:rsidP="00A223E0">
            <w:pPr>
              <w:pStyle w:val="Tabletext"/>
              <w:tabs>
                <w:tab w:val="clear" w:pos="284"/>
                <w:tab w:val="left" w:pos="495"/>
              </w:tabs>
              <w:spacing w:before="80"/>
              <w:ind w:left="408" w:hanging="408"/>
              <w:rPr>
                <w:sz w:val="22"/>
                <w:lang w:val="es-ES_tradnl"/>
              </w:rPr>
            </w:pPr>
            <w:bookmarkStart w:id="57" w:name="lt_pId031"/>
            <w:r w:rsidRPr="00BE6424">
              <w:rPr>
                <w:sz w:val="22"/>
                <w:lang w:val="es-ES_tradnl"/>
              </w:rPr>
              <w:t>d)</w:t>
            </w:r>
            <w:bookmarkEnd w:id="57"/>
            <w:r w:rsidRPr="00BE6424">
              <w:rPr>
                <w:sz w:val="22"/>
                <w:lang w:val="es-ES_tradnl"/>
              </w:rPr>
              <w:tab/>
            </w:r>
            <w:bookmarkStart w:id="58" w:name="lt_pId032"/>
            <w:r w:rsidRPr="00BE6424">
              <w:rPr>
                <w:sz w:val="22"/>
                <w:lang w:val="es-ES_tradnl"/>
              </w:rPr>
              <w:t>el examen de la comunicación relativa a la Parte B sobre esas asignaciones conlleve a la devolución de la notificación a la administración notificante como consecuencia de un error involuntario de esa administración</w:t>
            </w:r>
            <w:bookmarkEnd w:id="58"/>
            <w:r w:rsidRPr="00BE6424">
              <w:rPr>
                <w:sz w:val="22"/>
                <w:lang w:val="es-ES_tradnl"/>
              </w:rPr>
              <w:t>;</w:t>
            </w:r>
          </w:p>
          <w:p w14:paraId="0EE2CCB2" w14:textId="77777777" w:rsidR="009A0FCF" w:rsidRPr="00BE6424" w:rsidRDefault="009A0FCF" w:rsidP="00A223E0">
            <w:pPr>
              <w:pStyle w:val="Tabletext"/>
              <w:tabs>
                <w:tab w:val="clear" w:pos="284"/>
                <w:tab w:val="left" w:pos="495"/>
              </w:tabs>
              <w:spacing w:before="80"/>
              <w:ind w:left="408" w:hanging="408"/>
              <w:rPr>
                <w:sz w:val="22"/>
                <w:lang w:val="es-ES_tradnl"/>
              </w:rPr>
            </w:pPr>
            <w:bookmarkStart w:id="59" w:name="lt_pId033"/>
            <w:r w:rsidRPr="00BE6424">
              <w:rPr>
                <w:sz w:val="22"/>
                <w:lang w:val="es-ES_tradnl"/>
              </w:rPr>
              <w:t>e)</w:t>
            </w:r>
            <w:bookmarkEnd w:id="59"/>
            <w:r w:rsidRPr="00BE6424">
              <w:rPr>
                <w:sz w:val="22"/>
                <w:lang w:val="es-ES_tradnl"/>
              </w:rPr>
              <w:tab/>
            </w:r>
            <w:bookmarkStart w:id="60" w:name="lt_pId034"/>
            <w:r w:rsidRPr="00BE6424">
              <w:rPr>
                <w:sz w:val="22"/>
                <w:lang w:val="es-ES_tradnl"/>
              </w:rPr>
              <w:t xml:space="preserve">la administración notificante informe a la Oficina de que no está en condiciones de cumplir los requisitos de los números </w:t>
            </w:r>
            <w:r w:rsidRPr="00BE6424">
              <w:rPr>
                <w:b/>
                <w:bCs/>
                <w:sz w:val="22"/>
                <w:lang w:val="es-ES_tradnl"/>
              </w:rPr>
              <w:t>11.44</w:t>
            </w:r>
            <w:r w:rsidRPr="00BE6424">
              <w:rPr>
                <w:sz w:val="22"/>
                <w:lang w:val="es-ES_tradnl"/>
              </w:rPr>
              <w:t xml:space="preserve"> y </w:t>
            </w:r>
            <w:r w:rsidRPr="00BE6424">
              <w:rPr>
                <w:b/>
                <w:bCs/>
                <w:sz w:val="22"/>
                <w:lang w:val="es-ES_tradnl"/>
              </w:rPr>
              <w:t>11.44B</w:t>
            </w:r>
            <w:r w:rsidRPr="00BE6424">
              <w:rPr>
                <w:sz w:val="22"/>
                <w:lang w:val="es-ES_tradnl"/>
              </w:rPr>
              <w:t xml:space="preserve"> del RR en el momento de volver a presentar la información relativa a la Parte B y a la notificación</w:t>
            </w:r>
            <w:bookmarkEnd w:id="60"/>
            <w:r w:rsidRPr="00BE6424">
              <w:rPr>
                <w:sz w:val="22"/>
                <w:lang w:val="es-ES_tradnl"/>
              </w:rPr>
              <w:t>.</w:t>
            </w:r>
          </w:p>
          <w:p w14:paraId="2DD390D2" w14:textId="77777777" w:rsidR="009A0FCF" w:rsidRPr="00BE6424" w:rsidRDefault="009A0FCF" w:rsidP="00AE3136">
            <w:pPr>
              <w:pStyle w:val="Tabletext"/>
              <w:keepLines/>
              <w:tabs>
                <w:tab w:val="clear" w:pos="1134"/>
                <w:tab w:val="clear" w:pos="2268"/>
              </w:tabs>
              <w:spacing w:before="120"/>
              <w:rPr>
                <w:sz w:val="22"/>
                <w:lang w:val="es-ES_tradnl"/>
              </w:rPr>
            </w:pPr>
            <w:bookmarkStart w:id="61" w:name="lt_pId035"/>
            <w:r w:rsidRPr="00BE6424">
              <w:rPr>
                <w:sz w:val="22"/>
                <w:lang w:val="es-ES_tradnl"/>
              </w:rPr>
              <w:t xml:space="preserve">La Junta del Reglamento de Radiocomunicaciones ha sido encargada de examinar, caso por caso, si el cumplimiento de los requisitos de los números </w:t>
            </w:r>
            <w:r w:rsidRPr="00BE6424">
              <w:rPr>
                <w:b/>
                <w:bCs/>
                <w:sz w:val="22"/>
                <w:lang w:val="es-ES_tradnl"/>
              </w:rPr>
              <w:t>11.44</w:t>
            </w:r>
            <w:r w:rsidRPr="00BE6424">
              <w:rPr>
                <w:sz w:val="22"/>
                <w:lang w:val="es-ES_tradnl"/>
              </w:rPr>
              <w:t xml:space="preserve"> y </w:t>
            </w:r>
            <w:r w:rsidRPr="00BE6424">
              <w:rPr>
                <w:b/>
                <w:bCs/>
                <w:sz w:val="22"/>
                <w:lang w:val="es-ES_tradnl"/>
              </w:rPr>
              <w:t>11.44B</w:t>
            </w:r>
            <w:r w:rsidRPr="00BE6424">
              <w:rPr>
                <w:sz w:val="22"/>
                <w:lang w:val="es-ES_tradnl"/>
              </w:rPr>
              <w:t xml:space="preserve"> del RR antes de concluir el examen de su Parte B y de las comunicaciones relativas a las notificaciones puede aceptarse como la puesta en servicio de las asignaciones de frecuencias.</w:t>
            </w:r>
            <w:bookmarkEnd w:id="61"/>
          </w:p>
          <w:p w14:paraId="28679F0F" w14:textId="77777777" w:rsidR="009A0FCF" w:rsidRPr="00BE6424" w:rsidRDefault="009A0FCF" w:rsidP="00AE3136">
            <w:pPr>
              <w:pStyle w:val="Tabletext"/>
              <w:keepLines/>
              <w:tabs>
                <w:tab w:val="clear" w:pos="1134"/>
                <w:tab w:val="clear" w:pos="2268"/>
              </w:tabs>
              <w:spacing w:before="120"/>
              <w:rPr>
                <w:sz w:val="22"/>
                <w:lang w:val="es-ES_tradnl"/>
              </w:rPr>
            </w:pPr>
            <w:r w:rsidRPr="00BE6424">
              <w:rPr>
                <w:sz w:val="22"/>
                <w:lang w:val="es-ES_tradnl"/>
              </w:rPr>
              <w:t>Al estudiar la sección 4.3 de este informe sobre «Cuestiones relativas a la ampliación de los plazos de puesta en servicio o puesta de nuevo en servicio de una asignación de frecuencias»:</w:t>
            </w:r>
          </w:p>
          <w:p w14:paraId="2A4DC2F7" w14:textId="77777777" w:rsidR="009A0FCF" w:rsidRPr="00BE6424" w:rsidRDefault="009A0FCF" w:rsidP="00AE3136">
            <w:pPr>
              <w:pStyle w:val="Tabletext"/>
              <w:keepLines/>
              <w:tabs>
                <w:tab w:val="clear" w:pos="1134"/>
                <w:tab w:val="clear" w:pos="2268"/>
              </w:tabs>
              <w:spacing w:before="120"/>
              <w:rPr>
                <w:sz w:val="22"/>
                <w:lang w:val="es-ES_tradnl"/>
              </w:rPr>
            </w:pPr>
            <w:r w:rsidRPr="00BE6424">
              <w:rPr>
                <w:sz w:val="22"/>
                <w:lang w:val="es-ES_tradnl"/>
              </w:rPr>
              <w:t>En la sección 4.3.4 «Situaciones de retraso por lanzamiento colectivo», la CMR-19 decidió que la Junta estudiaría requerir la presentación de la siguiente información para la gestión de la solicitud de prórroga de los plazos reglamentarios debido a un retraso por lanzamiento colectivo:</w:t>
            </w:r>
          </w:p>
          <w:p w14:paraId="043D4045" w14:textId="77777777" w:rsidR="009A0FCF" w:rsidRPr="00BE6424" w:rsidRDefault="009A0FCF" w:rsidP="00AE3136">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una descripción resumida del satélite que se va a lanzar, incluidas las bandas de frecuencias;</w:t>
            </w:r>
          </w:p>
          <w:p w14:paraId="3CD755EF" w14:textId="77777777" w:rsidR="009A0FCF" w:rsidRPr="00BE6424" w:rsidRDefault="009A0FCF" w:rsidP="00AE3136">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el nombre del fabricante seleccionado para fabricar el satélite y la fecha de firma del contrato;</w:t>
            </w:r>
          </w:p>
          <w:p w14:paraId="2C087483" w14:textId="77777777" w:rsidR="009A0FCF" w:rsidRPr="00BE6424" w:rsidRDefault="009A0FCF" w:rsidP="00AE3136">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el estado relativo a la construcción del satélite, incluida la fecha en que se inició la construcción y si estaba previsto concluirla antes la ventana de lanzamiento inicial;</w:t>
            </w:r>
          </w:p>
          <w:p w14:paraId="5B6A9264" w14:textId="77777777" w:rsidR="009A0FCF" w:rsidRPr="00BE6424" w:rsidRDefault="009A0FCF" w:rsidP="00AE3136">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el nombre del proveedor del servicio de lanzamiento y la fecha de firma del contrato;</w:t>
            </w:r>
          </w:p>
          <w:p w14:paraId="227EE723" w14:textId="77777777" w:rsidR="009A0FCF" w:rsidRPr="00BE6424" w:rsidRDefault="009A0FCF" w:rsidP="00AE3136">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la ventana de lanzamiento inicial y la revisada;</w:t>
            </w:r>
          </w:p>
          <w:p w14:paraId="7975F743" w14:textId="77777777" w:rsidR="009A0FCF" w:rsidRPr="00BE6424" w:rsidRDefault="009A0FCF" w:rsidP="00AE3136">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información suficientemente detallada para justificar que la solicitud de ampliación se debe a un retraso del lanzamiento colectivo (por ejemplo, una carta del proveedor del servicio de lanzamiento indicando que se retrasa el lanzamiento debido a un retraso que afecta al otro satélite pasajero);</w:t>
            </w:r>
          </w:p>
          <w:p w14:paraId="3D9BC578" w14:textId="77777777" w:rsidR="009A0FCF" w:rsidRPr="00BE6424" w:rsidRDefault="009A0FCF" w:rsidP="00AE3136">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información detallada suficiente para justificar la duración de la prórroga solicitada; y</w:t>
            </w:r>
          </w:p>
          <w:p w14:paraId="1BF35773" w14:textId="77777777" w:rsidR="009A0FCF" w:rsidRPr="00BE6424" w:rsidRDefault="009A0FCF" w:rsidP="00AE3136">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cualquier otra información y documentación pertinente.</w:t>
            </w:r>
          </w:p>
          <w:p w14:paraId="4365438D" w14:textId="37C342DD" w:rsidR="0066031C" w:rsidRPr="00BE6424" w:rsidRDefault="009A0FCF" w:rsidP="00AE3136">
            <w:pPr>
              <w:pStyle w:val="Tabletext"/>
              <w:keepLines/>
              <w:tabs>
                <w:tab w:val="clear" w:pos="1134"/>
                <w:tab w:val="clear" w:pos="2268"/>
              </w:tabs>
              <w:spacing w:before="120"/>
              <w:rPr>
                <w:sz w:val="22"/>
                <w:lang w:val="es-ES_tradnl"/>
              </w:rPr>
            </w:pPr>
            <w:r w:rsidRPr="00BE6424">
              <w:rPr>
                <w:sz w:val="22"/>
                <w:lang w:val="es-ES_tradnl"/>
              </w:rPr>
              <w:t>En la sección 4.3.5 «Cumplimiento de los plazos reglamentarios para estaciones espaciales con propulsión eléctrica», la CMR-19 decidió invitar al UIT-R a estudiar si el uso de este tipo de tecnología de satélites con propulsión eléctrica debía tomarse en consideración en el Reglamento de Radiocomunicaciones para su estudio en una futura CMR competente.</w:t>
            </w:r>
          </w:p>
          <w:p w14:paraId="17D34B38" w14:textId="77777777" w:rsidR="009A0FCF" w:rsidRPr="00BE6424" w:rsidRDefault="009A0FCF" w:rsidP="00AE3136">
            <w:pPr>
              <w:pStyle w:val="Tabletext"/>
              <w:keepLines/>
              <w:tabs>
                <w:tab w:val="clear" w:pos="1134"/>
                <w:tab w:val="clear" w:pos="2268"/>
              </w:tabs>
              <w:spacing w:before="120"/>
              <w:rPr>
                <w:sz w:val="22"/>
                <w:lang w:val="es-ES_tradnl"/>
              </w:rPr>
            </w:pPr>
            <w:r w:rsidRPr="00BE6424">
              <w:rPr>
                <w:sz w:val="22"/>
                <w:lang w:val="es-ES_tradnl"/>
              </w:rPr>
              <w:t xml:space="preserve">Al examinar las solicitudes que se consideran como </w:t>
            </w:r>
            <w:r w:rsidRPr="00AA4581">
              <w:rPr>
                <w:i/>
                <w:iCs/>
                <w:sz w:val="22"/>
                <w:lang w:val="es-ES_tradnl"/>
              </w:rPr>
              <w:t>fuerza mayor</w:t>
            </w:r>
            <w:r w:rsidRPr="00BE6424">
              <w:rPr>
                <w:sz w:val="22"/>
                <w:lang w:val="es-ES_tradnl"/>
              </w:rPr>
              <w:t xml:space="preserve"> o retraso por lanzamiento colectivo, la CMR-19 encarga a la Junta del Reglamento de Radiocomunicaciones que siga teniendo en cuenta el uso de la propulsión eléctrica caso por caso antes de tomar una decisión sobre la duración de la prórroga, en función de los méritos de cada caso.</w:t>
            </w:r>
          </w:p>
          <w:p w14:paraId="1FF95686" w14:textId="77777777" w:rsidR="009A0FCF" w:rsidRPr="00BE6424" w:rsidRDefault="009A0FCF" w:rsidP="00AE3136">
            <w:pPr>
              <w:pStyle w:val="Tabletext"/>
              <w:keepLines/>
              <w:tabs>
                <w:tab w:val="clear" w:pos="1134"/>
                <w:tab w:val="clear" w:pos="2268"/>
              </w:tabs>
              <w:spacing w:before="120"/>
              <w:rPr>
                <w:sz w:val="22"/>
                <w:lang w:val="es-ES_tradnl"/>
              </w:rPr>
            </w:pPr>
            <w:bookmarkStart w:id="62" w:name="_Toc16501762"/>
            <w:bookmarkStart w:id="63" w:name="_Toc520420663"/>
            <w:r w:rsidRPr="00BE6424">
              <w:rPr>
                <w:sz w:val="22"/>
                <w:lang w:val="es-ES_tradnl"/>
              </w:rPr>
              <w:t xml:space="preserve">En la sección 4.3.6 «Solicitudes de países en desarrollo que no se consideran como </w:t>
            </w:r>
            <w:r w:rsidRPr="00AA4581">
              <w:rPr>
                <w:i/>
                <w:iCs/>
                <w:sz w:val="22"/>
                <w:lang w:val="es-ES_tradnl"/>
              </w:rPr>
              <w:t>fuerza mayor</w:t>
            </w:r>
            <w:r w:rsidRPr="00BE6424">
              <w:rPr>
                <w:sz w:val="22"/>
                <w:lang w:val="es-ES_tradnl"/>
              </w:rPr>
              <w:t xml:space="preserve"> o retraso del lanzamiento colectivo», </w:t>
            </w:r>
            <w:bookmarkStart w:id="64" w:name="lt_pId072"/>
            <w:r w:rsidRPr="00BE6424">
              <w:rPr>
                <w:sz w:val="22"/>
                <w:lang w:val="es-ES_tradnl"/>
              </w:rPr>
              <w:t>la CMR-19 invita al UIT-R a examinar el asunto de las solitudes de prórroga de los plazos reglamentarios procedentes de países en desarrollo que no se consideran como fuerza mayor o retraso por lanzamiento colectivo, y a elaborar los criterios y las condiciones específicos sobre los que podría basarse la Junta del Reglamento de Radiocomunicaciones para considerar conceder una prórroga de los plazos reglamentarios a un país en desarrollo.</w:t>
            </w:r>
            <w:bookmarkStart w:id="65" w:name="_Toc16501763"/>
            <w:bookmarkStart w:id="66" w:name="_Toc4119429"/>
            <w:bookmarkEnd w:id="62"/>
            <w:bookmarkEnd w:id="64"/>
          </w:p>
          <w:p w14:paraId="3B79087B" w14:textId="444C96B9" w:rsidR="009A0FCF" w:rsidRPr="00BE6424" w:rsidRDefault="009A0FCF" w:rsidP="009B2C51">
            <w:pPr>
              <w:pStyle w:val="Tabletext"/>
              <w:keepLines/>
              <w:tabs>
                <w:tab w:val="clear" w:pos="1134"/>
                <w:tab w:val="clear" w:pos="2268"/>
              </w:tabs>
              <w:spacing w:before="120"/>
              <w:rPr>
                <w:sz w:val="22"/>
                <w:lang w:val="es-ES_tradnl"/>
              </w:rPr>
            </w:pPr>
            <w:r w:rsidRPr="00BE6424">
              <w:rPr>
                <w:sz w:val="22"/>
                <w:lang w:val="es-ES_tradnl"/>
              </w:rPr>
              <w:t xml:space="preserve">Al estudiar la sección 4.4 de este informe sobre «Solicitud de transferencia o cambio de </w:t>
            </w:r>
            <w:r w:rsidR="00BE6424">
              <w:rPr>
                <w:sz w:val="22"/>
                <w:lang w:val="es-ES_tradnl"/>
              </w:rPr>
              <w:t>«</w:t>
            </w:r>
            <w:r w:rsidRPr="00BE6424">
              <w:rPr>
                <w:sz w:val="22"/>
                <w:lang w:val="es-ES_tradnl"/>
              </w:rPr>
              <w:t xml:space="preserve">administración notificante», </w:t>
            </w:r>
            <w:bookmarkStart w:id="67" w:name="lt_pId075"/>
            <w:r w:rsidRPr="00BE6424">
              <w:rPr>
                <w:sz w:val="22"/>
                <w:lang w:val="es-ES_tradnl"/>
              </w:rPr>
              <w:t xml:space="preserve">la CMR-19 confirmó el enfoque adoptado hasta el momento por la Junta para abordar los casos de cambio de administración notificante que actúa en nombre de una organización intergubernamental de telecomunicaciones por satélite para una red de satélites de dicha organización gubernamental, a una administración que es miembro de dicha organización que actúa en nombre propio. </w:t>
            </w:r>
            <w:bookmarkStart w:id="68" w:name="lt_pId076"/>
            <w:bookmarkEnd w:id="67"/>
            <w:r w:rsidRPr="00BE6424">
              <w:rPr>
                <w:sz w:val="22"/>
                <w:lang w:val="es-ES_tradnl"/>
              </w:rPr>
              <w:t>Además, la CMR-19 decidió que era necesaria una carta de la autoridad responsable de la organización intergubernamental de telecomunicaciones por satélite que confirmara su acuerdo con el cambio de administración notificante.</w:t>
            </w:r>
            <w:bookmarkEnd w:id="68"/>
            <w:r w:rsidRPr="00BE6424">
              <w:rPr>
                <w:sz w:val="22"/>
                <w:lang w:val="es-ES_tradnl"/>
              </w:rPr>
              <w:t xml:space="preserve"> </w:t>
            </w:r>
            <w:bookmarkStart w:id="69" w:name="lt_pId077"/>
            <w:r w:rsidRPr="00BE6424">
              <w:rPr>
                <w:sz w:val="22"/>
                <w:lang w:val="es-ES_tradnl"/>
              </w:rPr>
              <w:t>Por otra parte, la CMR-19 decidió que la Junta debía denegar toda solicitud de cambio:</w:t>
            </w:r>
            <w:bookmarkEnd w:id="69"/>
          </w:p>
          <w:p w14:paraId="2D471A32" w14:textId="77777777" w:rsidR="009A0FCF" w:rsidRPr="00BE6424" w:rsidRDefault="009A0FCF" w:rsidP="009B2C51">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de administración notificante que actúa en nombre de una organización intergubernamental de telecomunicaciones por satélite para una red de satélites de esa organización intergubernamental, a una administración que no es miembro de esa organización;</w:t>
            </w:r>
          </w:p>
          <w:p w14:paraId="1BC4BCE5" w14:textId="77777777" w:rsidR="009A0FCF" w:rsidRPr="00BE6424" w:rsidRDefault="009A0FCF" w:rsidP="009B2C51">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de administración notificante, actuando en su propio nombre, de una red o sistema de satélites a otra administración notificante que actúe en su propio nombre; o</w:t>
            </w:r>
          </w:p>
          <w:p w14:paraId="658F50AA" w14:textId="77777777" w:rsidR="009A0FCF" w:rsidRPr="00BE6424" w:rsidRDefault="009A0FCF" w:rsidP="009B2C51">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de administración notificante que actúe en nombre de un grupo de administraciones determinadas que no son miembros de una organización intergubernamental de telecomunicaciones por satélite a otra administración de ese grupo.</w:t>
            </w:r>
          </w:p>
          <w:bookmarkEnd w:id="63"/>
          <w:bookmarkEnd w:id="65"/>
          <w:bookmarkEnd w:id="66"/>
          <w:p w14:paraId="461681CB" w14:textId="381A36E0" w:rsidR="009A0FCF" w:rsidRPr="00BE6424" w:rsidRDefault="009A0FCF" w:rsidP="009B2C51">
            <w:pPr>
              <w:pStyle w:val="Tabletext"/>
              <w:keepLines/>
              <w:tabs>
                <w:tab w:val="clear" w:pos="1134"/>
                <w:tab w:val="clear" w:pos="2268"/>
              </w:tabs>
              <w:spacing w:before="120"/>
              <w:rPr>
                <w:rFonts w:asciiTheme="minorHAnsi" w:hAnsiTheme="minorHAnsi" w:cstheme="minorHAnsi"/>
                <w:szCs w:val="24"/>
                <w:lang w:val="es-ES_tradnl"/>
              </w:rPr>
            </w:pPr>
            <w:r w:rsidRPr="00BE6424">
              <w:rPr>
                <w:sz w:val="22"/>
                <w:lang w:val="es-ES_tradnl"/>
              </w:rPr>
              <w:t>Al estudiar la sección 4.5 de este informe sobre «Interpretación de la definición de «red de satélite» en el número</w:t>
            </w:r>
            <w:r w:rsidR="009B2C51" w:rsidRPr="00BE6424">
              <w:rPr>
                <w:sz w:val="22"/>
                <w:lang w:val="es-ES_tradnl"/>
              </w:rPr>
              <w:t> </w:t>
            </w:r>
            <w:r w:rsidRPr="00BE6424">
              <w:rPr>
                <w:b/>
                <w:bCs/>
                <w:sz w:val="22"/>
                <w:lang w:val="es-ES_tradnl"/>
              </w:rPr>
              <w:t>1.112</w:t>
            </w:r>
            <w:r w:rsidRPr="00BE6424">
              <w:rPr>
                <w:sz w:val="22"/>
                <w:lang w:val="es-ES_tradnl"/>
              </w:rPr>
              <w:t xml:space="preserve"> del RR y en la Regla de Procedimiento relativa al número </w:t>
            </w:r>
            <w:r w:rsidRPr="00BE6424">
              <w:rPr>
                <w:b/>
                <w:bCs/>
                <w:sz w:val="22"/>
                <w:lang w:val="es-ES_tradnl"/>
              </w:rPr>
              <w:t>1.112</w:t>
            </w:r>
            <w:r w:rsidRPr="00BE6424">
              <w:rPr>
                <w:sz w:val="22"/>
                <w:lang w:val="es-ES_tradnl"/>
              </w:rPr>
              <w:t>», la CMR-19 decidió que el asunto planteado en esta sección del informe se abordaba directamente en el marco del tema H del punto 7 del orden del día de la CMR-19.</w:t>
            </w:r>
            <w:bookmarkEnd w:id="49"/>
          </w:p>
        </w:tc>
      </w:tr>
      <w:tr w:rsidR="009A0FCF" w:rsidRPr="00BE6424" w14:paraId="2116906F" w14:textId="77777777" w:rsidTr="005321E9">
        <w:trPr>
          <w:gridAfter w:val="1"/>
          <w:wAfter w:w="29" w:type="dxa"/>
          <w:trHeight w:val="1139"/>
        </w:trPr>
        <w:tc>
          <w:tcPr>
            <w:tcW w:w="1669" w:type="dxa"/>
            <w:vMerge/>
          </w:tcPr>
          <w:p w14:paraId="49F066F1"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26A9F74E" w14:textId="77777777" w:rsidR="009A0FCF" w:rsidRPr="00BE6424" w:rsidRDefault="009A0FCF" w:rsidP="001311B8">
            <w:pPr>
              <w:pStyle w:val="Tablehead"/>
              <w:keepNext w:val="0"/>
              <w:rPr>
                <w:sz w:val="22"/>
                <w:lang w:val="es-ES_tradnl"/>
              </w:rPr>
            </w:pPr>
            <w:bookmarkStart w:id="70" w:name="lt_pId243"/>
            <w:r w:rsidRPr="00BE6424">
              <w:rPr>
                <w:sz w:val="22"/>
                <w:lang w:val="es-ES_tradnl"/>
              </w:rPr>
              <w:t>§§ 3.19 a 3.21</w:t>
            </w:r>
            <w:bookmarkEnd w:id="70"/>
          </w:p>
          <w:p w14:paraId="61813750" w14:textId="600009B4" w:rsidR="009A0FCF" w:rsidRPr="00BE6424" w:rsidRDefault="009A0FCF" w:rsidP="001311B8">
            <w:pPr>
              <w:pStyle w:val="Tablehead"/>
              <w:keepNext w:val="0"/>
              <w:rPr>
                <w:sz w:val="22"/>
                <w:lang w:val="es-ES_tradnl"/>
              </w:rPr>
            </w:pPr>
            <w:bookmarkStart w:id="71" w:name="lt_pId244"/>
            <w:r w:rsidRPr="00BE6424">
              <w:rPr>
                <w:sz w:val="22"/>
                <w:lang w:val="es-ES_tradnl"/>
              </w:rPr>
              <w:t xml:space="preserve">Aprobación del documento </w:t>
            </w:r>
            <w:hyperlink r:id="rId30" w:history="1">
              <w:r w:rsidRPr="005321E9">
                <w:rPr>
                  <w:rStyle w:val="Hyperlink"/>
                  <w:sz w:val="22"/>
                  <w:lang w:val="es-ES_tradnl"/>
                </w:rPr>
                <w:t>471</w:t>
              </w:r>
              <w:bookmarkEnd w:id="71"/>
            </w:hyperlink>
          </w:p>
        </w:tc>
        <w:tc>
          <w:tcPr>
            <w:tcW w:w="10733" w:type="dxa"/>
          </w:tcPr>
          <w:p w14:paraId="3533D8F2" w14:textId="77777777" w:rsidR="009A0FCF" w:rsidRPr="00BE6424" w:rsidRDefault="009A0FCF" w:rsidP="009B2C51">
            <w:pPr>
              <w:pStyle w:val="Tabletext"/>
              <w:keepLines/>
              <w:tabs>
                <w:tab w:val="clear" w:pos="1134"/>
                <w:tab w:val="clear" w:pos="2268"/>
              </w:tabs>
              <w:spacing w:before="120"/>
              <w:rPr>
                <w:sz w:val="22"/>
                <w:lang w:val="es-ES_tradnl"/>
              </w:rPr>
            </w:pPr>
            <w:bookmarkStart w:id="72" w:name="lt_pId245"/>
            <w:r w:rsidRPr="00BE6424">
              <w:rPr>
                <w:sz w:val="22"/>
                <w:lang w:val="es-ES_tradnl"/>
              </w:rPr>
              <w:t xml:space="preserve">Al interpretar la Resolución </w:t>
            </w:r>
            <w:r w:rsidRPr="00BE6424">
              <w:rPr>
                <w:b/>
                <w:bCs/>
                <w:sz w:val="22"/>
                <w:lang w:val="es-ES_tradnl"/>
              </w:rPr>
              <w:t>750 (Rev.CMR-15)</w:t>
            </w:r>
            <w:r w:rsidRPr="00BE6424">
              <w:rPr>
                <w:sz w:val="22"/>
                <w:lang w:val="es-ES_tradnl"/>
              </w:rPr>
              <w:t xml:space="preserve">, el </w:t>
            </w:r>
            <w:r w:rsidRPr="00AA4581">
              <w:rPr>
                <w:i/>
                <w:iCs/>
                <w:sz w:val="22"/>
                <w:lang w:val="es-ES_tradnl"/>
              </w:rPr>
              <w:t>resuelve</w:t>
            </w:r>
            <w:r w:rsidRPr="00BE6424">
              <w:rPr>
                <w:sz w:val="22"/>
                <w:lang w:val="es-ES_tradnl"/>
              </w:rPr>
              <w:t xml:space="preserve"> 1 y el Cuadro 1-1 de esta Resolución se refieren a los límites obligatorios, mientras que el </w:t>
            </w:r>
            <w:r w:rsidRPr="00AA4581">
              <w:rPr>
                <w:i/>
                <w:iCs/>
                <w:sz w:val="22"/>
                <w:lang w:val="es-ES_tradnl"/>
              </w:rPr>
              <w:t>resuelve</w:t>
            </w:r>
            <w:r w:rsidRPr="00BE6424">
              <w:rPr>
                <w:sz w:val="22"/>
                <w:lang w:val="es-ES_tradnl"/>
              </w:rPr>
              <w:t xml:space="preserve"> 2 y el Cuadro 1-2 se refieren a los límites no obligatorios.</w:t>
            </w:r>
            <w:bookmarkEnd w:id="72"/>
          </w:p>
        </w:tc>
      </w:tr>
      <w:tr w:rsidR="009A0FCF" w:rsidRPr="00BE6424" w14:paraId="4E610A8C" w14:textId="77777777" w:rsidTr="005321E9">
        <w:trPr>
          <w:gridAfter w:val="1"/>
          <w:wAfter w:w="29" w:type="dxa"/>
          <w:trHeight w:val="1139"/>
        </w:trPr>
        <w:tc>
          <w:tcPr>
            <w:tcW w:w="1669" w:type="dxa"/>
            <w:vMerge w:val="restart"/>
          </w:tcPr>
          <w:p w14:paraId="79AFC7F7" w14:textId="0B53EFD1" w:rsidR="009A0FCF" w:rsidRPr="00124AA2" w:rsidRDefault="009A0FCF" w:rsidP="00E51EC7">
            <w:pPr>
              <w:spacing w:before="40" w:afterLines="40" w:after="96" w:line="240" w:lineRule="auto"/>
              <w:jc w:val="left"/>
              <w:rPr>
                <w:rFonts w:asciiTheme="minorHAnsi" w:hAnsiTheme="minorHAnsi" w:cstheme="minorHAnsi"/>
                <w:b/>
                <w:sz w:val="22"/>
                <w:lang w:val="es-ES_tradnl"/>
              </w:rPr>
            </w:pPr>
            <w:bookmarkStart w:id="73" w:name="lt_pId246"/>
            <w:r w:rsidRPr="00124AA2">
              <w:rPr>
                <w:rFonts w:asciiTheme="minorHAnsi" w:hAnsiTheme="minorHAnsi" w:cstheme="minorHAnsi"/>
                <w:b/>
                <w:sz w:val="22"/>
                <w:lang w:val="es-ES_tradnl"/>
              </w:rPr>
              <w:t xml:space="preserve">Documento </w:t>
            </w:r>
            <w:hyperlink r:id="rId31" w:history="1">
              <w:r w:rsidRPr="00124AA2">
                <w:rPr>
                  <w:rStyle w:val="Hyperlink"/>
                  <w:rFonts w:asciiTheme="minorHAnsi" w:hAnsiTheme="minorHAnsi" w:cstheme="minorHAnsi"/>
                  <w:b/>
                  <w:sz w:val="22"/>
                  <w:lang w:val="es-ES_tradnl"/>
                </w:rPr>
                <w:t>CMR19/571</w:t>
              </w:r>
            </w:hyperlink>
            <w:r w:rsidRPr="00124AA2">
              <w:rPr>
                <w:rFonts w:asciiTheme="minorHAnsi" w:hAnsiTheme="minorHAnsi" w:cstheme="minorHAnsi"/>
                <w:b/>
                <w:sz w:val="22"/>
                <w:lang w:val="es-ES_tradnl"/>
              </w:rPr>
              <w:t xml:space="preserve"> – </w:t>
            </w:r>
            <w:r w:rsidRPr="00124AA2">
              <w:rPr>
                <w:rFonts w:asciiTheme="minorHAnsi" w:hAnsiTheme="minorHAnsi" w:cstheme="minorHAnsi"/>
                <w:b/>
                <w:bCs/>
                <w:sz w:val="22"/>
                <w:lang w:val="es-ES_tradnl"/>
              </w:rPr>
              <w:t xml:space="preserve">Actas de la </w:t>
            </w:r>
            <w:r w:rsidRPr="00124AA2">
              <w:rPr>
                <w:rFonts w:asciiTheme="minorHAnsi" w:hAnsiTheme="minorHAnsi" w:cstheme="minorHAnsi"/>
                <w:b/>
                <w:sz w:val="22"/>
                <w:lang w:val="es-ES_tradnl"/>
              </w:rPr>
              <w:t>décima</w:t>
            </w:r>
            <w:r w:rsidRPr="00124AA2">
              <w:rPr>
                <w:rFonts w:asciiTheme="minorHAnsi" w:hAnsiTheme="minorHAnsi" w:cstheme="minorHAnsi"/>
                <w:b/>
                <w:bCs/>
                <w:sz w:val="22"/>
                <w:lang w:val="es-ES_tradnl"/>
              </w:rPr>
              <w:t xml:space="preserve"> Sesión Plenaria</w:t>
            </w:r>
            <w:r w:rsidRPr="00124AA2">
              <w:rPr>
                <w:rFonts w:asciiTheme="minorHAnsi" w:hAnsiTheme="minorHAnsi" w:cstheme="minorHAnsi"/>
                <w:b/>
                <w:sz w:val="22"/>
                <w:lang w:val="es-ES_tradnl"/>
              </w:rPr>
              <w:t xml:space="preserve"> </w:t>
            </w:r>
            <w:bookmarkEnd w:id="73"/>
          </w:p>
        </w:tc>
        <w:tc>
          <w:tcPr>
            <w:tcW w:w="1881" w:type="dxa"/>
          </w:tcPr>
          <w:p w14:paraId="6797402B" w14:textId="77777777" w:rsidR="009A0FCF" w:rsidRPr="00BE6424" w:rsidRDefault="009A0FCF" w:rsidP="001311B8">
            <w:pPr>
              <w:pStyle w:val="Tablehead"/>
              <w:keepNext w:val="0"/>
              <w:rPr>
                <w:sz w:val="22"/>
                <w:lang w:val="es-ES_tradnl"/>
              </w:rPr>
            </w:pPr>
            <w:bookmarkStart w:id="74" w:name="lt_pId247"/>
            <w:r w:rsidRPr="00BE6424">
              <w:rPr>
                <w:sz w:val="22"/>
                <w:lang w:val="es-ES_tradnl"/>
              </w:rPr>
              <w:t>§§ 2.4 a 2.15</w:t>
            </w:r>
            <w:bookmarkEnd w:id="74"/>
          </w:p>
          <w:p w14:paraId="3085B220" w14:textId="0D356DDB" w:rsidR="009A0FCF" w:rsidRPr="00BE6424" w:rsidRDefault="009A0FCF" w:rsidP="001311B8">
            <w:pPr>
              <w:pStyle w:val="Tablehead"/>
              <w:keepNext w:val="0"/>
              <w:rPr>
                <w:sz w:val="22"/>
                <w:lang w:val="es-ES_tradnl"/>
              </w:rPr>
            </w:pPr>
            <w:bookmarkStart w:id="75" w:name="lt_pId248"/>
            <w:r w:rsidRPr="00BE6424">
              <w:rPr>
                <w:sz w:val="22"/>
                <w:lang w:val="es-ES_tradnl"/>
              </w:rPr>
              <w:t xml:space="preserve">Aprobación del documento </w:t>
            </w:r>
            <w:hyperlink r:id="rId32" w:history="1">
              <w:r w:rsidRPr="001C5E82">
                <w:rPr>
                  <w:rStyle w:val="Hyperlink"/>
                  <w:sz w:val="22"/>
                  <w:lang w:val="es-ES_tradnl"/>
                </w:rPr>
                <w:t>518</w:t>
              </w:r>
              <w:bookmarkEnd w:id="75"/>
            </w:hyperlink>
          </w:p>
        </w:tc>
        <w:tc>
          <w:tcPr>
            <w:tcW w:w="10733" w:type="dxa"/>
          </w:tcPr>
          <w:p w14:paraId="140F3CCF" w14:textId="75540C18" w:rsidR="009A0FCF" w:rsidRPr="00BE6424" w:rsidRDefault="009A0FCF" w:rsidP="00AA4581">
            <w:pPr>
              <w:pStyle w:val="Tabletext"/>
              <w:keepNext/>
              <w:keepLines/>
              <w:tabs>
                <w:tab w:val="clear" w:pos="1134"/>
                <w:tab w:val="clear" w:pos="2268"/>
              </w:tabs>
              <w:spacing w:before="120"/>
              <w:rPr>
                <w:sz w:val="22"/>
                <w:lang w:val="es-ES_tradnl"/>
              </w:rPr>
            </w:pPr>
            <w:bookmarkStart w:id="76" w:name="lt_pId249"/>
            <w:r w:rsidRPr="00BE6424">
              <w:rPr>
                <w:sz w:val="22"/>
                <w:lang w:val="es-ES_tradnl"/>
              </w:rPr>
              <w:t xml:space="preserve">La CMR-19 ha recibido varios documentos con solicitudes de administraciones notificantes en relación con el tratamiento reglamentario aplicable a determinadas redes de satélites. A </w:t>
            </w:r>
            <w:r w:rsidR="009B2C51" w:rsidRPr="00BE6424">
              <w:rPr>
                <w:sz w:val="22"/>
                <w:lang w:val="es-ES_tradnl"/>
              </w:rPr>
              <w:t>continuación,</w:t>
            </w:r>
            <w:r w:rsidRPr="00BE6424">
              <w:rPr>
                <w:sz w:val="22"/>
                <w:lang w:val="es-ES_tradnl"/>
              </w:rPr>
              <w:t xml:space="preserve"> se muestra el resultado de la consideración de esas solicitudes por la CMR-19.</w:t>
            </w:r>
          </w:p>
          <w:p w14:paraId="279C9A1B" w14:textId="77777777" w:rsidR="009A0FCF" w:rsidRPr="00BE6424" w:rsidRDefault="009A0FCF" w:rsidP="009B2C51">
            <w:pPr>
              <w:pStyle w:val="Tabletext"/>
              <w:keepNext/>
              <w:keepLines/>
              <w:tabs>
                <w:tab w:val="clear" w:pos="1134"/>
                <w:tab w:val="clear" w:pos="2268"/>
              </w:tabs>
              <w:spacing w:before="120"/>
              <w:rPr>
                <w:b/>
                <w:bCs/>
                <w:i/>
                <w:iCs/>
                <w:sz w:val="22"/>
                <w:lang w:val="es-ES_tradnl"/>
              </w:rPr>
            </w:pPr>
            <w:r w:rsidRPr="00BE6424">
              <w:rPr>
                <w:b/>
                <w:bCs/>
                <w:i/>
                <w:iCs/>
                <w:sz w:val="22"/>
                <w:lang w:val="es-ES_tradnl"/>
              </w:rPr>
              <w:t>Solicitudes de decisión de la CMR sobre determinadas notificaciones de redes de satélites</w:t>
            </w:r>
          </w:p>
          <w:p w14:paraId="3DD0CD88" w14:textId="77777777" w:rsidR="009A0FCF" w:rsidRPr="00BE6424" w:rsidRDefault="009A0FCF" w:rsidP="009B2C51">
            <w:pPr>
              <w:pStyle w:val="Tabletext"/>
              <w:keepLines/>
              <w:tabs>
                <w:tab w:val="clear" w:pos="1134"/>
                <w:tab w:val="clear" w:pos="2268"/>
              </w:tabs>
              <w:spacing w:before="120"/>
              <w:rPr>
                <w:i/>
                <w:iCs/>
                <w:sz w:val="22"/>
                <w:lang w:val="es-ES_tradnl"/>
              </w:rPr>
            </w:pPr>
            <w:r w:rsidRPr="00BE6424">
              <w:rPr>
                <w:i/>
                <w:iCs/>
                <w:sz w:val="22"/>
                <w:lang w:val="es-ES_tradnl"/>
              </w:rPr>
              <w:t>Solicitud relativa a las redes de satélites ASIASAT-AK, ASIASAT-AK1 y ASIASAT-AKX</w:t>
            </w:r>
          </w:p>
          <w:p w14:paraId="475C5C35" w14:textId="59FB6A01" w:rsidR="0066031C" w:rsidRPr="00BE6424" w:rsidRDefault="009A0FCF" w:rsidP="009B2C51">
            <w:pPr>
              <w:pStyle w:val="Tabletext"/>
              <w:keepLines/>
              <w:tabs>
                <w:tab w:val="clear" w:pos="1134"/>
                <w:tab w:val="clear" w:pos="2268"/>
              </w:tabs>
              <w:spacing w:before="120"/>
              <w:rPr>
                <w:sz w:val="22"/>
                <w:lang w:val="es-ES_tradnl"/>
              </w:rPr>
            </w:pPr>
            <w:r w:rsidRPr="00BE6424">
              <w:rPr>
                <w:sz w:val="22"/>
                <w:lang w:val="es-ES_tradnl"/>
              </w:rPr>
              <w:t xml:space="preserve">La CMR-19 consideró la solicitud específica formulada por China en el Documento 28(Add.22) en relación con la validez de ciertas asignaciones en banda C y banda </w:t>
            </w:r>
            <w:proofErr w:type="spellStart"/>
            <w:r w:rsidRPr="00BE6424">
              <w:rPr>
                <w:sz w:val="22"/>
                <w:lang w:val="es-ES_tradnl"/>
              </w:rPr>
              <w:t>Ku</w:t>
            </w:r>
            <w:proofErr w:type="spellEnd"/>
            <w:r w:rsidRPr="00BE6424">
              <w:rPr>
                <w:sz w:val="22"/>
                <w:lang w:val="es-ES_tradnl"/>
              </w:rPr>
              <w:t xml:space="preserve"> a las redes de satélites ASIASAT</w:t>
            </w:r>
            <w:r w:rsidRPr="00BE6424">
              <w:rPr>
                <w:sz w:val="22"/>
                <w:lang w:val="es-ES_tradnl"/>
              </w:rPr>
              <w:noBreakHyphen/>
              <w:t>AK, ASIASAT-AK1 y</w:t>
            </w:r>
            <w:r w:rsidR="009B2C51" w:rsidRPr="00BE6424">
              <w:rPr>
                <w:sz w:val="22"/>
                <w:lang w:val="es-ES_tradnl"/>
              </w:rPr>
              <w:t> </w:t>
            </w:r>
            <w:r w:rsidRPr="00BE6424">
              <w:rPr>
                <w:sz w:val="22"/>
                <w:lang w:val="es-ES_tradnl"/>
              </w:rPr>
              <w:t>ASIASAT</w:t>
            </w:r>
            <w:r w:rsidR="009B2C51" w:rsidRPr="00BE6424">
              <w:rPr>
                <w:sz w:val="22"/>
                <w:lang w:val="es-ES_tradnl"/>
              </w:rPr>
              <w:noBreakHyphen/>
            </w:r>
            <w:r w:rsidRPr="00BE6424">
              <w:rPr>
                <w:sz w:val="22"/>
                <w:lang w:val="es-ES_tradnl"/>
              </w:rPr>
              <w:t>AKX de China. Tras considerar el contenido del Documento 28(Add.22) y las cuestiones concretas que en él se plantean, la CMR-19 decidió acceder a la solicitud formulada en el Documento 28(Add.22) y en consecuencia encargó a la Oficina de Radiocomunicaciones que mantenga en el Registro Internacional de Frecuencias las asignaciones de frecuencias a las redes de satélites ASIASAT-AK, ASIASAT-AK1 y ASIASAT</w:t>
            </w:r>
            <w:r w:rsidRPr="00BE6424">
              <w:rPr>
                <w:sz w:val="22"/>
                <w:lang w:val="es-ES_tradnl"/>
              </w:rPr>
              <w:noBreakHyphen/>
              <w:t>AKX que se enumeran en el cuadro siguiente.</w:t>
            </w:r>
          </w:p>
          <w:tbl>
            <w:tblPr>
              <w:tblW w:w="64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2"/>
              <w:gridCol w:w="1006"/>
              <w:gridCol w:w="1691"/>
              <w:gridCol w:w="1853"/>
            </w:tblGrid>
            <w:tr w:rsidR="009A0FCF" w:rsidRPr="00BE6424" w14:paraId="325CC747" w14:textId="77777777" w:rsidTr="00213721">
              <w:trPr>
                <w:cantSplit/>
                <w:trHeight w:val="300"/>
                <w:tblHeader/>
                <w:jc w:val="center"/>
              </w:trPr>
              <w:tc>
                <w:tcPr>
                  <w:tcW w:w="1922"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14:paraId="7C4ED677" w14:textId="77777777" w:rsidR="009A0FCF" w:rsidRPr="00BE6424" w:rsidRDefault="009A0FCF" w:rsidP="009B2C51">
                  <w:pPr>
                    <w:pStyle w:val="Tablehead"/>
                    <w:keepNext w:val="0"/>
                    <w:rPr>
                      <w:lang w:val="es-ES_tradnl"/>
                    </w:rPr>
                  </w:pPr>
                  <w:r w:rsidRPr="00BE6424">
                    <w:rPr>
                      <w:lang w:val="es-ES_tradnl"/>
                    </w:rPr>
                    <w:t>Red de satélites</w:t>
                  </w:r>
                </w:p>
              </w:tc>
              <w:tc>
                <w:tcPr>
                  <w:tcW w:w="1006"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77869467" w14:textId="77777777" w:rsidR="009A0FCF" w:rsidRPr="00BE6424" w:rsidRDefault="009A0FCF" w:rsidP="009B2C51">
                  <w:pPr>
                    <w:pStyle w:val="Tablehead"/>
                    <w:keepNext w:val="0"/>
                    <w:rPr>
                      <w:lang w:val="es-ES_tradnl"/>
                    </w:rPr>
                  </w:pPr>
                  <w:r w:rsidRPr="00BE6424">
                    <w:rPr>
                      <w:lang w:val="es-ES_tradnl"/>
                    </w:rPr>
                    <w:t>Longitud</w:t>
                  </w:r>
                </w:p>
              </w:tc>
              <w:tc>
                <w:tcPr>
                  <w:tcW w:w="1691"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00F83952" w14:textId="77777777" w:rsidR="009A0FCF" w:rsidRPr="00BE6424" w:rsidRDefault="009A0FCF" w:rsidP="009B2C51">
                  <w:pPr>
                    <w:pStyle w:val="Tablehead"/>
                    <w:keepNext w:val="0"/>
                    <w:rPr>
                      <w:lang w:val="es-ES_tradnl"/>
                    </w:rPr>
                  </w:pPr>
                  <w:r w:rsidRPr="00BE6424">
                    <w:rPr>
                      <w:lang w:val="es-ES_tradnl"/>
                    </w:rPr>
                    <w:t>Frecuencia mínima (MHz)</w:t>
                  </w:r>
                </w:p>
              </w:tc>
              <w:tc>
                <w:tcPr>
                  <w:tcW w:w="1853" w:type="dxa"/>
                  <w:tcBorders>
                    <w:top w:val="single" w:sz="12" w:space="0" w:color="auto"/>
                    <w:left w:val="single" w:sz="4" w:space="0" w:color="auto"/>
                    <w:bottom w:val="single" w:sz="12" w:space="0" w:color="auto"/>
                    <w:right w:val="single" w:sz="12" w:space="0" w:color="auto"/>
                  </w:tcBorders>
                  <w:shd w:val="clear" w:color="auto" w:fill="D9D9D9"/>
                  <w:noWrap/>
                  <w:vAlign w:val="center"/>
                  <w:hideMark/>
                </w:tcPr>
                <w:p w14:paraId="4DBBA2AE" w14:textId="77777777" w:rsidR="009A0FCF" w:rsidRPr="00BE6424" w:rsidRDefault="009A0FCF" w:rsidP="009B2C51">
                  <w:pPr>
                    <w:pStyle w:val="Tablehead"/>
                    <w:keepNext w:val="0"/>
                    <w:rPr>
                      <w:lang w:val="es-ES_tradnl"/>
                    </w:rPr>
                  </w:pPr>
                  <w:r w:rsidRPr="00BE6424">
                    <w:rPr>
                      <w:lang w:val="es-ES_tradnl"/>
                    </w:rPr>
                    <w:t>Frecuencia máxima (MHz)</w:t>
                  </w:r>
                </w:p>
              </w:tc>
            </w:tr>
            <w:tr w:rsidR="009A0FCF" w:rsidRPr="00BE6424" w14:paraId="0697484B" w14:textId="77777777" w:rsidTr="00213721">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hideMark/>
                </w:tcPr>
                <w:p w14:paraId="2C55BA79" w14:textId="77777777" w:rsidR="009A0FCF" w:rsidRPr="00BE6424" w:rsidRDefault="009A0FCF" w:rsidP="009B2C51">
                  <w:pPr>
                    <w:pStyle w:val="Tabletext"/>
                    <w:jc w:val="center"/>
                    <w:rPr>
                      <w:lang w:val="es-ES_tradnl"/>
                    </w:rPr>
                  </w:pPr>
                  <w:r w:rsidRPr="00BE6424">
                    <w:rPr>
                      <w:lang w:val="es-ES_tradnl"/>
                    </w:rPr>
                    <w:t>ASIASAT-AK</w:t>
                  </w:r>
                </w:p>
              </w:tc>
              <w:tc>
                <w:tcPr>
                  <w:tcW w:w="1006" w:type="dxa"/>
                  <w:tcBorders>
                    <w:top w:val="single" w:sz="4" w:space="0" w:color="auto"/>
                    <w:left w:val="single" w:sz="4" w:space="0" w:color="auto"/>
                    <w:bottom w:val="single" w:sz="4" w:space="0" w:color="auto"/>
                    <w:right w:val="single" w:sz="4" w:space="0" w:color="auto"/>
                  </w:tcBorders>
                  <w:noWrap/>
                  <w:hideMark/>
                </w:tcPr>
                <w:p w14:paraId="6FDF78F7" w14:textId="77777777" w:rsidR="009A0FCF" w:rsidRPr="00BE6424" w:rsidRDefault="009A0FCF" w:rsidP="009B2C51">
                  <w:pPr>
                    <w:pStyle w:val="Tabletext"/>
                    <w:jc w:val="center"/>
                    <w:rPr>
                      <w:lang w:val="es-ES_tradnl"/>
                    </w:rPr>
                  </w:pPr>
                  <w:r w:rsidRPr="00BE6424">
                    <w:rPr>
                      <w:lang w:val="es-ES_tradnl"/>
                    </w:rPr>
                    <w:t>122° E</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6B3080BB" w14:textId="77777777" w:rsidR="009A0FCF" w:rsidRPr="00BE6424" w:rsidRDefault="009A0FCF" w:rsidP="009B2C51">
                  <w:pPr>
                    <w:pStyle w:val="Tabletext"/>
                    <w:jc w:val="center"/>
                    <w:rPr>
                      <w:lang w:val="es-ES_tradnl"/>
                    </w:rPr>
                  </w:pPr>
                  <w:r w:rsidRPr="00BE6424">
                    <w:rPr>
                      <w:lang w:val="es-ES_tradnl"/>
                    </w:rPr>
                    <w:t>6 425</w:t>
                  </w:r>
                </w:p>
              </w:tc>
              <w:tc>
                <w:tcPr>
                  <w:tcW w:w="1853" w:type="dxa"/>
                  <w:tcBorders>
                    <w:top w:val="single" w:sz="4" w:space="0" w:color="auto"/>
                    <w:left w:val="single" w:sz="4" w:space="0" w:color="auto"/>
                    <w:bottom w:val="single" w:sz="4" w:space="0" w:color="auto"/>
                    <w:right w:val="single" w:sz="12" w:space="0" w:color="auto"/>
                  </w:tcBorders>
                  <w:noWrap/>
                  <w:vAlign w:val="center"/>
                  <w:hideMark/>
                </w:tcPr>
                <w:p w14:paraId="3EC78071" w14:textId="77777777" w:rsidR="009A0FCF" w:rsidRPr="00BE6424" w:rsidRDefault="009A0FCF" w:rsidP="009B2C51">
                  <w:pPr>
                    <w:pStyle w:val="Tabletext"/>
                    <w:jc w:val="center"/>
                    <w:rPr>
                      <w:lang w:val="es-ES_tradnl"/>
                    </w:rPr>
                  </w:pPr>
                  <w:r w:rsidRPr="00BE6424">
                    <w:rPr>
                      <w:lang w:val="es-ES_tradnl"/>
                    </w:rPr>
                    <w:t>6 723</w:t>
                  </w:r>
                </w:p>
              </w:tc>
            </w:tr>
            <w:tr w:rsidR="009A0FCF" w:rsidRPr="00BE6424" w14:paraId="2AFE32B9" w14:textId="77777777" w:rsidTr="00213721">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hideMark/>
                </w:tcPr>
                <w:p w14:paraId="74BD2588" w14:textId="77777777" w:rsidR="009A0FCF" w:rsidRPr="00BE6424" w:rsidRDefault="009A0FCF" w:rsidP="009B2C51">
                  <w:pPr>
                    <w:pStyle w:val="Tabletext"/>
                    <w:jc w:val="center"/>
                    <w:rPr>
                      <w:lang w:val="es-ES_tradnl"/>
                    </w:rPr>
                  </w:pPr>
                  <w:r w:rsidRPr="00BE6424">
                    <w:rPr>
                      <w:lang w:val="es-ES_tradnl"/>
                    </w:rPr>
                    <w:t>ASIASAT-AK</w:t>
                  </w:r>
                </w:p>
              </w:tc>
              <w:tc>
                <w:tcPr>
                  <w:tcW w:w="1006" w:type="dxa"/>
                  <w:tcBorders>
                    <w:top w:val="single" w:sz="4" w:space="0" w:color="auto"/>
                    <w:left w:val="single" w:sz="4" w:space="0" w:color="auto"/>
                    <w:bottom w:val="single" w:sz="4" w:space="0" w:color="auto"/>
                    <w:right w:val="single" w:sz="4" w:space="0" w:color="auto"/>
                  </w:tcBorders>
                  <w:noWrap/>
                  <w:hideMark/>
                </w:tcPr>
                <w:p w14:paraId="1755CCC4" w14:textId="77777777" w:rsidR="009A0FCF" w:rsidRPr="00BE6424" w:rsidRDefault="009A0FCF" w:rsidP="009B2C51">
                  <w:pPr>
                    <w:pStyle w:val="Tabletext"/>
                    <w:jc w:val="center"/>
                    <w:rPr>
                      <w:lang w:val="es-ES_tradnl"/>
                    </w:rPr>
                  </w:pPr>
                  <w:r w:rsidRPr="00BE6424">
                    <w:rPr>
                      <w:lang w:val="es-ES_tradnl"/>
                    </w:rPr>
                    <w:t>122° E</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519D4681" w14:textId="77777777" w:rsidR="009A0FCF" w:rsidRPr="00BE6424" w:rsidRDefault="009A0FCF" w:rsidP="009B2C51">
                  <w:pPr>
                    <w:pStyle w:val="Tabletext"/>
                    <w:jc w:val="center"/>
                    <w:rPr>
                      <w:lang w:val="es-ES_tradnl"/>
                    </w:rPr>
                  </w:pPr>
                  <w:r w:rsidRPr="00BE6424">
                    <w:rPr>
                      <w:lang w:val="es-ES_tradnl"/>
                    </w:rPr>
                    <w:t>10 950</w:t>
                  </w:r>
                </w:p>
              </w:tc>
              <w:tc>
                <w:tcPr>
                  <w:tcW w:w="1853" w:type="dxa"/>
                  <w:tcBorders>
                    <w:top w:val="single" w:sz="4" w:space="0" w:color="auto"/>
                    <w:left w:val="single" w:sz="4" w:space="0" w:color="auto"/>
                    <w:bottom w:val="single" w:sz="4" w:space="0" w:color="auto"/>
                    <w:right w:val="single" w:sz="12" w:space="0" w:color="auto"/>
                  </w:tcBorders>
                  <w:noWrap/>
                  <w:vAlign w:val="center"/>
                  <w:hideMark/>
                </w:tcPr>
                <w:p w14:paraId="19A6B1C3" w14:textId="77777777" w:rsidR="009A0FCF" w:rsidRPr="00BE6424" w:rsidRDefault="009A0FCF" w:rsidP="009B2C51">
                  <w:pPr>
                    <w:pStyle w:val="Tabletext"/>
                    <w:jc w:val="center"/>
                    <w:rPr>
                      <w:lang w:val="es-ES_tradnl"/>
                    </w:rPr>
                  </w:pPr>
                  <w:r w:rsidRPr="00BE6424">
                    <w:rPr>
                      <w:lang w:val="es-ES_tradnl"/>
                    </w:rPr>
                    <w:t>11 197</w:t>
                  </w:r>
                </w:p>
              </w:tc>
            </w:tr>
            <w:tr w:rsidR="009A0FCF" w:rsidRPr="00BE6424" w14:paraId="6DFBEB1D" w14:textId="77777777" w:rsidTr="00213721">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hideMark/>
                </w:tcPr>
                <w:p w14:paraId="74ECB57A" w14:textId="77777777" w:rsidR="009A0FCF" w:rsidRPr="00BE6424" w:rsidRDefault="009A0FCF" w:rsidP="009B2C51">
                  <w:pPr>
                    <w:pStyle w:val="Tabletext"/>
                    <w:jc w:val="center"/>
                    <w:rPr>
                      <w:lang w:val="es-ES_tradnl"/>
                    </w:rPr>
                  </w:pPr>
                  <w:r w:rsidRPr="00BE6424">
                    <w:rPr>
                      <w:lang w:val="es-ES_tradnl"/>
                    </w:rPr>
                    <w:t>ASIASAT-AK</w:t>
                  </w:r>
                </w:p>
              </w:tc>
              <w:tc>
                <w:tcPr>
                  <w:tcW w:w="1006" w:type="dxa"/>
                  <w:tcBorders>
                    <w:top w:val="single" w:sz="4" w:space="0" w:color="auto"/>
                    <w:left w:val="single" w:sz="4" w:space="0" w:color="auto"/>
                    <w:bottom w:val="single" w:sz="12" w:space="0" w:color="auto"/>
                    <w:right w:val="single" w:sz="4" w:space="0" w:color="auto"/>
                  </w:tcBorders>
                  <w:noWrap/>
                  <w:hideMark/>
                </w:tcPr>
                <w:p w14:paraId="37FAF418" w14:textId="77777777" w:rsidR="009A0FCF" w:rsidRPr="00BE6424" w:rsidRDefault="009A0FCF" w:rsidP="009B2C51">
                  <w:pPr>
                    <w:pStyle w:val="Tabletext"/>
                    <w:jc w:val="center"/>
                    <w:rPr>
                      <w:lang w:val="es-ES_tradnl"/>
                    </w:rPr>
                  </w:pPr>
                  <w:r w:rsidRPr="00BE6424">
                    <w:rPr>
                      <w:lang w:val="es-ES_tradnl"/>
                    </w:rPr>
                    <w:t>122° E</w:t>
                  </w:r>
                </w:p>
              </w:tc>
              <w:tc>
                <w:tcPr>
                  <w:tcW w:w="1691" w:type="dxa"/>
                  <w:tcBorders>
                    <w:top w:val="single" w:sz="4" w:space="0" w:color="auto"/>
                    <w:left w:val="single" w:sz="4" w:space="0" w:color="auto"/>
                    <w:bottom w:val="single" w:sz="12" w:space="0" w:color="auto"/>
                    <w:right w:val="single" w:sz="4" w:space="0" w:color="auto"/>
                  </w:tcBorders>
                  <w:noWrap/>
                  <w:vAlign w:val="center"/>
                  <w:hideMark/>
                </w:tcPr>
                <w:p w14:paraId="3173106A" w14:textId="77777777" w:rsidR="009A0FCF" w:rsidRPr="00BE6424" w:rsidRDefault="009A0FCF" w:rsidP="009B2C51">
                  <w:pPr>
                    <w:pStyle w:val="Tabletext"/>
                    <w:jc w:val="center"/>
                    <w:rPr>
                      <w:lang w:val="es-ES_tradnl"/>
                    </w:rPr>
                  </w:pPr>
                  <w:r w:rsidRPr="00BE6424">
                    <w:rPr>
                      <w:lang w:val="es-ES_tradnl"/>
                    </w:rPr>
                    <w:t>11 453</w:t>
                  </w:r>
                </w:p>
              </w:tc>
              <w:tc>
                <w:tcPr>
                  <w:tcW w:w="1853" w:type="dxa"/>
                  <w:tcBorders>
                    <w:top w:val="single" w:sz="4" w:space="0" w:color="auto"/>
                    <w:left w:val="single" w:sz="4" w:space="0" w:color="auto"/>
                    <w:bottom w:val="single" w:sz="12" w:space="0" w:color="auto"/>
                    <w:right w:val="single" w:sz="12" w:space="0" w:color="auto"/>
                  </w:tcBorders>
                  <w:noWrap/>
                  <w:vAlign w:val="center"/>
                  <w:hideMark/>
                </w:tcPr>
                <w:p w14:paraId="2649883A" w14:textId="77777777" w:rsidR="009A0FCF" w:rsidRPr="00BE6424" w:rsidRDefault="009A0FCF" w:rsidP="009B2C51">
                  <w:pPr>
                    <w:pStyle w:val="Tabletext"/>
                    <w:jc w:val="center"/>
                    <w:rPr>
                      <w:lang w:val="es-ES_tradnl"/>
                    </w:rPr>
                  </w:pPr>
                  <w:r w:rsidRPr="00BE6424">
                    <w:rPr>
                      <w:lang w:val="es-ES_tradnl"/>
                    </w:rPr>
                    <w:t>11 700</w:t>
                  </w:r>
                </w:p>
              </w:tc>
            </w:tr>
            <w:tr w:rsidR="009A0FCF" w:rsidRPr="00BE6424" w14:paraId="04B0CEBE" w14:textId="77777777" w:rsidTr="00213721">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hideMark/>
                </w:tcPr>
                <w:p w14:paraId="7477B3C3" w14:textId="77777777" w:rsidR="009A0FCF" w:rsidRPr="00BE6424" w:rsidRDefault="009A0FCF" w:rsidP="009B2C51">
                  <w:pPr>
                    <w:pStyle w:val="Tabletext"/>
                    <w:jc w:val="center"/>
                    <w:rPr>
                      <w:lang w:val="es-ES_tradnl"/>
                    </w:rPr>
                  </w:pPr>
                  <w:r w:rsidRPr="00BE6424">
                    <w:rPr>
                      <w:lang w:val="es-ES_tradnl"/>
                    </w:rPr>
                    <w:t>ASIASAT-AK1</w:t>
                  </w:r>
                </w:p>
              </w:tc>
              <w:tc>
                <w:tcPr>
                  <w:tcW w:w="1006" w:type="dxa"/>
                  <w:tcBorders>
                    <w:top w:val="single" w:sz="4" w:space="0" w:color="auto"/>
                    <w:left w:val="single" w:sz="4" w:space="0" w:color="auto"/>
                    <w:bottom w:val="single" w:sz="12" w:space="0" w:color="auto"/>
                    <w:right w:val="single" w:sz="4" w:space="0" w:color="auto"/>
                  </w:tcBorders>
                  <w:noWrap/>
                  <w:hideMark/>
                </w:tcPr>
                <w:p w14:paraId="2F384656" w14:textId="77777777" w:rsidR="009A0FCF" w:rsidRPr="00BE6424" w:rsidRDefault="009A0FCF" w:rsidP="009B2C51">
                  <w:pPr>
                    <w:pStyle w:val="Tabletext"/>
                    <w:jc w:val="center"/>
                    <w:rPr>
                      <w:lang w:val="es-ES_tradnl"/>
                    </w:rPr>
                  </w:pPr>
                  <w:r w:rsidRPr="00BE6424">
                    <w:rPr>
                      <w:lang w:val="es-ES_tradnl"/>
                    </w:rPr>
                    <w:t>122° E</w:t>
                  </w:r>
                </w:p>
              </w:tc>
              <w:tc>
                <w:tcPr>
                  <w:tcW w:w="1691" w:type="dxa"/>
                  <w:tcBorders>
                    <w:top w:val="single" w:sz="4" w:space="0" w:color="auto"/>
                    <w:left w:val="single" w:sz="4" w:space="0" w:color="auto"/>
                    <w:bottom w:val="single" w:sz="12" w:space="0" w:color="auto"/>
                    <w:right w:val="single" w:sz="4" w:space="0" w:color="auto"/>
                  </w:tcBorders>
                  <w:noWrap/>
                  <w:vAlign w:val="center"/>
                  <w:hideMark/>
                </w:tcPr>
                <w:p w14:paraId="1CEF2CE2" w14:textId="77777777" w:rsidR="009A0FCF" w:rsidRPr="00BE6424" w:rsidRDefault="009A0FCF" w:rsidP="009B2C51">
                  <w:pPr>
                    <w:pStyle w:val="Tabletext"/>
                    <w:jc w:val="center"/>
                    <w:rPr>
                      <w:lang w:val="es-ES_tradnl"/>
                    </w:rPr>
                  </w:pPr>
                  <w:r w:rsidRPr="00BE6424">
                    <w:rPr>
                      <w:lang w:val="es-ES_tradnl"/>
                    </w:rPr>
                    <w:t>12 200</w:t>
                  </w:r>
                </w:p>
              </w:tc>
              <w:tc>
                <w:tcPr>
                  <w:tcW w:w="1853" w:type="dxa"/>
                  <w:tcBorders>
                    <w:top w:val="single" w:sz="4" w:space="0" w:color="auto"/>
                    <w:left w:val="single" w:sz="4" w:space="0" w:color="auto"/>
                    <w:bottom w:val="single" w:sz="12" w:space="0" w:color="auto"/>
                    <w:right w:val="single" w:sz="12" w:space="0" w:color="auto"/>
                  </w:tcBorders>
                  <w:noWrap/>
                  <w:vAlign w:val="center"/>
                  <w:hideMark/>
                </w:tcPr>
                <w:p w14:paraId="1E999333" w14:textId="77777777" w:rsidR="009A0FCF" w:rsidRPr="00BE6424" w:rsidRDefault="009A0FCF" w:rsidP="009B2C51">
                  <w:pPr>
                    <w:pStyle w:val="Tabletext"/>
                    <w:jc w:val="center"/>
                    <w:rPr>
                      <w:lang w:val="es-ES_tradnl"/>
                    </w:rPr>
                  </w:pPr>
                  <w:r w:rsidRPr="00BE6424">
                    <w:rPr>
                      <w:lang w:val="es-ES_tradnl"/>
                    </w:rPr>
                    <w:t>12 250</w:t>
                  </w:r>
                </w:p>
              </w:tc>
            </w:tr>
            <w:tr w:rsidR="009A0FCF" w:rsidRPr="00BE6424" w14:paraId="78D82705" w14:textId="77777777" w:rsidTr="00213721">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hideMark/>
                </w:tcPr>
                <w:p w14:paraId="0DF7FFE1" w14:textId="77777777" w:rsidR="009A0FCF" w:rsidRPr="00BE6424" w:rsidRDefault="009A0FCF" w:rsidP="009B2C51">
                  <w:pPr>
                    <w:pStyle w:val="Tabletext"/>
                    <w:jc w:val="center"/>
                    <w:rPr>
                      <w:lang w:val="es-ES_tradnl"/>
                    </w:rPr>
                  </w:pPr>
                  <w:r w:rsidRPr="00BE6424">
                    <w:rPr>
                      <w:lang w:val="es-ES_tradnl"/>
                    </w:rPr>
                    <w:t>ASIASAT-AKX</w:t>
                  </w:r>
                </w:p>
              </w:tc>
              <w:tc>
                <w:tcPr>
                  <w:tcW w:w="1006" w:type="dxa"/>
                  <w:tcBorders>
                    <w:top w:val="single" w:sz="4" w:space="0" w:color="auto"/>
                    <w:left w:val="single" w:sz="4" w:space="0" w:color="auto"/>
                    <w:bottom w:val="single" w:sz="4" w:space="0" w:color="auto"/>
                    <w:right w:val="single" w:sz="4" w:space="0" w:color="auto"/>
                  </w:tcBorders>
                  <w:noWrap/>
                  <w:hideMark/>
                </w:tcPr>
                <w:p w14:paraId="7E201EB2" w14:textId="77777777" w:rsidR="009A0FCF" w:rsidRPr="00BE6424" w:rsidRDefault="009A0FCF" w:rsidP="009B2C51">
                  <w:pPr>
                    <w:pStyle w:val="Tabletext"/>
                    <w:jc w:val="center"/>
                    <w:rPr>
                      <w:lang w:val="es-ES_tradnl"/>
                    </w:rPr>
                  </w:pPr>
                  <w:r w:rsidRPr="00BE6424">
                    <w:rPr>
                      <w:lang w:val="es-ES_tradnl"/>
                    </w:rPr>
                    <w:t>122° E</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31468934" w14:textId="77777777" w:rsidR="009A0FCF" w:rsidRPr="00BE6424" w:rsidRDefault="009A0FCF" w:rsidP="009B2C51">
                  <w:pPr>
                    <w:pStyle w:val="Tabletext"/>
                    <w:jc w:val="center"/>
                    <w:rPr>
                      <w:lang w:val="es-ES_tradnl"/>
                    </w:rPr>
                  </w:pPr>
                  <w:r w:rsidRPr="00BE6424">
                    <w:rPr>
                      <w:lang w:val="es-ES_tradnl"/>
                    </w:rPr>
                    <w:t>6 425</w:t>
                  </w:r>
                </w:p>
              </w:tc>
              <w:tc>
                <w:tcPr>
                  <w:tcW w:w="1853" w:type="dxa"/>
                  <w:tcBorders>
                    <w:top w:val="single" w:sz="4" w:space="0" w:color="auto"/>
                    <w:left w:val="single" w:sz="4" w:space="0" w:color="auto"/>
                    <w:bottom w:val="single" w:sz="4" w:space="0" w:color="auto"/>
                    <w:right w:val="single" w:sz="12" w:space="0" w:color="auto"/>
                  </w:tcBorders>
                  <w:noWrap/>
                  <w:vAlign w:val="center"/>
                  <w:hideMark/>
                </w:tcPr>
                <w:p w14:paraId="7A0A5126" w14:textId="77777777" w:rsidR="009A0FCF" w:rsidRPr="00BE6424" w:rsidRDefault="009A0FCF" w:rsidP="009B2C51">
                  <w:pPr>
                    <w:pStyle w:val="Tabletext"/>
                    <w:jc w:val="center"/>
                    <w:rPr>
                      <w:lang w:val="es-ES_tradnl"/>
                    </w:rPr>
                  </w:pPr>
                  <w:r w:rsidRPr="00BE6424">
                    <w:rPr>
                      <w:lang w:val="es-ES_tradnl"/>
                    </w:rPr>
                    <w:t>6 725</w:t>
                  </w:r>
                </w:p>
              </w:tc>
            </w:tr>
            <w:tr w:rsidR="009A0FCF" w:rsidRPr="00BE6424" w14:paraId="5CDE17DC" w14:textId="77777777" w:rsidTr="00213721">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hideMark/>
                </w:tcPr>
                <w:p w14:paraId="175DF3B7" w14:textId="77777777" w:rsidR="009A0FCF" w:rsidRPr="00BE6424" w:rsidRDefault="009A0FCF" w:rsidP="009B2C51">
                  <w:pPr>
                    <w:pStyle w:val="Tabletext"/>
                    <w:jc w:val="center"/>
                    <w:rPr>
                      <w:lang w:val="es-ES_tradnl"/>
                    </w:rPr>
                  </w:pPr>
                  <w:r w:rsidRPr="00BE6424">
                    <w:rPr>
                      <w:lang w:val="es-ES_tradnl"/>
                    </w:rPr>
                    <w:t>ASIASAT-AKX</w:t>
                  </w:r>
                </w:p>
              </w:tc>
              <w:tc>
                <w:tcPr>
                  <w:tcW w:w="1006" w:type="dxa"/>
                  <w:tcBorders>
                    <w:top w:val="single" w:sz="4" w:space="0" w:color="auto"/>
                    <w:left w:val="single" w:sz="4" w:space="0" w:color="auto"/>
                    <w:bottom w:val="single" w:sz="4" w:space="0" w:color="auto"/>
                    <w:right w:val="single" w:sz="4" w:space="0" w:color="auto"/>
                  </w:tcBorders>
                  <w:noWrap/>
                  <w:hideMark/>
                </w:tcPr>
                <w:p w14:paraId="0A5B6191" w14:textId="77777777" w:rsidR="009A0FCF" w:rsidRPr="00BE6424" w:rsidRDefault="009A0FCF" w:rsidP="009B2C51">
                  <w:pPr>
                    <w:pStyle w:val="Tabletext"/>
                    <w:jc w:val="center"/>
                    <w:rPr>
                      <w:lang w:val="es-ES_tradnl"/>
                    </w:rPr>
                  </w:pPr>
                  <w:r w:rsidRPr="00BE6424">
                    <w:rPr>
                      <w:lang w:val="es-ES_tradnl"/>
                    </w:rPr>
                    <w:t>122° E</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6EBA9FFC" w14:textId="77777777" w:rsidR="009A0FCF" w:rsidRPr="00BE6424" w:rsidRDefault="009A0FCF" w:rsidP="009B2C51">
                  <w:pPr>
                    <w:pStyle w:val="Tabletext"/>
                    <w:jc w:val="center"/>
                    <w:rPr>
                      <w:lang w:val="es-ES_tradnl"/>
                    </w:rPr>
                  </w:pPr>
                  <w:r w:rsidRPr="00BE6424">
                    <w:rPr>
                      <w:lang w:val="es-ES_tradnl"/>
                    </w:rPr>
                    <w:t>10 953</w:t>
                  </w:r>
                </w:p>
              </w:tc>
              <w:tc>
                <w:tcPr>
                  <w:tcW w:w="1853" w:type="dxa"/>
                  <w:tcBorders>
                    <w:top w:val="single" w:sz="4" w:space="0" w:color="auto"/>
                    <w:left w:val="single" w:sz="4" w:space="0" w:color="auto"/>
                    <w:bottom w:val="single" w:sz="4" w:space="0" w:color="auto"/>
                    <w:right w:val="single" w:sz="12" w:space="0" w:color="auto"/>
                  </w:tcBorders>
                  <w:noWrap/>
                  <w:vAlign w:val="center"/>
                  <w:hideMark/>
                </w:tcPr>
                <w:p w14:paraId="08987C1D" w14:textId="77777777" w:rsidR="009A0FCF" w:rsidRPr="00BE6424" w:rsidRDefault="009A0FCF" w:rsidP="009B2C51">
                  <w:pPr>
                    <w:pStyle w:val="Tabletext"/>
                    <w:jc w:val="center"/>
                    <w:rPr>
                      <w:lang w:val="es-ES_tradnl"/>
                    </w:rPr>
                  </w:pPr>
                  <w:r w:rsidRPr="00BE6424">
                    <w:rPr>
                      <w:lang w:val="es-ES_tradnl"/>
                    </w:rPr>
                    <w:t>11 200</w:t>
                  </w:r>
                </w:p>
              </w:tc>
            </w:tr>
            <w:tr w:rsidR="009A0FCF" w:rsidRPr="00BE6424" w14:paraId="74D7DDF7" w14:textId="77777777" w:rsidTr="00213721">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hideMark/>
                </w:tcPr>
                <w:p w14:paraId="4F463D05" w14:textId="77777777" w:rsidR="009A0FCF" w:rsidRPr="00BE6424" w:rsidRDefault="009A0FCF" w:rsidP="009B2C51">
                  <w:pPr>
                    <w:pStyle w:val="Tabletext"/>
                    <w:jc w:val="center"/>
                    <w:rPr>
                      <w:lang w:val="es-ES_tradnl"/>
                    </w:rPr>
                  </w:pPr>
                  <w:r w:rsidRPr="00BE6424">
                    <w:rPr>
                      <w:lang w:val="es-ES_tradnl"/>
                    </w:rPr>
                    <w:t>ASIASAT-AKX</w:t>
                  </w:r>
                </w:p>
              </w:tc>
              <w:tc>
                <w:tcPr>
                  <w:tcW w:w="1006" w:type="dxa"/>
                  <w:tcBorders>
                    <w:top w:val="single" w:sz="4" w:space="0" w:color="auto"/>
                    <w:left w:val="single" w:sz="4" w:space="0" w:color="auto"/>
                    <w:bottom w:val="single" w:sz="4" w:space="0" w:color="auto"/>
                    <w:right w:val="single" w:sz="4" w:space="0" w:color="auto"/>
                  </w:tcBorders>
                  <w:noWrap/>
                  <w:hideMark/>
                </w:tcPr>
                <w:p w14:paraId="549FCA72" w14:textId="77777777" w:rsidR="009A0FCF" w:rsidRPr="00BE6424" w:rsidRDefault="009A0FCF" w:rsidP="009B2C51">
                  <w:pPr>
                    <w:pStyle w:val="Tabletext"/>
                    <w:jc w:val="center"/>
                    <w:rPr>
                      <w:lang w:val="es-ES_tradnl"/>
                    </w:rPr>
                  </w:pPr>
                  <w:r w:rsidRPr="00BE6424">
                    <w:rPr>
                      <w:lang w:val="es-ES_tradnl"/>
                    </w:rPr>
                    <w:t>122° E</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11266B42" w14:textId="77777777" w:rsidR="009A0FCF" w:rsidRPr="00BE6424" w:rsidRDefault="009A0FCF" w:rsidP="009B2C51">
                  <w:pPr>
                    <w:pStyle w:val="Tabletext"/>
                    <w:jc w:val="center"/>
                    <w:rPr>
                      <w:lang w:val="es-ES_tradnl"/>
                    </w:rPr>
                  </w:pPr>
                  <w:r w:rsidRPr="00BE6424">
                    <w:rPr>
                      <w:lang w:val="es-ES_tradnl"/>
                    </w:rPr>
                    <w:t>11 450</w:t>
                  </w:r>
                </w:p>
              </w:tc>
              <w:tc>
                <w:tcPr>
                  <w:tcW w:w="1853" w:type="dxa"/>
                  <w:tcBorders>
                    <w:top w:val="single" w:sz="4" w:space="0" w:color="auto"/>
                    <w:left w:val="single" w:sz="4" w:space="0" w:color="auto"/>
                    <w:bottom w:val="single" w:sz="4" w:space="0" w:color="auto"/>
                    <w:right w:val="single" w:sz="12" w:space="0" w:color="auto"/>
                  </w:tcBorders>
                  <w:noWrap/>
                  <w:vAlign w:val="center"/>
                  <w:hideMark/>
                </w:tcPr>
                <w:p w14:paraId="09ED6F6A" w14:textId="77777777" w:rsidR="009A0FCF" w:rsidRPr="00BE6424" w:rsidRDefault="009A0FCF" w:rsidP="009B2C51">
                  <w:pPr>
                    <w:pStyle w:val="Tabletext"/>
                    <w:jc w:val="center"/>
                    <w:rPr>
                      <w:lang w:val="es-ES_tradnl"/>
                    </w:rPr>
                  </w:pPr>
                  <w:r w:rsidRPr="00BE6424">
                    <w:rPr>
                      <w:lang w:val="es-ES_tradnl"/>
                    </w:rPr>
                    <w:t>11 699</w:t>
                  </w:r>
                </w:p>
              </w:tc>
            </w:tr>
            <w:tr w:rsidR="009A0FCF" w:rsidRPr="00BE6424" w14:paraId="60339B41" w14:textId="77777777" w:rsidTr="00213721">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hideMark/>
                </w:tcPr>
                <w:p w14:paraId="186B503B" w14:textId="77777777" w:rsidR="009A0FCF" w:rsidRPr="00BE6424" w:rsidRDefault="009A0FCF" w:rsidP="009B2C51">
                  <w:pPr>
                    <w:pStyle w:val="Tabletext"/>
                    <w:jc w:val="center"/>
                    <w:rPr>
                      <w:lang w:val="es-ES_tradnl"/>
                    </w:rPr>
                  </w:pPr>
                  <w:r w:rsidRPr="00BE6424">
                    <w:rPr>
                      <w:lang w:val="es-ES_tradnl"/>
                    </w:rPr>
                    <w:t>ASIASAT-AKX</w:t>
                  </w:r>
                </w:p>
              </w:tc>
              <w:tc>
                <w:tcPr>
                  <w:tcW w:w="1006" w:type="dxa"/>
                  <w:tcBorders>
                    <w:top w:val="single" w:sz="4" w:space="0" w:color="auto"/>
                    <w:left w:val="single" w:sz="4" w:space="0" w:color="auto"/>
                    <w:bottom w:val="single" w:sz="12" w:space="0" w:color="auto"/>
                    <w:right w:val="single" w:sz="4" w:space="0" w:color="auto"/>
                  </w:tcBorders>
                  <w:noWrap/>
                  <w:hideMark/>
                </w:tcPr>
                <w:p w14:paraId="67F1B8E1" w14:textId="77777777" w:rsidR="009A0FCF" w:rsidRPr="00BE6424" w:rsidRDefault="009A0FCF" w:rsidP="009B2C51">
                  <w:pPr>
                    <w:pStyle w:val="Tabletext"/>
                    <w:jc w:val="center"/>
                    <w:rPr>
                      <w:lang w:val="es-ES_tradnl"/>
                    </w:rPr>
                  </w:pPr>
                  <w:r w:rsidRPr="00BE6424">
                    <w:rPr>
                      <w:lang w:val="es-ES_tradnl"/>
                    </w:rPr>
                    <w:t>122° E</w:t>
                  </w:r>
                </w:p>
              </w:tc>
              <w:tc>
                <w:tcPr>
                  <w:tcW w:w="1691" w:type="dxa"/>
                  <w:tcBorders>
                    <w:top w:val="single" w:sz="4" w:space="0" w:color="auto"/>
                    <w:left w:val="single" w:sz="4" w:space="0" w:color="auto"/>
                    <w:bottom w:val="single" w:sz="12" w:space="0" w:color="auto"/>
                    <w:right w:val="single" w:sz="4" w:space="0" w:color="auto"/>
                  </w:tcBorders>
                  <w:noWrap/>
                  <w:vAlign w:val="center"/>
                  <w:hideMark/>
                </w:tcPr>
                <w:p w14:paraId="3F4E7A96" w14:textId="77777777" w:rsidR="009A0FCF" w:rsidRPr="00BE6424" w:rsidRDefault="009A0FCF" w:rsidP="009B2C51">
                  <w:pPr>
                    <w:pStyle w:val="Tabletext"/>
                    <w:jc w:val="center"/>
                    <w:rPr>
                      <w:lang w:val="es-ES_tradnl"/>
                    </w:rPr>
                  </w:pPr>
                  <w:r w:rsidRPr="00BE6424">
                    <w:rPr>
                      <w:lang w:val="es-ES_tradnl"/>
                    </w:rPr>
                    <w:t>13 753</w:t>
                  </w:r>
                </w:p>
              </w:tc>
              <w:tc>
                <w:tcPr>
                  <w:tcW w:w="1853" w:type="dxa"/>
                  <w:tcBorders>
                    <w:top w:val="single" w:sz="4" w:space="0" w:color="auto"/>
                    <w:left w:val="single" w:sz="4" w:space="0" w:color="auto"/>
                    <w:bottom w:val="single" w:sz="12" w:space="0" w:color="auto"/>
                    <w:right w:val="single" w:sz="12" w:space="0" w:color="auto"/>
                  </w:tcBorders>
                  <w:noWrap/>
                  <w:vAlign w:val="center"/>
                  <w:hideMark/>
                </w:tcPr>
                <w:p w14:paraId="40C1A715" w14:textId="77777777" w:rsidR="009A0FCF" w:rsidRPr="00BE6424" w:rsidRDefault="009A0FCF" w:rsidP="009B2C51">
                  <w:pPr>
                    <w:pStyle w:val="Tabletext"/>
                    <w:jc w:val="center"/>
                    <w:rPr>
                      <w:lang w:val="es-ES_tradnl"/>
                    </w:rPr>
                  </w:pPr>
                  <w:r w:rsidRPr="00BE6424">
                    <w:rPr>
                      <w:lang w:val="es-ES_tradnl"/>
                    </w:rPr>
                    <w:t>14 000</w:t>
                  </w:r>
                </w:p>
              </w:tc>
            </w:tr>
          </w:tbl>
          <w:p w14:paraId="36D80985" w14:textId="77777777" w:rsidR="009A0FCF" w:rsidRPr="00BE6424" w:rsidRDefault="009A0FCF" w:rsidP="009B2C51">
            <w:pPr>
              <w:pStyle w:val="Tabletext"/>
              <w:keepLines/>
              <w:tabs>
                <w:tab w:val="clear" w:pos="1134"/>
                <w:tab w:val="clear" w:pos="2268"/>
              </w:tabs>
              <w:spacing w:before="120"/>
              <w:rPr>
                <w:i/>
                <w:iCs/>
                <w:sz w:val="22"/>
                <w:lang w:val="es-ES_tradnl"/>
              </w:rPr>
            </w:pPr>
            <w:r w:rsidRPr="00BE6424">
              <w:rPr>
                <w:i/>
                <w:iCs/>
                <w:sz w:val="22"/>
                <w:lang w:val="es-ES_tradnl"/>
              </w:rPr>
              <w:t>Solicitud relativa a las redes de satélites INTELSAT8 328.5E e INTELSAT9 328.5E</w:t>
            </w:r>
          </w:p>
          <w:p w14:paraId="18F2054A" w14:textId="194A4654" w:rsidR="009A0FCF" w:rsidRPr="00BE6424" w:rsidRDefault="009A0FCF" w:rsidP="009B2C51">
            <w:pPr>
              <w:pStyle w:val="Tabletext"/>
              <w:keepLines/>
              <w:tabs>
                <w:tab w:val="clear" w:pos="1134"/>
                <w:tab w:val="clear" w:pos="2268"/>
              </w:tabs>
              <w:spacing w:before="120"/>
              <w:rPr>
                <w:sz w:val="22"/>
                <w:lang w:val="es-ES_tradnl"/>
              </w:rPr>
            </w:pPr>
            <w:r w:rsidRPr="00BE6424">
              <w:rPr>
                <w:sz w:val="22"/>
                <w:lang w:val="es-ES_tradnl"/>
              </w:rPr>
              <w:t>La CMR-19 consideró la solicitud específica formulada en el Documento 46(Add.22) en relación con el mantenimiento de las asignaciones de frecuencias a las redes de satélites INTELSAT8 328.5E e INTELSAT9 328.5E en las bandas de frecuencias 10 950</w:t>
            </w:r>
            <w:r w:rsidRPr="00BE6424">
              <w:rPr>
                <w:sz w:val="22"/>
                <w:lang w:val="es-ES_tradnl"/>
              </w:rPr>
              <w:noBreakHyphen/>
              <w:t>11 195 MHz y 11 197,98</w:t>
            </w:r>
            <w:r w:rsidRPr="00BE6424">
              <w:rPr>
                <w:sz w:val="22"/>
                <w:lang w:val="es-ES_tradnl"/>
              </w:rPr>
              <w:noBreakHyphen/>
              <w:t>11 198,03 MHz. La CMR-19 decidió acceder a la solicitud específica formulada en ese documento, habida cuenta de las cuestiones particulares planteadas en el documento. Por consiguiente, la CMR-19 encargó a la Oficina de Radiocomunicaciones que conserve las asignaciones de frecuencias mencionadas en el Registro Internacional de Frecuencias.</w:t>
            </w:r>
          </w:p>
          <w:p w14:paraId="17C1B6C9" w14:textId="77777777" w:rsidR="009A0FCF" w:rsidRPr="00BE6424" w:rsidRDefault="009A0FCF" w:rsidP="009B2C51">
            <w:pPr>
              <w:pStyle w:val="Tabletext"/>
              <w:tabs>
                <w:tab w:val="clear" w:pos="1134"/>
                <w:tab w:val="clear" w:pos="2268"/>
              </w:tabs>
              <w:spacing w:before="120"/>
              <w:rPr>
                <w:b/>
                <w:sz w:val="22"/>
                <w:lang w:val="es-ES_tradnl"/>
              </w:rPr>
            </w:pPr>
            <w:r w:rsidRPr="00BE6424">
              <w:rPr>
                <w:b/>
                <w:sz w:val="22"/>
                <w:lang w:val="es-ES_tradnl"/>
              </w:rPr>
              <w:t>Solicitud de inclusión en los planes de los Apéndices 30 y 30A del RR de 10 asignaciones en la posición orbital 1,9° E en sustitución de las asignaciones correspondientes a Bulgaria que figuran en los planes en 1,2° W</w:t>
            </w:r>
          </w:p>
          <w:p w14:paraId="7D8DFAC2" w14:textId="1903657A" w:rsidR="009A0FCF" w:rsidRPr="00BE6424" w:rsidRDefault="009A0FCF" w:rsidP="009B2C51">
            <w:pPr>
              <w:pStyle w:val="Tabletext"/>
              <w:keepLines/>
              <w:tabs>
                <w:tab w:val="clear" w:pos="1134"/>
                <w:tab w:val="clear" w:pos="2268"/>
              </w:tabs>
              <w:spacing w:before="120"/>
              <w:rPr>
                <w:sz w:val="22"/>
                <w:lang w:val="es-ES_tradnl"/>
              </w:rPr>
            </w:pPr>
            <w:r w:rsidRPr="00BE6424">
              <w:rPr>
                <w:sz w:val="22"/>
                <w:lang w:val="es-ES_tradnl"/>
              </w:rPr>
              <w:t xml:space="preserve">La CMR-19 consideró la solicitud específica formulada en el Documento 43(Add.2) en relación con la inclusión en los planes de los Apéndices </w:t>
            </w:r>
            <w:r w:rsidRPr="00BE6424">
              <w:rPr>
                <w:b/>
                <w:bCs/>
                <w:sz w:val="22"/>
                <w:lang w:val="es-ES_tradnl"/>
              </w:rPr>
              <w:t>30</w:t>
            </w:r>
            <w:r w:rsidRPr="00BE6424">
              <w:rPr>
                <w:sz w:val="22"/>
                <w:lang w:val="es-ES_tradnl"/>
              </w:rPr>
              <w:t xml:space="preserve"> y </w:t>
            </w:r>
            <w:r w:rsidRPr="00BE6424">
              <w:rPr>
                <w:b/>
                <w:bCs/>
                <w:sz w:val="22"/>
                <w:lang w:val="es-ES_tradnl"/>
              </w:rPr>
              <w:t>30A</w:t>
            </w:r>
            <w:r w:rsidRPr="00BE6424">
              <w:rPr>
                <w:sz w:val="22"/>
                <w:lang w:val="es-ES_tradnl"/>
              </w:rPr>
              <w:t xml:space="preserve"> del RR de 10 asignaciones en la posición orbital 1,9° E en sustitución de las asignaciones correspondientes a Bulgaria consignadas en los planes en la posición 1,2° W, de conformidad con el número 4.1.27 del Artículo 4 de los Apéndices </w:t>
            </w:r>
            <w:r w:rsidRPr="00BE6424">
              <w:rPr>
                <w:b/>
                <w:bCs/>
                <w:sz w:val="22"/>
                <w:lang w:val="es-ES_tradnl"/>
              </w:rPr>
              <w:t>30</w:t>
            </w:r>
            <w:r w:rsidRPr="00BE6424">
              <w:rPr>
                <w:sz w:val="22"/>
                <w:lang w:val="es-ES_tradnl"/>
              </w:rPr>
              <w:t xml:space="preserve"> y </w:t>
            </w:r>
            <w:r w:rsidRPr="00BE6424">
              <w:rPr>
                <w:b/>
                <w:bCs/>
                <w:sz w:val="22"/>
                <w:lang w:val="es-ES_tradnl"/>
              </w:rPr>
              <w:t>30A</w:t>
            </w:r>
            <w:r w:rsidRPr="00BE6424">
              <w:rPr>
                <w:sz w:val="22"/>
                <w:lang w:val="es-ES_tradnl"/>
              </w:rPr>
              <w:t>. Reconociendo que esta solicitud está relacionada con una decisión de la CMR</w:t>
            </w:r>
            <w:r w:rsidRPr="00BE6424">
              <w:rPr>
                <w:sz w:val="22"/>
                <w:lang w:val="es-ES_tradnl"/>
              </w:rPr>
              <w:noBreakHyphen/>
              <w:t>12 sobre el mismo tema y habida cuenta de los resultados de las actividades realizadas desde la</w:t>
            </w:r>
            <w:r w:rsidR="009B2C51" w:rsidRPr="00BE6424">
              <w:rPr>
                <w:sz w:val="22"/>
                <w:lang w:val="es-ES_tradnl"/>
              </w:rPr>
              <w:t> </w:t>
            </w:r>
            <w:r w:rsidRPr="00BE6424">
              <w:rPr>
                <w:sz w:val="22"/>
                <w:lang w:val="es-ES_tradnl"/>
              </w:rPr>
              <w:t>CMR</w:t>
            </w:r>
            <w:r w:rsidRPr="00BE6424">
              <w:rPr>
                <w:sz w:val="22"/>
                <w:lang w:val="es-ES_tradnl"/>
              </w:rPr>
              <w:noBreakHyphen/>
              <w:t xml:space="preserve">12 y la finalización exitosa del procedimiento del Artículo 4 del Apéndice </w:t>
            </w:r>
            <w:r w:rsidRPr="00BE6424">
              <w:rPr>
                <w:b/>
                <w:bCs/>
                <w:sz w:val="22"/>
                <w:lang w:val="es-ES_tradnl"/>
              </w:rPr>
              <w:t>30</w:t>
            </w:r>
            <w:r w:rsidRPr="00BE6424">
              <w:rPr>
                <w:sz w:val="22"/>
                <w:lang w:val="es-ES_tradnl"/>
              </w:rPr>
              <w:t xml:space="preserve"> del RR y la presentación de la notificación conforme al Artículo 4 del Apéndice </w:t>
            </w:r>
            <w:r w:rsidRPr="00BE6424">
              <w:rPr>
                <w:b/>
                <w:bCs/>
                <w:sz w:val="22"/>
                <w:lang w:val="es-ES_tradnl"/>
              </w:rPr>
              <w:t>30</w:t>
            </w:r>
            <w:r w:rsidRPr="00BE6424">
              <w:rPr>
                <w:sz w:val="22"/>
                <w:lang w:val="es-ES_tradnl"/>
              </w:rPr>
              <w:t xml:space="preserve"> del RR para canales del SRS en la banda de frecuencias 11,7-12,2 GHz en la posición orbital 1,9° E, la CMR-19 decidió acceder a la solicitud.</w:t>
            </w:r>
          </w:p>
          <w:p w14:paraId="5BA4134A" w14:textId="0381C738" w:rsidR="00B03747" w:rsidRPr="00BE6424" w:rsidRDefault="009A0FCF" w:rsidP="009B2C51">
            <w:pPr>
              <w:pStyle w:val="Tabletext"/>
              <w:keepLines/>
              <w:tabs>
                <w:tab w:val="clear" w:pos="1134"/>
                <w:tab w:val="clear" w:pos="2268"/>
              </w:tabs>
              <w:spacing w:before="120"/>
              <w:rPr>
                <w:sz w:val="22"/>
                <w:lang w:val="es-ES_tradnl"/>
              </w:rPr>
            </w:pPr>
            <w:r w:rsidRPr="00BE6424">
              <w:rPr>
                <w:sz w:val="22"/>
                <w:lang w:val="es-ES_tradnl"/>
              </w:rPr>
              <w:t xml:space="preserve">La CMR-19 encargó a la Oficina de Radiocomunicaciones que incluya en los Planes de los Apéndices </w:t>
            </w:r>
            <w:r w:rsidRPr="00BE6424">
              <w:rPr>
                <w:b/>
                <w:bCs/>
                <w:sz w:val="22"/>
                <w:lang w:val="es-ES_tradnl"/>
              </w:rPr>
              <w:t>30</w:t>
            </w:r>
            <w:r w:rsidRPr="00BE6424">
              <w:rPr>
                <w:sz w:val="22"/>
                <w:lang w:val="es-ES_tradnl"/>
              </w:rPr>
              <w:t xml:space="preserve"> y </w:t>
            </w:r>
            <w:r w:rsidRPr="00BE6424">
              <w:rPr>
                <w:b/>
                <w:bCs/>
                <w:sz w:val="22"/>
                <w:lang w:val="es-ES_tradnl"/>
              </w:rPr>
              <w:t>30A</w:t>
            </w:r>
            <w:r w:rsidRPr="00BE6424">
              <w:rPr>
                <w:sz w:val="22"/>
                <w:lang w:val="es-ES_tradnl"/>
              </w:rPr>
              <w:t xml:space="preserve"> del RR diez canales del SRS y de enlaces de conexión del SRS de 33 MHz, a saber, los canales 1, 2, 3, 4, 5, 6, 7, 8, 17 y 18, con las características indicadas en el Cuadro 1 siguiente, para la Administración de Bulgaria. Una vez finalizada dicha inclusión, la Oficina de Radiocomunicaciones suprimirá las actuales asignaciones en la posición 1,2° W de la Administración de Bulgaria de los Planes de los Apéndices </w:t>
            </w:r>
            <w:r w:rsidRPr="00BE6424">
              <w:rPr>
                <w:b/>
                <w:bCs/>
                <w:sz w:val="22"/>
                <w:lang w:val="es-ES_tradnl"/>
              </w:rPr>
              <w:t>30</w:t>
            </w:r>
            <w:r w:rsidRPr="00BE6424">
              <w:rPr>
                <w:sz w:val="22"/>
                <w:lang w:val="es-ES_tradnl"/>
              </w:rPr>
              <w:t xml:space="preserve"> y </w:t>
            </w:r>
            <w:r w:rsidRPr="00BE6424">
              <w:rPr>
                <w:b/>
                <w:bCs/>
                <w:sz w:val="22"/>
                <w:lang w:val="es-ES_tradnl"/>
              </w:rPr>
              <w:t>30A</w:t>
            </w:r>
            <w:r w:rsidRPr="00BE6424">
              <w:rPr>
                <w:sz w:val="22"/>
                <w:lang w:val="es-ES_tradnl"/>
              </w:rPr>
              <w:t xml:space="preserve"> y suprimirá las asignaciones de frecuencias correspondientes a los 10 canales indicados de la Lista de usos adicionales y la entrada del Registro Internacional correspondiente a la red de satélites BULSAT</w:t>
            </w:r>
            <w:r w:rsidR="00C970C4" w:rsidRPr="00BE6424">
              <w:rPr>
                <w:sz w:val="22"/>
                <w:lang w:val="es-ES_tradnl"/>
              </w:rPr>
              <w:noBreakHyphen/>
            </w:r>
            <w:r w:rsidRPr="00BE6424">
              <w:rPr>
                <w:sz w:val="22"/>
                <w:lang w:val="es-ES_tradnl"/>
              </w:rPr>
              <w:t>BSS</w:t>
            </w:r>
            <w:r w:rsidR="00C970C4" w:rsidRPr="00BE6424">
              <w:rPr>
                <w:sz w:val="22"/>
                <w:lang w:val="es-ES_tradnl"/>
              </w:rPr>
              <w:noBreakHyphen/>
            </w:r>
            <w:r w:rsidRPr="00BE6424">
              <w:rPr>
                <w:sz w:val="22"/>
                <w:lang w:val="es-ES_tradnl"/>
              </w:rPr>
              <w:t>1.2W</w:t>
            </w:r>
            <w:r w:rsidR="00C970C4" w:rsidRPr="00BE6424">
              <w:rPr>
                <w:sz w:val="22"/>
                <w:lang w:val="es-ES_tradnl"/>
              </w:rPr>
              <w:noBreakHyphen/>
            </w:r>
            <w:r w:rsidRPr="00BE6424">
              <w:rPr>
                <w:sz w:val="22"/>
                <w:lang w:val="es-ES_tradnl"/>
              </w:rPr>
              <w:t>W, como se muestra en el Cuadro 2 siguiente.</w:t>
            </w:r>
          </w:p>
          <w:p w14:paraId="1B5AF79F" w14:textId="77777777" w:rsidR="00027FE0" w:rsidRDefault="00027FE0" w:rsidP="009B2C51">
            <w:pPr>
              <w:pStyle w:val="TableNoTitle"/>
              <w:keepNext w:val="0"/>
              <w:keepLines w:val="0"/>
              <w:spacing w:before="240" w:line="240" w:lineRule="auto"/>
              <w:rPr>
                <w:b w:val="0"/>
                <w:bCs/>
                <w:lang w:val="es-ES_tradnl"/>
              </w:rPr>
            </w:pPr>
          </w:p>
          <w:p w14:paraId="50FD9AE1" w14:textId="77777777" w:rsidR="00027FE0" w:rsidRDefault="00027FE0" w:rsidP="009B2C51">
            <w:pPr>
              <w:pStyle w:val="TableNoTitle"/>
              <w:keepNext w:val="0"/>
              <w:keepLines w:val="0"/>
              <w:spacing w:before="240" w:line="240" w:lineRule="auto"/>
              <w:rPr>
                <w:b w:val="0"/>
                <w:bCs/>
                <w:lang w:val="es-ES_tradnl"/>
              </w:rPr>
            </w:pPr>
          </w:p>
          <w:p w14:paraId="1FC1EFA4" w14:textId="77777777" w:rsidR="00027FE0" w:rsidRDefault="00027FE0" w:rsidP="009B2C51">
            <w:pPr>
              <w:pStyle w:val="TableNoTitle"/>
              <w:keepNext w:val="0"/>
              <w:keepLines w:val="0"/>
              <w:spacing w:before="240" w:line="240" w:lineRule="auto"/>
              <w:rPr>
                <w:b w:val="0"/>
                <w:bCs/>
                <w:lang w:val="es-ES_tradnl"/>
              </w:rPr>
            </w:pPr>
          </w:p>
          <w:p w14:paraId="2243CEB0" w14:textId="2C2B9A0F" w:rsidR="009A0FCF" w:rsidRPr="00BE6424" w:rsidRDefault="009B2C51" w:rsidP="009B2C51">
            <w:pPr>
              <w:pStyle w:val="TableNoTitle"/>
              <w:keepNext w:val="0"/>
              <w:keepLines w:val="0"/>
              <w:spacing w:before="240" w:line="240" w:lineRule="auto"/>
              <w:rPr>
                <w:lang w:val="es-ES_tradnl"/>
              </w:rPr>
            </w:pPr>
            <w:r w:rsidRPr="00BE6424">
              <w:rPr>
                <w:b w:val="0"/>
                <w:bCs/>
                <w:lang w:val="es-ES_tradnl"/>
              </w:rPr>
              <w:t>CUADRO 1</w:t>
            </w:r>
          </w:p>
          <w:p w14:paraId="1E5CF1BC" w14:textId="77777777" w:rsidR="009A0FCF" w:rsidRPr="00BE6424" w:rsidRDefault="009A0FCF" w:rsidP="009B2C51">
            <w:pPr>
              <w:pStyle w:val="TableNoTitle"/>
              <w:keepNext w:val="0"/>
              <w:keepLines w:val="0"/>
              <w:spacing w:before="120" w:line="240" w:lineRule="auto"/>
              <w:rPr>
                <w:lang w:val="es-ES_tradnl"/>
              </w:rPr>
            </w:pPr>
            <w:r w:rsidRPr="00BE6424">
              <w:rPr>
                <w:lang w:val="es-ES_tradnl"/>
              </w:rPr>
              <w:t>Lista de características de las nuevas asignaciones del Plan del</w:t>
            </w:r>
            <w:r w:rsidRPr="00BE6424">
              <w:rPr>
                <w:lang w:val="es-ES_tradnl"/>
              </w:rPr>
              <w:br/>
              <w:t>Apéndice 30 y 30A del RR para la Administración de Bulgaria</w:t>
            </w:r>
          </w:p>
          <w:tbl>
            <w:tblPr>
              <w:tblStyle w:val="TableGrid"/>
              <w:tblW w:w="9380" w:type="dxa"/>
              <w:jc w:val="center"/>
              <w:tblLayout w:type="fixed"/>
              <w:tblLook w:val="04A0" w:firstRow="1" w:lastRow="0" w:firstColumn="1" w:lastColumn="0" w:noHBand="0" w:noVBand="1"/>
            </w:tblPr>
            <w:tblGrid>
              <w:gridCol w:w="3327"/>
              <w:gridCol w:w="2982"/>
              <w:gridCol w:w="3071"/>
            </w:tblGrid>
            <w:tr w:rsidR="009A0FCF" w:rsidRPr="00BE6424" w14:paraId="7E15E631" w14:textId="77777777" w:rsidTr="008F3EC8">
              <w:trPr>
                <w:tblHeader/>
                <w:jc w:val="center"/>
              </w:trPr>
              <w:tc>
                <w:tcPr>
                  <w:tcW w:w="3327" w:type="dxa"/>
                  <w:tcBorders>
                    <w:top w:val="single" w:sz="4" w:space="0" w:color="auto"/>
                    <w:left w:val="single" w:sz="4" w:space="0" w:color="auto"/>
                    <w:bottom w:val="single" w:sz="4" w:space="0" w:color="auto"/>
                    <w:right w:val="single" w:sz="4" w:space="0" w:color="auto"/>
                  </w:tcBorders>
                  <w:hideMark/>
                </w:tcPr>
                <w:p w14:paraId="6EB26AD2" w14:textId="77777777" w:rsidR="009A0FCF" w:rsidRPr="00BE6424" w:rsidRDefault="009A0FCF" w:rsidP="00282BC5">
                  <w:pPr>
                    <w:pStyle w:val="Tablehead"/>
                    <w:keepNext w:val="0"/>
                    <w:rPr>
                      <w:lang w:val="es-ES_tradnl"/>
                    </w:rPr>
                  </w:pPr>
                  <w:r w:rsidRPr="00BE6424">
                    <w:rPr>
                      <w:lang w:val="es-ES_tradnl"/>
                    </w:rPr>
                    <w:t>Parámetro</w:t>
                  </w:r>
                </w:p>
              </w:tc>
              <w:tc>
                <w:tcPr>
                  <w:tcW w:w="2982" w:type="dxa"/>
                  <w:tcBorders>
                    <w:top w:val="single" w:sz="4" w:space="0" w:color="auto"/>
                    <w:left w:val="single" w:sz="4" w:space="0" w:color="auto"/>
                    <w:bottom w:val="single" w:sz="4" w:space="0" w:color="auto"/>
                    <w:right w:val="single" w:sz="4" w:space="0" w:color="auto"/>
                  </w:tcBorders>
                  <w:hideMark/>
                </w:tcPr>
                <w:p w14:paraId="4DB8FCF7" w14:textId="77777777" w:rsidR="009A0FCF" w:rsidRPr="00BE6424" w:rsidRDefault="009A0FCF" w:rsidP="00282BC5">
                  <w:pPr>
                    <w:pStyle w:val="Tablehead"/>
                    <w:keepNext w:val="0"/>
                    <w:rPr>
                      <w:lang w:val="es-ES_tradnl"/>
                    </w:rPr>
                  </w:pPr>
                  <w:r w:rsidRPr="00BE6424">
                    <w:rPr>
                      <w:lang w:val="es-ES_tradnl"/>
                    </w:rPr>
                    <w:t>Enlace descendente</w:t>
                  </w:r>
                </w:p>
              </w:tc>
              <w:tc>
                <w:tcPr>
                  <w:tcW w:w="3071" w:type="dxa"/>
                  <w:tcBorders>
                    <w:top w:val="single" w:sz="4" w:space="0" w:color="auto"/>
                    <w:left w:val="single" w:sz="4" w:space="0" w:color="auto"/>
                    <w:bottom w:val="single" w:sz="4" w:space="0" w:color="auto"/>
                    <w:right w:val="single" w:sz="4" w:space="0" w:color="auto"/>
                  </w:tcBorders>
                  <w:hideMark/>
                </w:tcPr>
                <w:p w14:paraId="4CCD612D" w14:textId="77777777" w:rsidR="009A0FCF" w:rsidRPr="00BE6424" w:rsidRDefault="009A0FCF" w:rsidP="00282BC5">
                  <w:pPr>
                    <w:pStyle w:val="Tablehead"/>
                    <w:keepNext w:val="0"/>
                    <w:rPr>
                      <w:lang w:val="es-ES_tradnl"/>
                    </w:rPr>
                  </w:pPr>
                  <w:r w:rsidRPr="00BE6424">
                    <w:rPr>
                      <w:lang w:val="es-ES_tradnl"/>
                    </w:rPr>
                    <w:t>Enlace de conexión</w:t>
                  </w:r>
                </w:p>
              </w:tc>
            </w:tr>
            <w:tr w:rsidR="009A0FCF" w:rsidRPr="00BE6424" w14:paraId="3E65E370"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292CE6C1" w14:textId="77777777" w:rsidR="009A0FCF" w:rsidRPr="00BE6424" w:rsidRDefault="009A0FCF" w:rsidP="009B2C51">
                  <w:pPr>
                    <w:pStyle w:val="Tabletext"/>
                    <w:jc w:val="center"/>
                    <w:rPr>
                      <w:lang w:val="es-ES_tradnl"/>
                    </w:rPr>
                  </w:pPr>
                  <w:r w:rsidRPr="00BE6424">
                    <w:rPr>
                      <w:lang w:val="es-ES_tradnl"/>
                    </w:rPr>
                    <w:t>Posición orbital</w:t>
                  </w:r>
                </w:p>
              </w:tc>
              <w:tc>
                <w:tcPr>
                  <w:tcW w:w="6053" w:type="dxa"/>
                  <w:gridSpan w:val="2"/>
                  <w:tcBorders>
                    <w:top w:val="single" w:sz="4" w:space="0" w:color="auto"/>
                    <w:left w:val="single" w:sz="4" w:space="0" w:color="auto"/>
                    <w:bottom w:val="single" w:sz="4" w:space="0" w:color="auto"/>
                    <w:right w:val="single" w:sz="4" w:space="0" w:color="auto"/>
                  </w:tcBorders>
                  <w:hideMark/>
                </w:tcPr>
                <w:p w14:paraId="3A9D44D1" w14:textId="77777777" w:rsidR="009A0FCF" w:rsidRPr="00BE6424" w:rsidRDefault="009A0FCF" w:rsidP="009B2C51">
                  <w:pPr>
                    <w:pStyle w:val="Tabletext"/>
                    <w:jc w:val="center"/>
                    <w:rPr>
                      <w:lang w:val="es-ES_tradnl"/>
                    </w:rPr>
                  </w:pPr>
                  <w:r w:rsidRPr="00BE6424">
                    <w:rPr>
                      <w:lang w:val="es-ES_tradnl"/>
                    </w:rPr>
                    <w:t>1,9° E</w:t>
                  </w:r>
                </w:p>
              </w:tc>
            </w:tr>
            <w:tr w:rsidR="009A0FCF" w:rsidRPr="00BE6424" w14:paraId="6523145D"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65D30D89" w14:textId="77777777" w:rsidR="009A0FCF" w:rsidRPr="00BE6424" w:rsidRDefault="009A0FCF" w:rsidP="009B2C51">
                  <w:pPr>
                    <w:pStyle w:val="Tabletext"/>
                    <w:jc w:val="center"/>
                    <w:rPr>
                      <w:lang w:val="es-ES_tradnl"/>
                    </w:rPr>
                  </w:pPr>
                  <w:r w:rsidRPr="00BE6424">
                    <w:rPr>
                      <w:lang w:val="es-ES_tradnl"/>
                    </w:rPr>
                    <w:t>Mantenimiento en posición de la estación (este-oeste)</w:t>
                  </w:r>
                </w:p>
              </w:tc>
              <w:tc>
                <w:tcPr>
                  <w:tcW w:w="6053" w:type="dxa"/>
                  <w:gridSpan w:val="2"/>
                  <w:tcBorders>
                    <w:top w:val="single" w:sz="4" w:space="0" w:color="auto"/>
                    <w:left w:val="single" w:sz="4" w:space="0" w:color="auto"/>
                    <w:bottom w:val="single" w:sz="4" w:space="0" w:color="auto"/>
                    <w:right w:val="single" w:sz="4" w:space="0" w:color="auto"/>
                  </w:tcBorders>
                  <w:hideMark/>
                </w:tcPr>
                <w:p w14:paraId="6CBB3668" w14:textId="77777777" w:rsidR="009A0FCF" w:rsidRPr="00BE6424" w:rsidRDefault="009A0FCF" w:rsidP="009B2C51">
                  <w:pPr>
                    <w:pStyle w:val="Tabletext"/>
                    <w:jc w:val="center"/>
                    <w:rPr>
                      <w:lang w:val="es-ES_tradnl"/>
                    </w:rPr>
                  </w:pPr>
                  <w:r w:rsidRPr="00BE6424">
                    <w:rPr>
                      <w:lang w:val="es-ES_tradnl"/>
                    </w:rPr>
                    <w:t>0,05°</w:t>
                  </w:r>
                </w:p>
              </w:tc>
            </w:tr>
            <w:tr w:rsidR="009A0FCF" w:rsidRPr="00BE6424" w14:paraId="77A853D8"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0DD112DF" w14:textId="77777777" w:rsidR="009A0FCF" w:rsidRPr="00BE6424" w:rsidRDefault="009A0FCF" w:rsidP="009B2C51">
                  <w:pPr>
                    <w:pStyle w:val="Tabletext"/>
                    <w:jc w:val="center"/>
                    <w:rPr>
                      <w:lang w:val="es-ES_tradnl"/>
                    </w:rPr>
                  </w:pPr>
                  <w:r w:rsidRPr="00BE6424">
                    <w:rPr>
                      <w:lang w:val="es-ES_tradnl"/>
                    </w:rPr>
                    <w:t>Identificación del haz</w:t>
                  </w:r>
                </w:p>
              </w:tc>
              <w:tc>
                <w:tcPr>
                  <w:tcW w:w="6053" w:type="dxa"/>
                  <w:gridSpan w:val="2"/>
                  <w:tcBorders>
                    <w:top w:val="single" w:sz="4" w:space="0" w:color="auto"/>
                    <w:left w:val="single" w:sz="4" w:space="0" w:color="auto"/>
                    <w:bottom w:val="single" w:sz="4" w:space="0" w:color="auto"/>
                    <w:right w:val="single" w:sz="4" w:space="0" w:color="auto"/>
                  </w:tcBorders>
                  <w:hideMark/>
                </w:tcPr>
                <w:p w14:paraId="28CDBBBF" w14:textId="77777777" w:rsidR="009A0FCF" w:rsidRPr="00BE6424" w:rsidRDefault="009A0FCF" w:rsidP="009B2C51">
                  <w:pPr>
                    <w:pStyle w:val="Tabletext"/>
                    <w:jc w:val="center"/>
                    <w:rPr>
                      <w:lang w:val="es-ES_tradnl"/>
                    </w:rPr>
                  </w:pPr>
                  <w:r w:rsidRPr="00BE6424">
                    <w:rPr>
                      <w:lang w:val="es-ES_tradnl"/>
                    </w:rPr>
                    <w:t>BUL02000</w:t>
                  </w:r>
                </w:p>
              </w:tc>
            </w:tr>
            <w:tr w:rsidR="009A0FCF" w:rsidRPr="00BE6424" w14:paraId="5CA31D52"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0FA56DEC" w14:textId="77777777" w:rsidR="009A0FCF" w:rsidRPr="00BE6424" w:rsidRDefault="009A0FCF" w:rsidP="009B2C51">
                  <w:pPr>
                    <w:pStyle w:val="Tabletext"/>
                    <w:jc w:val="center"/>
                    <w:rPr>
                      <w:lang w:val="es-ES_tradnl"/>
                    </w:rPr>
                  </w:pPr>
                  <w:r w:rsidRPr="00BE6424">
                    <w:rPr>
                      <w:lang w:val="es-ES_tradnl"/>
                    </w:rPr>
                    <w:t>Fecha de recepción</w:t>
                  </w:r>
                </w:p>
              </w:tc>
              <w:tc>
                <w:tcPr>
                  <w:tcW w:w="6053" w:type="dxa"/>
                  <w:gridSpan w:val="2"/>
                  <w:tcBorders>
                    <w:top w:val="single" w:sz="4" w:space="0" w:color="auto"/>
                    <w:left w:val="single" w:sz="4" w:space="0" w:color="auto"/>
                    <w:bottom w:val="single" w:sz="4" w:space="0" w:color="auto"/>
                    <w:right w:val="single" w:sz="4" w:space="0" w:color="auto"/>
                  </w:tcBorders>
                  <w:hideMark/>
                </w:tcPr>
                <w:p w14:paraId="5876B24D" w14:textId="77777777" w:rsidR="009A0FCF" w:rsidRPr="00BE6424" w:rsidRDefault="009A0FCF" w:rsidP="009B2C51">
                  <w:pPr>
                    <w:pStyle w:val="Tabletext"/>
                    <w:jc w:val="center"/>
                    <w:rPr>
                      <w:lang w:val="es-ES_tradnl"/>
                    </w:rPr>
                  </w:pPr>
                  <w:r w:rsidRPr="00BE6424">
                    <w:rPr>
                      <w:lang w:val="es-ES_tradnl"/>
                    </w:rPr>
                    <w:t>23/11/2019</w:t>
                  </w:r>
                </w:p>
              </w:tc>
            </w:tr>
            <w:tr w:rsidR="009A0FCF" w:rsidRPr="00BE6424" w14:paraId="5A0F6AF7"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78A8BB76" w14:textId="77777777" w:rsidR="009A0FCF" w:rsidRPr="00BE6424" w:rsidRDefault="009A0FCF" w:rsidP="009B2C51">
                  <w:pPr>
                    <w:pStyle w:val="Tabletext"/>
                    <w:jc w:val="center"/>
                    <w:rPr>
                      <w:lang w:val="es-ES_tradnl"/>
                    </w:rPr>
                  </w:pPr>
                  <w:r w:rsidRPr="00BE6424">
                    <w:rPr>
                      <w:lang w:val="es-ES_tradnl"/>
                    </w:rPr>
                    <w:t>Fecha de protección</w:t>
                  </w:r>
                </w:p>
              </w:tc>
              <w:tc>
                <w:tcPr>
                  <w:tcW w:w="2982" w:type="dxa"/>
                  <w:tcBorders>
                    <w:top w:val="single" w:sz="4" w:space="0" w:color="auto"/>
                    <w:left w:val="single" w:sz="4" w:space="0" w:color="auto"/>
                    <w:bottom w:val="single" w:sz="4" w:space="0" w:color="auto"/>
                    <w:right w:val="single" w:sz="4" w:space="0" w:color="auto"/>
                  </w:tcBorders>
                  <w:hideMark/>
                </w:tcPr>
                <w:p w14:paraId="7C2C948D" w14:textId="77777777" w:rsidR="009A0FCF" w:rsidRPr="00BE6424" w:rsidRDefault="009A0FCF" w:rsidP="009B2C51">
                  <w:pPr>
                    <w:pStyle w:val="Tabletext"/>
                    <w:jc w:val="center"/>
                    <w:rPr>
                      <w:lang w:val="es-ES_tradnl"/>
                    </w:rPr>
                  </w:pPr>
                  <w:r w:rsidRPr="00BE6424">
                    <w:rPr>
                      <w:lang w:val="es-ES_tradnl"/>
                    </w:rPr>
                    <w:t>19/03/2012</w:t>
                  </w:r>
                </w:p>
              </w:tc>
              <w:tc>
                <w:tcPr>
                  <w:tcW w:w="3071" w:type="dxa"/>
                  <w:tcBorders>
                    <w:top w:val="single" w:sz="4" w:space="0" w:color="auto"/>
                    <w:left w:val="single" w:sz="4" w:space="0" w:color="auto"/>
                    <w:bottom w:val="single" w:sz="4" w:space="0" w:color="auto"/>
                    <w:right w:val="single" w:sz="4" w:space="0" w:color="auto"/>
                  </w:tcBorders>
                  <w:hideMark/>
                </w:tcPr>
                <w:p w14:paraId="554BDAA2" w14:textId="77777777" w:rsidR="009A0FCF" w:rsidRPr="00BE6424" w:rsidRDefault="009A0FCF" w:rsidP="009B2C51">
                  <w:pPr>
                    <w:pStyle w:val="Tabletext"/>
                    <w:jc w:val="center"/>
                    <w:rPr>
                      <w:lang w:val="es-ES_tradnl"/>
                    </w:rPr>
                  </w:pPr>
                  <w:r w:rsidRPr="00BE6424">
                    <w:rPr>
                      <w:lang w:val="es-ES_tradnl"/>
                    </w:rPr>
                    <w:t>04/11/2010</w:t>
                  </w:r>
                </w:p>
              </w:tc>
            </w:tr>
            <w:tr w:rsidR="009A0FCF" w:rsidRPr="00BE6424" w14:paraId="318CA2C1"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1C877813" w14:textId="77777777" w:rsidR="009A0FCF" w:rsidRPr="00BE6424" w:rsidRDefault="009A0FCF" w:rsidP="009B2C51">
                  <w:pPr>
                    <w:pStyle w:val="Tabletext"/>
                    <w:jc w:val="center"/>
                    <w:rPr>
                      <w:lang w:val="es-ES_tradnl"/>
                    </w:rPr>
                  </w:pPr>
                  <w:r w:rsidRPr="00BE6424">
                    <w:rPr>
                      <w:lang w:val="es-ES_tradnl"/>
                    </w:rPr>
                    <w:t>Nombre del haz de satélite</w:t>
                  </w:r>
                </w:p>
              </w:tc>
              <w:tc>
                <w:tcPr>
                  <w:tcW w:w="6053" w:type="dxa"/>
                  <w:gridSpan w:val="2"/>
                  <w:tcBorders>
                    <w:top w:val="single" w:sz="4" w:space="0" w:color="auto"/>
                    <w:left w:val="single" w:sz="4" w:space="0" w:color="auto"/>
                    <w:bottom w:val="single" w:sz="4" w:space="0" w:color="auto"/>
                    <w:right w:val="single" w:sz="4" w:space="0" w:color="auto"/>
                  </w:tcBorders>
                  <w:hideMark/>
                </w:tcPr>
                <w:p w14:paraId="14162B6D" w14:textId="77777777" w:rsidR="009A0FCF" w:rsidRPr="00BE6424" w:rsidRDefault="009A0FCF" w:rsidP="009B2C51">
                  <w:pPr>
                    <w:pStyle w:val="Tabletext"/>
                    <w:jc w:val="center"/>
                    <w:rPr>
                      <w:lang w:val="es-ES_tradnl"/>
                    </w:rPr>
                  </w:pPr>
                  <w:r w:rsidRPr="00BE6424">
                    <w:rPr>
                      <w:lang w:val="es-ES_tradnl"/>
                    </w:rPr>
                    <w:t>E001</w:t>
                  </w:r>
                </w:p>
              </w:tc>
            </w:tr>
            <w:tr w:rsidR="009A0FCF" w:rsidRPr="00BE6424" w14:paraId="32BA1DBA"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7B4C9BC1" w14:textId="77777777" w:rsidR="009A0FCF" w:rsidRPr="00BE6424" w:rsidRDefault="009A0FCF" w:rsidP="00282BC5">
                  <w:pPr>
                    <w:pStyle w:val="Tabletext"/>
                    <w:jc w:val="center"/>
                    <w:rPr>
                      <w:lang w:val="es-ES_tradnl"/>
                    </w:rPr>
                  </w:pPr>
                  <w:r w:rsidRPr="00BE6424">
                    <w:rPr>
                      <w:lang w:val="es-ES_tradnl"/>
                    </w:rPr>
                    <w:t>Tipo de haz</w:t>
                  </w:r>
                </w:p>
              </w:tc>
              <w:tc>
                <w:tcPr>
                  <w:tcW w:w="6053" w:type="dxa"/>
                  <w:gridSpan w:val="2"/>
                  <w:tcBorders>
                    <w:top w:val="single" w:sz="4" w:space="0" w:color="auto"/>
                    <w:left w:val="single" w:sz="4" w:space="0" w:color="auto"/>
                    <w:bottom w:val="single" w:sz="4" w:space="0" w:color="auto"/>
                    <w:right w:val="single" w:sz="4" w:space="0" w:color="auto"/>
                  </w:tcBorders>
                  <w:hideMark/>
                </w:tcPr>
                <w:p w14:paraId="45002C8E" w14:textId="77777777" w:rsidR="009A0FCF" w:rsidRPr="00BE6424" w:rsidRDefault="009A0FCF" w:rsidP="00282BC5">
                  <w:pPr>
                    <w:pStyle w:val="Tabletext"/>
                    <w:jc w:val="center"/>
                    <w:rPr>
                      <w:lang w:val="es-ES_tradnl"/>
                    </w:rPr>
                  </w:pPr>
                  <w:r w:rsidRPr="00BE6424">
                    <w:rPr>
                      <w:lang w:val="es-ES_tradnl"/>
                    </w:rPr>
                    <w:t>Conformado</w:t>
                  </w:r>
                </w:p>
              </w:tc>
            </w:tr>
            <w:tr w:rsidR="009A0FCF" w:rsidRPr="00BE6424" w14:paraId="22C08D2A"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29132FC1" w14:textId="77777777" w:rsidR="009A0FCF" w:rsidRPr="00BE6424" w:rsidRDefault="009A0FCF" w:rsidP="00282BC5">
                  <w:pPr>
                    <w:pStyle w:val="Tabletext"/>
                    <w:jc w:val="center"/>
                    <w:rPr>
                      <w:lang w:val="es-ES_tradnl"/>
                    </w:rPr>
                  </w:pPr>
                  <w:r w:rsidRPr="00BE6424">
                    <w:rPr>
                      <w:lang w:val="es-ES_tradnl"/>
                    </w:rPr>
                    <w:t xml:space="preserve">Máxima ganancia de antena </w:t>
                  </w:r>
                  <w:proofErr w:type="spellStart"/>
                  <w:r w:rsidRPr="00BE6424">
                    <w:rPr>
                      <w:lang w:val="es-ES_tradnl"/>
                    </w:rPr>
                    <w:t>copolar</w:t>
                  </w:r>
                  <w:proofErr w:type="spellEnd"/>
                </w:p>
              </w:tc>
              <w:tc>
                <w:tcPr>
                  <w:tcW w:w="2982" w:type="dxa"/>
                  <w:tcBorders>
                    <w:top w:val="single" w:sz="4" w:space="0" w:color="auto"/>
                    <w:left w:val="single" w:sz="4" w:space="0" w:color="auto"/>
                    <w:bottom w:val="single" w:sz="4" w:space="0" w:color="auto"/>
                    <w:right w:val="single" w:sz="4" w:space="0" w:color="auto"/>
                  </w:tcBorders>
                  <w:hideMark/>
                </w:tcPr>
                <w:p w14:paraId="601BC804" w14:textId="77777777" w:rsidR="009A0FCF" w:rsidRPr="00BE6424" w:rsidRDefault="009A0FCF" w:rsidP="00282BC5">
                  <w:pPr>
                    <w:pStyle w:val="Tabletext"/>
                    <w:jc w:val="center"/>
                    <w:rPr>
                      <w:lang w:val="es-ES_tradnl"/>
                    </w:rPr>
                  </w:pPr>
                  <w:r w:rsidRPr="00BE6424">
                    <w:rPr>
                      <w:lang w:val="es-ES_tradnl"/>
                    </w:rPr>
                    <w:t>33,8 dBi</w:t>
                  </w:r>
                </w:p>
              </w:tc>
              <w:tc>
                <w:tcPr>
                  <w:tcW w:w="3071" w:type="dxa"/>
                  <w:tcBorders>
                    <w:top w:val="single" w:sz="4" w:space="0" w:color="auto"/>
                    <w:left w:val="single" w:sz="4" w:space="0" w:color="auto"/>
                    <w:bottom w:val="single" w:sz="4" w:space="0" w:color="auto"/>
                    <w:right w:val="single" w:sz="4" w:space="0" w:color="auto"/>
                  </w:tcBorders>
                  <w:hideMark/>
                </w:tcPr>
                <w:p w14:paraId="24D5378B" w14:textId="77777777" w:rsidR="009A0FCF" w:rsidRPr="00BE6424" w:rsidRDefault="009A0FCF" w:rsidP="00282BC5">
                  <w:pPr>
                    <w:pStyle w:val="Tabletext"/>
                    <w:jc w:val="center"/>
                    <w:rPr>
                      <w:lang w:val="es-ES_tradnl"/>
                    </w:rPr>
                  </w:pPr>
                  <w:r w:rsidRPr="00BE6424">
                    <w:rPr>
                      <w:lang w:val="es-ES_tradnl"/>
                    </w:rPr>
                    <w:t>36,5 dBi</w:t>
                  </w:r>
                </w:p>
              </w:tc>
            </w:tr>
            <w:tr w:rsidR="009A0FCF" w:rsidRPr="00BE6424" w14:paraId="2D43D52B"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4FF44A8A" w14:textId="77777777" w:rsidR="009A0FCF" w:rsidRPr="00BE6424" w:rsidRDefault="009A0FCF" w:rsidP="00282BC5">
                  <w:pPr>
                    <w:pStyle w:val="Tabletext"/>
                    <w:jc w:val="center"/>
                    <w:rPr>
                      <w:lang w:val="es-ES_tradnl"/>
                    </w:rPr>
                  </w:pPr>
                  <w:r w:rsidRPr="00BE6424">
                    <w:rPr>
                      <w:lang w:val="es-ES_tradnl"/>
                    </w:rPr>
                    <w:t>Máxima ganancia de antena con polarización cruzada</w:t>
                  </w:r>
                </w:p>
              </w:tc>
              <w:tc>
                <w:tcPr>
                  <w:tcW w:w="2982" w:type="dxa"/>
                  <w:tcBorders>
                    <w:top w:val="single" w:sz="4" w:space="0" w:color="auto"/>
                    <w:left w:val="single" w:sz="4" w:space="0" w:color="auto"/>
                    <w:bottom w:val="single" w:sz="4" w:space="0" w:color="auto"/>
                    <w:right w:val="single" w:sz="4" w:space="0" w:color="auto"/>
                  </w:tcBorders>
                  <w:hideMark/>
                </w:tcPr>
                <w:p w14:paraId="69DC7881" w14:textId="77777777" w:rsidR="009A0FCF" w:rsidRPr="00BE6424" w:rsidRDefault="009A0FCF" w:rsidP="00282BC5">
                  <w:pPr>
                    <w:pStyle w:val="Tabletext"/>
                    <w:jc w:val="center"/>
                    <w:rPr>
                      <w:lang w:val="es-ES_tradnl"/>
                    </w:rPr>
                  </w:pPr>
                  <w:r w:rsidRPr="00BE6424">
                    <w:rPr>
                      <w:lang w:val="es-ES_tradnl"/>
                    </w:rPr>
                    <w:t>–2 dBi</w:t>
                  </w:r>
                </w:p>
              </w:tc>
              <w:tc>
                <w:tcPr>
                  <w:tcW w:w="3071" w:type="dxa"/>
                  <w:tcBorders>
                    <w:top w:val="single" w:sz="4" w:space="0" w:color="auto"/>
                    <w:left w:val="single" w:sz="4" w:space="0" w:color="auto"/>
                    <w:bottom w:val="single" w:sz="4" w:space="0" w:color="auto"/>
                    <w:right w:val="single" w:sz="4" w:space="0" w:color="auto"/>
                  </w:tcBorders>
                  <w:hideMark/>
                </w:tcPr>
                <w:p w14:paraId="4A07EE0A" w14:textId="77777777" w:rsidR="009A0FCF" w:rsidRPr="00BE6424" w:rsidRDefault="009A0FCF" w:rsidP="00282BC5">
                  <w:pPr>
                    <w:pStyle w:val="Tabletext"/>
                    <w:jc w:val="center"/>
                    <w:rPr>
                      <w:lang w:val="es-ES_tradnl"/>
                    </w:rPr>
                  </w:pPr>
                  <w:r w:rsidRPr="00BE6424">
                    <w:rPr>
                      <w:lang w:val="es-ES_tradnl"/>
                    </w:rPr>
                    <w:t>0 dBi</w:t>
                  </w:r>
                </w:p>
              </w:tc>
            </w:tr>
            <w:tr w:rsidR="009A0FCF" w:rsidRPr="00BE6424" w14:paraId="59F9A05F"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1E559CCD" w14:textId="77777777" w:rsidR="009A0FCF" w:rsidRPr="00BE6424" w:rsidRDefault="009A0FCF" w:rsidP="00282BC5">
                  <w:pPr>
                    <w:pStyle w:val="Tabletext"/>
                    <w:jc w:val="center"/>
                    <w:rPr>
                      <w:lang w:val="es-ES_tradnl"/>
                    </w:rPr>
                  </w:pPr>
                  <w:r w:rsidRPr="00BE6424">
                    <w:rPr>
                      <w:lang w:val="es-ES_tradnl"/>
                    </w:rPr>
                    <w:t xml:space="preserve">Contornos de ganancia de antena </w:t>
                  </w:r>
                  <w:proofErr w:type="spellStart"/>
                  <w:r w:rsidRPr="00BE6424">
                    <w:rPr>
                      <w:lang w:val="es-ES_tradnl"/>
                    </w:rPr>
                    <w:t>copolar</w:t>
                  </w:r>
                  <w:proofErr w:type="spellEnd"/>
                  <w:r w:rsidRPr="00BE6424">
                    <w:rPr>
                      <w:lang w:val="es-ES_tradnl"/>
                    </w:rPr>
                    <w:t xml:space="preserve"> y con polarización cruzada</w:t>
                  </w:r>
                </w:p>
              </w:tc>
              <w:tc>
                <w:tcPr>
                  <w:tcW w:w="6053" w:type="dxa"/>
                  <w:gridSpan w:val="2"/>
                  <w:tcBorders>
                    <w:top w:val="single" w:sz="4" w:space="0" w:color="auto"/>
                    <w:left w:val="single" w:sz="4" w:space="0" w:color="auto"/>
                    <w:bottom w:val="single" w:sz="4" w:space="0" w:color="auto"/>
                    <w:right w:val="single" w:sz="4" w:space="0" w:color="auto"/>
                  </w:tcBorders>
                  <w:hideMark/>
                </w:tcPr>
                <w:p w14:paraId="556D3791" w14:textId="77777777" w:rsidR="009A0FCF" w:rsidRPr="00BE6424" w:rsidRDefault="009A0FCF" w:rsidP="00282BC5">
                  <w:pPr>
                    <w:pStyle w:val="Tabletext"/>
                    <w:jc w:val="center"/>
                    <w:rPr>
                      <w:lang w:val="es-ES_tradnl"/>
                    </w:rPr>
                  </w:pPr>
                  <w:r w:rsidRPr="00BE6424">
                    <w:rPr>
                      <w:lang w:val="es-ES_tradnl"/>
                    </w:rPr>
                    <w:t>Correspondientes al haz de enlace descendente CEED y</w:t>
                  </w:r>
                  <w:r w:rsidR="005A4528" w:rsidRPr="00BE6424">
                    <w:rPr>
                      <w:lang w:val="es-ES_tradnl"/>
                    </w:rPr>
                    <w:t xml:space="preserve"> </w:t>
                  </w:r>
                  <w:r w:rsidRPr="00BE6424">
                    <w:rPr>
                      <w:lang w:val="es-ES_tradnl"/>
                    </w:rPr>
                    <w:t>el haz de enlace de conexión CER de la red de satélites BULSAT</w:t>
                  </w:r>
                  <w:r w:rsidRPr="00BE6424">
                    <w:rPr>
                      <w:lang w:val="es-ES_tradnl"/>
                    </w:rPr>
                    <w:noBreakHyphen/>
                    <w:t>BSS-1.2W-W del Cuadro 2 siguiente</w:t>
                  </w:r>
                </w:p>
              </w:tc>
            </w:tr>
            <w:tr w:rsidR="009A0FCF" w:rsidRPr="00BE6424" w14:paraId="700AA6CC"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588A4F87" w14:textId="77777777" w:rsidR="009A0FCF" w:rsidRPr="00BE6424" w:rsidRDefault="009A0FCF" w:rsidP="00282BC5">
                  <w:pPr>
                    <w:pStyle w:val="Tabletext"/>
                    <w:rPr>
                      <w:lang w:val="es-ES_tradnl"/>
                    </w:rPr>
                  </w:pPr>
                  <w:r w:rsidRPr="00BE6424">
                    <w:rPr>
                      <w:lang w:val="es-ES_tradnl"/>
                    </w:rPr>
                    <w:t>Eje de puntería</w:t>
                  </w:r>
                </w:p>
              </w:tc>
              <w:tc>
                <w:tcPr>
                  <w:tcW w:w="6053" w:type="dxa"/>
                  <w:gridSpan w:val="2"/>
                  <w:tcBorders>
                    <w:top w:val="single" w:sz="4" w:space="0" w:color="auto"/>
                    <w:left w:val="single" w:sz="4" w:space="0" w:color="auto"/>
                    <w:bottom w:val="single" w:sz="4" w:space="0" w:color="auto"/>
                    <w:right w:val="single" w:sz="4" w:space="0" w:color="auto"/>
                  </w:tcBorders>
                  <w:hideMark/>
                </w:tcPr>
                <w:p w14:paraId="4D19C0EA" w14:textId="77777777" w:rsidR="009A0FCF" w:rsidRPr="00BE6424" w:rsidRDefault="009A0FCF" w:rsidP="00282BC5">
                  <w:pPr>
                    <w:pStyle w:val="Tabletext"/>
                    <w:rPr>
                      <w:lang w:val="es-ES_tradnl"/>
                    </w:rPr>
                  </w:pPr>
                  <w:r w:rsidRPr="00BE6424">
                    <w:rPr>
                      <w:lang w:val="es-ES_tradnl"/>
                    </w:rPr>
                    <w:t>Idéntico al de los datos GIMS</w:t>
                  </w:r>
                </w:p>
              </w:tc>
            </w:tr>
            <w:tr w:rsidR="009A0FCF" w:rsidRPr="00BE6424" w14:paraId="269E2EE4"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63ADDF7C" w14:textId="77777777" w:rsidR="009A0FCF" w:rsidRPr="00BE6424" w:rsidRDefault="009A0FCF" w:rsidP="00282BC5">
                  <w:pPr>
                    <w:pStyle w:val="Tabletext"/>
                    <w:rPr>
                      <w:lang w:val="es-ES_tradnl"/>
                    </w:rPr>
                  </w:pPr>
                  <w:r w:rsidRPr="00BE6424">
                    <w:rPr>
                      <w:lang w:val="es-ES_tradnl"/>
                    </w:rPr>
                    <w:t>Zona de servicio</w:t>
                  </w:r>
                </w:p>
              </w:tc>
              <w:tc>
                <w:tcPr>
                  <w:tcW w:w="6053" w:type="dxa"/>
                  <w:gridSpan w:val="2"/>
                  <w:tcBorders>
                    <w:top w:val="single" w:sz="4" w:space="0" w:color="auto"/>
                    <w:left w:val="single" w:sz="4" w:space="0" w:color="auto"/>
                    <w:bottom w:val="single" w:sz="4" w:space="0" w:color="auto"/>
                    <w:right w:val="single" w:sz="4" w:space="0" w:color="auto"/>
                  </w:tcBorders>
                  <w:hideMark/>
                </w:tcPr>
                <w:p w14:paraId="20639029" w14:textId="03EC2798" w:rsidR="009A0FCF" w:rsidRPr="00BE6424" w:rsidRDefault="009A0FCF" w:rsidP="00282BC5">
                  <w:pPr>
                    <w:pStyle w:val="Tabletext"/>
                    <w:rPr>
                      <w:lang w:val="es-ES_tradnl"/>
                    </w:rPr>
                  </w:pPr>
                  <w:r w:rsidRPr="00BE6424">
                    <w:rPr>
                      <w:lang w:val="es-ES_tradnl"/>
                    </w:rPr>
                    <w:t>Territorio nacional definido como «BUL»</w:t>
                  </w:r>
                  <w:r w:rsidR="00B062FE" w:rsidRPr="00BE6424">
                    <w:rPr>
                      <w:lang w:val="es-ES_tradnl"/>
                    </w:rPr>
                    <w:t xml:space="preserve"> </w:t>
                  </w:r>
                  <w:r w:rsidRPr="00BE6424">
                    <w:rPr>
                      <w:lang w:val="es-ES_tradnl"/>
                    </w:rPr>
                    <w:t>en la aplicación de software</w:t>
                  </w:r>
                  <w:r w:rsidR="00282BC5" w:rsidRPr="00BE6424">
                    <w:rPr>
                      <w:lang w:val="es-ES_tradnl"/>
                    </w:rPr>
                    <w:t> </w:t>
                  </w:r>
                  <w:r w:rsidRPr="00BE6424">
                    <w:rPr>
                      <w:lang w:val="es-ES_tradnl"/>
                    </w:rPr>
                    <w:t>GIMS</w:t>
                  </w:r>
                </w:p>
              </w:tc>
            </w:tr>
            <w:tr w:rsidR="009A0FCF" w:rsidRPr="00BE6424" w14:paraId="2C68BCF8"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1D79AAEF" w14:textId="77777777" w:rsidR="009A0FCF" w:rsidRPr="00BE6424" w:rsidRDefault="009A0FCF" w:rsidP="00282BC5">
                  <w:pPr>
                    <w:pStyle w:val="Tabletext"/>
                    <w:rPr>
                      <w:lang w:val="es-ES_tradnl"/>
                    </w:rPr>
                  </w:pPr>
                  <w:r w:rsidRPr="00BE6424">
                    <w:rPr>
                      <w:lang w:val="es-ES_tradnl"/>
                    </w:rPr>
                    <w:t>Puntos de prueba</w:t>
                  </w:r>
                </w:p>
              </w:tc>
              <w:tc>
                <w:tcPr>
                  <w:tcW w:w="6053" w:type="dxa"/>
                  <w:gridSpan w:val="2"/>
                  <w:tcBorders>
                    <w:top w:val="single" w:sz="4" w:space="0" w:color="auto"/>
                    <w:left w:val="single" w:sz="4" w:space="0" w:color="auto"/>
                    <w:bottom w:val="single" w:sz="4" w:space="0" w:color="auto"/>
                    <w:right w:val="single" w:sz="4" w:space="0" w:color="auto"/>
                  </w:tcBorders>
                  <w:hideMark/>
                </w:tcPr>
                <w:tbl>
                  <w:tblPr>
                    <w:tblW w:w="2595" w:type="dxa"/>
                    <w:jc w:val="center"/>
                    <w:tblLayout w:type="fixed"/>
                    <w:tblLook w:val="04A0" w:firstRow="1" w:lastRow="0" w:firstColumn="1" w:lastColumn="0" w:noHBand="0" w:noVBand="1"/>
                  </w:tblPr>
                  <w:tblGrid>
                    <w:gridCol w:w="1298"/>
                    <w:gridCol w:w="1297"/>
                  </w:tblGrid>
                  <w:tr w:rsidR="009A0FCF" w:rsidRPr="00BE6424" w14:paraId="2DBAAE5C" w14:textId="77777777" w:rsidTr="00C970C4">
                    <w:trPr>
                      <w:trHeight w:val="300"/>
                      <w:jc w:val="center"/>
                    </w:trPr>
                    <w:tc>
                      <w:tcPr>
                        <w:tcW w:w="1298" w:type="dxa"/>
                        <w:noWrap/>
                        <w:vAlign w:val="bottom"/>
                        <w:hideMark/>
                      </w:tcPr>
                      <w:p w14:paraId="5F9F5EF3" w14:textId="77777777" w:rsidR="009A0FCF" w:rsidRPr="00BE6424" w:rsidRDefault="009A0FCF" w:rsidP="00282BC5">
                        <w:pPr>
                          <w:pStyle w:val="Tabletext"/>
                          <w:rPr>
                            <w:lang w:val="es-ES_tradnl"/>
                          </w:rPr>
                        </w:pPr>
                        <w:r w:rsidRPr="00BE6424">
                          <w:rPr>
                            <w:lang w:val="es-ES_tradnl"/>
                          </w:rPr>
                          <w:t>Longitud (grados E)</w:t>
                        </w:r>
                      </w:p>
                    </w:tc>
                    <w:tc>
                      <w:tcPr>
                        <w:tcW w:w="1297" w:type="dxa"/>
                        <w:noWrap/>
                        <w:vAlign w:val="bottom"/>
                        <w:hideMark/>
                      </w:tcPr>
                      <w:p w14:paraId="000A7F1A" w14:textId="77777777" w:rsidR="009A0FCF" w:rsidRPr="00BE6424" w:rsidRDefault="009A0FCF" w:rsidP="00282BC5">
                        <w:pPr>
                          <w:pStyle w:val="Tabletext"/>
                          <w:rPr>
                            <w:lang w:val="es-ES_tradnl"/>
                          </w:rPr>
                        </w:pPr>
                        <w:r w:rsidRPr="00BE6424">
                          <w:rPr>
                            <w:lang w:val="es-ES_tradnl"/>
                          </w:rPr>
                          <w:t>Latitud (grados N)</w:t>
                        </w:r>
                      </w:p>
                    </w:tc>
                  </w:tr>
                  <w:tr w:rsidR="009A0FCF" w:rsidRPr="00BE6424" w14:paraId="3E3DBB1F" w14:textId="77777777" w:rsidTr="00C970C4">
                    <w:trPr>
                      <w:trHeight w:val="300"/>
                      <w:jc w:val="center"/>
                    </w:trPr>
                    <w:tc>
                      <w:tcPr>
                        <w:tcW w:w="1298" w:type="dxa"/>
                        <w:noWrap/>
                        <w:vAlign w:val="bottom"/>
                        <w:hideMark/>
                      </w:tcPr>
                      <w:p w14:paraId="6DBFD5D0" w14:textId="77777777" w:rsidR="009A0FCF" w:rsidRPr="00BE6424" w:rsidRDefault="009A0FCF" w:rsidP="00282BC5">
                        <w:pPr>
                          <w:pStyle w:val="Tabletext"/>
                          <w:rPr>
                            <w:lang w:val="es-ES_tradnl"/>
                          </w:rPr>
                        </w:pPr>
                        <w:r w:rsidRPr="00BE6424">
                          <w:rPr>
                            <w:lang w:val="es-ES_tradnl"/>
                          </w:rPr>
                          <w:t>27,91</w:t>
                        </w:r>
                      </w:p>
                    </w:tc>
                    <w:tc>
                      <w:tcPr>
                        <w:tcW w:w="1297" w:type="dxa"/>
                        <w:noWrap/>
                        <w:vAlign w:val="bottom"/>
                        <w:hideMark/>
                      </w:tcPr>
                      <w:p w14:paraId="737A8498" w14:textId="77777777" w:rsidR="009A0FCF" w:rsidRPr="00BE6424" w:rsidRDefault="009A0FCF" w:rsidP="00282BC5">
                        <w:pPr>
                          <w:pStyle w:val="Tabletext"/>
                          <w:rPr>
                            <w:lang w:val="es-ES_tradnl"/>
                          </w:rPr>
                        </w:pPr>
                        <w:r w:rsidRPr="00BE6424">
                          <w:rPr>
                            <w:lang w:val="es-ES_tradnl"/>
                          </w:rPr>
                          <w:t>42,06</w:t>
                        </w:r>
                      </w:p>
                    </w:tc>
                  </w:tr>
                  <w:tr w:rsidR="009A0FCF" w:rsidRPr="00BE6424" w14:paraId="32E76DCA" w14:textId="77777777" w:rsidTr="00C970C4">
                    <w:trPr>
                      <w:trHeight w:val="300"/>
                      <w:jc w:val="center"/>
                    </w:trPr>
                    <w:tc>
                      <w:tcPr>
                        <w:tcW w:w="1298" w:type="dxa"/>
                        <w:noWrap/>
                        <w:vAlign w:val="bottom"/>
                        <w:hideMark/>
                      </w:tcPr>
                      <w:p w14:paraId="6140707F" w14:textId="77777777" w:rsidR="009A0FCF" w:rsidRPr="00BE6424" w:rsidRDefault="009A0FCF" w:rsidP="00282BC5">
                        <w:pPr>
                          <w:pStyle w:val="Tabletext"/>
                          <w:rPr>
                            <w:lang w:val="es-ES_tradnl"/>
                          </w:rPr>
                        </w:pPr>
                        <w:r w:rsidRPr="00BE6424">
                          <w:rPr>
                            <w:lang w:val="es-ES_tradnl"/>
                          </w:rPr>
                          <w:t>28,47</w:t>
                        </w:r>
                      </w:p>
                    </w:tc>
                    <w:tc>
                      <w:tcPr>
                        <w:tcW w:w="1297" w:type="dxa"/>
                        <w:noWrap/>
                        <w:vAlign w:val="bottom"/>
                        <w:hideMark/>
                      </w:tcPr>
                      <w:p w14:paraId="0028A8FC" w14:textId="77777777" w:rsidR="009A0FCF" w:rsidRPr="00BE6424" w:rsidRDefault="009A0FCF" w:rsidP="00282BC5">
                        <w:pPr>
                          <w:pStyle w:val="Tabletext"/>
                          <w:rPr>
                            <w:lang w:val="es-ES_tradnl"/>
                          </w:rPr>
                        </w:pPr>
                        <w:r w:rsidRPr="00BE6424">
                          <w:rPr>
                            <w:lang w:val="es-ES_tradnl"/>
                          </w:rPr>
                          <w:t>43,70</w:t>
                        </w:r>
                      </w:p>
                    </w:tc>
                  </w:tr>
                  <w:tr w:rsidR="009A0FCF" w:rsidRPr="00BE6424" w14:paraId="35793F54" w14:textId="77777777" w:rsidTr="00C970C4">
                    <w:trPr>
                      <w:trHeight w:val="300"/>
                      <w:jc w:val="center"/>
                    </w:trPr>
                    <w:tc>
                      <w:tcPr>
                        <w:tcW w:w="1298" w:type="dxa"/>
                        <w:noWrap/>
                        <w:vAlign w:val="bottom"/>
                        <w:hideMark/>
                      </w:tcPr>
                      <w:p w14:paraId="736BB898" w14:textId="77777777" w:rsidR="009A0FCF" w:rsidRPr="00BE6424" w:rsidRDefault="009A0FCF" w:rsidP="00282BC5">
                        <w:pPr>
                          <w:pStyle w:val="Tabletext"/>
                          <w:rPr>
                            <w:lang w:val="es-ES_tradnl"/>
                          </w:rPr>
                        </w:pPr>
                        <w:r w:rsidRPr="00BE6424">
                          <w:rPr>
                            <w:lang w:val="es-ES_tradnl"/>
                          </w:rPr>
                          <w:t>25,28</w:t>
                        </w:r>
                      </w:p>
                    </w:tc>
                    <w:tc>
                      <w:tcPr>
                        <w:tcW w:w="1297" w:type="dxa"/>
                        <w:noWrap/>
                        <w:vAlign w:val="bottom"/>
                        <w:hideMark/>
                      </w:tcPr>
                      <w:p w14:paraId="0695A21F" w14:textId="77777777" w:rsidR="009A0FCF" w:rsidRPr="00BE6424" w:rsidRDefault="009A0FCF" w:rsidP="00282BC5">
                        <w:pPr>
                          <w:pStyle w:val="Tabletext"/>
                          <w:rPr>
                            <w:lang w:val="es-ES_tradnl"/>
                          </w:rPr>
                        </w:pPr>
                        <w:r w:rsidRPr="00BE6424">
                          <w:rPr>
                            <w:lang w:val="es-ES_tradnl"/>
                          </w:rPr>
                          <w:t>41,35</w:t>
                        </w:r>
                      </w:p>
                    </w:tc>
                  </w:tr>
                  <w:tr w:rsidR="009A0FCF" w:rsidRPr="00BE6424" w14:paraId="690A835B" w14:textId="77777777" w:rsidTr="00C970C4">
                    <w:trPr>
                      <w:trHeight w:val="300"/>
                      <w:jc w:val="center"/>
                    </w:trPr>
                    <w:tc>
                      <w:tcPr>
                        <w:tcW w:w="1298" w:type="dxa"/>
                        <w:noWrap/>
                        <w:vAlign w:val="bottom"/>
                        <w:hideMark/>
                      </w:tcPr>
                      <w:p w14:paraId="077F389C" w14:textId="77777777" w:rsidR="009A0FCF" w:rsidRPr="00BE6424" w:rsidRDefault="009A0FCF" w:rsidP="00282BC5">
                        <w:pPr>
                          <w:pStyle w:val="Tabletext"/>
                          <w:rPr>
                            <w:lang w:val="es-ES_tradnl"/>
                          </w:rPr>
                        </w:pPr>
                        <w:r w:rsidRPr="00BE6424">
                          <w:rPr>
                            <w:lang w:val="es-ES_tradnl"/>
                          </w:rPr>
                          <w:t>22,40</w:t>
                        </w:r>
                      </w:p>
                    </w:tc>
                    <w:tc>
                      <w:tcPr>
                        <w:tcW w:w="1297" w:type="dxa"/>
                        <w:noWrap/>
                        <w:vAlign w:val="bottom"/>
                        <w:hideMark/>
                      </w:tcPr>
                      <w:p w14:paraId="36AB69E7" w14:textId="77777777" w:rsidR="009A0FCF" w:rsidRPr="00BE6424" w:rsidRDefault="009A0FCF" w:rsidP="00282BC5">
                        <w:pPr>
                          <w:pStyle w:val="Tabletext"/>
                          <w:rPr>
                            <w:lang w:val="es-ES_tradnl"/>
                          </w:rPr>
                        </w:pPr>
                        <w:r w:rsidRPr="00BE6424">
                          <w:rPr>
                            <w:lang w:val="es-ES_tradnl"/>
                          </w:rPr>
                          <w:t>42,30</w:t>
                        </w:r>
                      </w:p>
                    </w:tc>
                  </w:tr>
                  <w:tr w:rsidR="009A0FCF" w:rsidRPr="00BE6424" w14:paraId="1BB1A6A7" w14:textId="77777777" w:rsidTr="00C970C4">
                    <w:trPr>
                      <w:trHeight w:val="300"/>
                      <w:jc w:val="center"/>
                    </w:trPr>
                    <w:tc>
                      <w:tcPr>
                        <w:tcW w:w="1298" w:type="dxa"/>
                        <w:noWrap/>
                        <w:vAlign w:val="bottom"/>
                        <w:hideMark/>
                      </w:tcPr>
                      <w:p w14:paraId="535E1BFD" w14:textId="77777777" w:rsidR="009A0FCF" w:rsidRPr="00BE6424" w:rsidRDefault="009A0FCF" w:rsidP="00282BC5">
                        <w:pPr>
                          <w:pStyle w:val="Tabletext"/>
                          <w:rPr>
                            <w:lang w:val="es-ES_tradnl"/>
                          </w:rPr>
                        </w:pPr>
                        <w:r w:rsidRPr="00BE6424">
                          <w:rPr>
                            <w:lang w:val="es-ES_tradnl"/>
                          </w:rPr>
                          <w:t>23,01</w:t>
                        </w:r>
                      </w:p>
                    </w:tc>
                    <w:tc>
                      <w:tcPr>
                        <w:tcW w:w="1297" w:type="dxa"/>
                        <w:noWrap/>
                        <w:vAlign w:val="bottom"/>
                        <w:hideMark/>
                      </w:tcPr>
                      <w:p w14:paraId="5C64A242" w14:textId="77777777" w:rsidR="009A0FCF" w:rsidRPr="00BE6424" w:rsidRDefault="009A0FCF" w:rsidP="00282BC5">
                        <w:pPr>
                          <w:pStyle w:val="Tabletext"/>
                          <w:rPr>
                            <w:lang w:val="es-ES_tradnl"/>
                          </w:rPr>
                        </w:pPr>
                        <w:r w:rsidRPr="00BE6424">
                          <w:rPr>
                            <w:lang w:val="es-ES_tradnl"/>
                          </w:rPr>
                          <w:t>41,44</w:t>
                        </w:r>
                      </w:p>
                    </w:tc>
                  </w:tr>
                  <w:tr w:rsidR="009A0FCF" w:rsidRPr="00BE6424" w14:paraId="198982D5" w14:textId="77777777" w:rsidTr="00C970C4">
                    <w:trPr>
                      <w:trHeight w:val="300"/>
                      <w:jc w:val="center"/>
                    </w:trPr>
                    <w:tc>
                      <w:tcPr>
                        <w:tcW w:w="1298" w:type="dxa"/>
                        <w:noWrap/>
                        <w:vAlign w:val="bottom"/>
                        <w:hideMark/>
                      </w:tcPr>
                      <w:p w14:paraId="095324FF" w14:textId="77777777" w:rsidR="009A0FCF" w:rsidRPr="00BE6424" w:rsidRDefault="009A0FCF" w:rsidP="00282BC5">
                        <w:pPr>
                          <w:pStyle w:val="Tabletext"/>
                          <w:rPr>
                            <w:lang w:val="es-ES_tradnl"/>
                          </w:rPr>
                        </w:pPr>
                        <w:r w:rsidRPr="00BE6424">
                          <w:rPr>
                            <w:lang w:val="es-ES_tradnl"/>
                          </w:rPr>
                          <w:t>22,69</w:t>
                        </w:r>
                      </w:p>
                    </w:tc>
                    <w:tc>
                      <w:tcPr>
                        <w:tcW w:w="1297" w:type="dxa"/>
                        <w:noWrap/>
                        <w:vAlign w:val="bottom"/>
                        <w:hideMark/>
                      </w:tcPr>
                      <w:p w14:paraId="55BEF352" w14:textId="77777777" w:rsidR="009A0FCF" w:rsidRPr="00BE6424" w:rsidRDefault="009A0FCF" w:rsidP="00282BC5">
                        <w:pPr>
                          <w:pStyle w:val="Tabletext"/>
                          <w:rPr>
                            <w:lang w:val="es-ES_tradnl"/>
                          </w:rPr>
                        </w:pPr>
                        <w:r w:rsidRPr="00BE6424">
                          <w:rPr>
                            <w:lang w:val="es-ES_tradnl"/>
                          </w:rPr>
                          <w:t>44,17</w:t>
                        </w:r>
                      </w:p>
                    </w:tc>
                  </w:tr>
                </w:tbl>
                <w:p w14:paraId="4B6CEA63" w14:textId="77777777" w:rsidR="009A0FCF" w:rsidRPr="00BE6424" w:rsidRDefault="009A0FCF" w:rsidP="00E51EC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Lines="40" w:after="96" w:line="240" w:lineRule="auto"/>
                    <w:jc w:val="center"/>
                    <w:rPr>
                      <w:rFonts w:asciiTheme="minorHAnsi" w:hAnsiTheme="minorHAnsi" w:cstheme="minorHAnsi"/>
                      <w:sz w:val="18"/>
                      <w:szCs w:val="18"/>
                      <w:lang w:val="es-ES_tradnl"/>
                    </w:rPr>
                  </w:pPr>
                </w:p>
              </w:tc>
            </w:tr>
            <w:tr w:rsidR="009A0FCF" w:rsidRPr="00BE6424" w14:paraId="4DB4B3DB"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49264A3D" w14:textId="77777777" w:rsidR="009A0FCF" w:rsidRPr="00BE6424" w:rsidRDefault="009A0FCF" w:rsidP="00282BC5">
                  <w:pPr>
                    <w:pStyle w:val="Tabletext"/>
                    <w:rPr>
                      <w:lang w:val="es-ES_tradnl"/>
                    </w:rPr>
                  </w:pPr>
                  <w:r w:rsidRPr="00BE6424">
                    <w:rPr>
                      <w:lang w:val="es-ES_tradnl"/>
                    </w:rPr>
                    <w:t>Máxima potencia de entrada</w:t>
                  </w:r>
                </w:p>
              </w:tc>
              <w:tc>
                <w:tcPr>
                  <w:tcW w:w="2982" w:type="dxa"/>
                  <w:tcBorders>
                    <w:top w:val="single" w:sz="4" w:space="0" w:color="auto"/>
                    <w:left w:val="single" w:sz="4" w:space="0" w:color="auto"/>
                    <w:bottom w:val="single" w:sz="4" w:space="0" w:color="auto"/>
                    <w:right w:val="single" w:sz="4" w:space="0" w:color="auto"/>
                  </w:tcBorders>
                  <w:hideMark/>
                </w:tcPr>
                <w:p w14:paraId="5CFADF53" w14:textId="77777777" w:rsidR="009A0FCF" w:rsidRPr="00BE6424" w:rsidRDefault="009A0FCF" w:rsidP="00282BC5">
                  <w:pPr>
                    <w:pStyle w:val="Tabletext"/>
                    <w:jc w:val="center"/>
                    <w:rPr>
                      <w:lang w:val="es-ES_tradnl"/>
                    </w:rPr>
                  </w:pPr>
                  <w:r w:rsidRPr="00BE6424">
                    <w:rPr>
                      <w:lang w:val="es-ES_tradnl"/>
                    </w:rPr>
                    <w:t xml:space="preserve">13,7 </w:t>
                  </w:r>
                  <w:proofErr w:type="spellStart"/>
                  <w:r w:rsidRPr="00BE6424">
                    <w:rPr>
                      <w:lang w:val="es-ES_tradnl"/>
                    </w:rPr>
                    <w:t>dBW</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1F5652D7" w14:textId="77777777" w:rsidR="009A0FCF" w:rsidRPr="00BE6424" w:rsidRDefault="009A0FCF" w:rsidP="00282BC5">
                  <w:pPr>
                    <w:pStyle w:val="Tabletext"/>
                    <w:jc w:val="center"/>
                    <w:rPr>
                      <w:lang w:val="es-ES_tradnl"/>
                    </w:rPr>
                  </w:pPr>
                  <w:r w:rsidRPr="00BE6424">
                    <w:rPr>
                      <w:lang w:val="es-ES_tradnl"/>
                    </w:rPr>
                    <w:t xml:space="preserve">18,8 </w:t>
                  </w:r>
                  <w:proofErr w:type="spellStart"/>
                  <w:r w:rsidRPr="00BE6424">
                    <w:rPr>
                      <w:lang w:val="es-ES_tradnl"/>
                    </w:rPr>
                    <w:t>dBW</w:t>
                  </w:r>
                  <w:proofErr w:type="spellEnd"/>
                </w:p>
              </w:tc>
            </w:tr>
            <w:tr w:rsidR="009A0FCF" w:rsidRPr="00BE6424" w14:paraId="229826DC"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2864C9C7" w14:textId="77777777" w:rsidR="009A0FCF" w:rsidRPr="00BE6424" w:rsidRDefault="009A0FCF" w:rsidP="00282BC5">
                  <w:pPr>
                    <w:pStyle w:val="Tabletext"/>
                    <w:rPr>
                      <w:lang w:val="es-ES_tradnl"/>
                    </w:rPr>
                  </w:pPr>
                  <w:r w:rsidRPr="00BE6424">
                    <w:rPr>
                      <w:lang w:val="es-ES_tradnl"/>
                    </w:rPr>
                    <w:t>Máxima densidad de potencia de entrada</w:t>
                  </w:r>
                </w:p>
              </w:tc>
              <w:tc>
                <w:tcPr>
                  <w:tcW w:w="2982" w:type="dxa"/>
                  <w:tcBorders>
                    <w:top w:val="single" w:sz="4" w:space="0" w:color="auto"/>
                    <w:left w:val="single" w:sz="4" w:space="0" w:color="auto"/>
                    <w:bottom w:val="single" w:sz="4" w:space="0" w:color="auto"/>
                    <w:right w:val="single" w:sz="4" w:space="0" w:color="auto"/>
                  </w:tcBorders>
                  <w:hideMark/>
                </w:tcPr>
                <w:p w14:paraId="3D9D9C61" w14:textId="77777777" w:rsidR="009A0FCF" w:rsidRPr="00BE6424" w:rsidRDefault="009A0FCF" w:rsidP="00282BC5">
                  <w:pPr>
                    <w:pStyle w:val="Tabletext"/>
                    <w:jc w:val="center"/>
                    <w:rPr>
                      <w:lang w:val="es-ES_tradnl"/>
                    </w:rPr>
                  </w:pPr>
                  <w:r w:rsidRPr="00BE6424">
                    <w:rPr>
                      <w:lang w:val="es-ES_tradnl"/>
                    </w:rPr>
                    <w:t xml:space="preserve">–61,5 </w:t>
                  </w:r>
                  <w:proofErr w:type="spellStart"/>
                  <w:r w:rsidRPr="00BE6424">
                    <w:rPr>
                      <w:lang w:val="es-ES_tradnl"/>
                    </w:rPr>
                    <w:t>dBW</w:t>
                  </w:r>
                  <w:proofErr w:type="spellEnd"/>
                  <w:r w:rsidRPr="00BE6424">
                    <w:rPr>
                      <w:lang w:val="es-ES_tradnl"/>
                    </w:rPr>
                    <w:t>/Hz</w:t>
                  </w:r>
                </w:p>
              </w:tc>
              <w:tc>
                <w:tcPr>
                  <w:tcW w:w="3071" w:type="dxa"/>
                  <w:tcBorders>
                    <w:top w:val="single" w:sz="4" w:space="0" w:color="auto"/>
                    <w:left w:val="single" w:sz="4" w:space="0" w:color="auto"/>
                    <w:bottom w:val="single" w:sz="4" w:space="0" w:color="auto"/>
                    <w:right w:val="single" w:sz="4" w:space="0" w:color="auto"/>
                  </w:tcBorders>
                  <w:hideMark/>
                </w:tcPr>
                <w:p w14:paraId="6284FAD8" w14:textId="77777777" w:rsidR="009A0FCF" w:rsidRPr="00BE6424" w:rsidRDefault="009A0FCF" w:rsidP="00282BC5">
                  <w:pPr>
                    <w:pStyle w:val="Tabletext"/>
                    <w:jc w:val="center"/>
                    <w:rPr>
                      <w:lang w:val="es-ES_tradnl"/>
                    </w:rPr>
                  </w:pPr>
                  <w:r w:rsidRPr="00BE6424">
                    <w:rPr>
                      <w:lang w:val="es-ES_tradnl"/>
                    </w:rPr>
                    <w:t xml:space="preserve">–56,4 </w:t>
                  </w:r>
                  <w:proofErr w:type="spellStart"/>
                  <w:r w:rsidRPr="00BE6424">
                    <w:rPr>
                      <w:lang w:val="es-ES_tradnl"/>
                    </w:rPr>
                    <w:t>dBW</w:t>
                  </w:r>
                  <w:proofErr w:type="spellEnd"/>
                  <w:r w:rsidRPr="00BE6424">
                    <w:rPr>
                      <w:lang w:val="es-ES_tradnl"/>
                    </w:rPr>
                    <w:t>/Hz</w:t>
                  </w:r>
                </w:p>
              </w:tc>
            </w:tr>
            <w:tr w:rsidR="009A0FCF" w:rsidRPr="00BE6424" w14:paraId="415B09C8"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42177919" w14:textId="77777777" w:rsidR="009A0FCF" w:rsidRPr="00BE6424" w:rsidRDefault="009A0FCF" w:rsidP="00282BC5">
                  <w:pPr>
                    <w:pStyle w:val="Tabletext"/>
                    <w:rPr>
                      <w:lang w:val="es-ES_tradnl"/>
                    </w:rPr>
                  </w:pPr>
                  <w:r w:rsidRPr="00BE6424">
                    <w:rPr>
                      <w:lang w:val="es-ES_tradnl"/>
                    </w:rPr>
                    <w:t>Ganancia de la antena de estación terrena</w:t>
                  </w:r>
                </w:p>
              </w:tc>
              <w:tc>
                <w:tcPr>
                  <w:tcW w:w="2982" w:type="dxa"/>
                  <w:tcBorders>
                    <w:top w:val="single" w:sz="4" w:space="0" w:color="auto"/>
                    <w:left w:val="single" w:sz="4" w:space="0" w:color="auto"/>
                    <w:bottom w:val="single" w:sz="4" w:space="0" w:color="auto"/>
                    <w:right w:val="single" w:sz="4" w:space="0" w:color="auto"/>
                  </w:tcBorders>
                  <w:hideMark/>
                </w:tcPr>
                <w:p w14:paraId="198D903F" w14:textId="6F5AEFB5" w:rsidR="009A0FCF" w:rsidRPr="00BE6424" w:rsidRDefault="009A0FCF" w:rsidP="00282BC5">
                  <w:pPr>
                    <w:pStyle w:val="Tabletext"/>
                    <w:jc w:val="center"/>
                    <w:rPr>
                      <w:lang w:val="es-ES_tradnl"/>
                    </w:rPr>
                  </w:pPr>
                  <w:r w:rsidRPr="00BE6424">
                    <w:rPr>
                      <w:lang w:val="es-ES_tradnl"/>
                    </w:rPr>
                    <w:t>33,5 dBi</w:t>
                  </w:r>
                  <w:r w:rsidR="008F3EC8" w:rsidRPr="00C40990">
                    <w:rPr>
                      <w:rStyle w:val="FootnoteReference"/>
                      <w:lang w:val="fr-FR"/>
                    </w:rPr>
                    <w:footnoteReference w:id="2"/>
                  </w:r>
                </w:p>
              </w:tc>
              <w:tc>
                <w:tcPr>
                  <w:tcW w:w="3071" w:type="dxa"/>
                  <w:tcBorders>
                    <w:top w:val="single" w:sz="4" w:space="0" w:color="auto"/>
                    <w:left w:val="single" w:sz="4" w:space="0" w:color="auto"/>
                    <w:bottom w:val="single" w:sz="4" w:space="0" w:color="auto"/>
                    <w:right w:val="single" w:sz="4" w:space="0" w:color="auto"/>
                  </w:tcBorders>
                  <w:hideMark/>
                </w:tcPr>
                <w:p w14:paraId="66E38465" w14:textId="77777777" w:rsidR="009A0FCF" w:rsidRPr="00BE6424" w:rsidRDefault="009A0FCF" w:rsidP="00282BC5">
                  <w:pPr>
                    <w:pStyle w:val="Tabletext"/>
                    <w:jc w:val="center"/>
                    <w:rPr>
                      <w:lang w:val="es-ES_tradnl"/>
                    </w:rPr>
                  </w:pPr>
                  <w:r w:rsidRPr="00BE6424">
                    <w:rPr>
                      <w:lang w:val="es-ES_tradnl"/>
                    </w:rPr>
                    <w:t>57 dBi</w:t>
                  </w:r>
                </w:p>
              </w:tc>
            </w:tr>
            <w:tr w:rsidR="009A0FCF" w:rsidRPr="00BE6424" w14:paraId="6114E914"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5C93177E" w14:textId="77777777" w:rsidR="009A0FCF" w:rsidRPr="00BE6424" w:rsidRDefault="009A0FCF" w:rsidP="00282BC5">
                  <w:pPr>
                    <w:pStyle w:val="Tabletext"/>
                    <w:rPr>
                      <w:lang w:val="es-ES_tradnl"/>
                    </w:rPr>
                  </w:pPr>
                  <w:r w:rsidRPr="00BE6424">
                    <w:rPr>
                      <w:lang w:val="es-ES_tradnl"/>
                    </w:rPr>
                    <w:t>Diámetro de antena de estación terrena</w:t>
                  </w:r>
                </w:p>
              </w:tc>
              <w:tc>
                <w:tcPr>
                  <w:tcW w:w="2982" w:type="dxa"/>
                  <w:tcBorders>
                    <w:top w:val="single" w:sz="4" w:space="0" w:color="auto"/>
                    <w:left w:val="single" w:sz="4" w:space="0" w:color="auto"/>
                    <w:bottom w:val="single" w:sz="4" w:space="0" w:color="auto"/>
                    <w:right w:val="single" w:sz="4" w:space="0" w:color="auto"/>
                  </w:tcBorders>
                  <w:hideMark/>
                </w:tcPr>
                <w:p w14:paraId="11F934D0" w14:textId="77777777" w:rsidR="009A0FCF" w:rsidRPr="00BE6424" w:rsidRDefault="009A0FCF" w:rsidP="00282BC5">
                  <w:pPr>
                    <w:pStyle w:val="Tabletext"/>
                    <w:jc w:val="center"/>
                    <w:rPr>
                      <w:lang w:val="es-ES_tradnl"/>
                    </w:rPr>
                  </w:pPr>
                  <w:r w:rsidRPr="00BE6424">
                    <w:rPr>
                      <w:lang w:val="es-ES_tradnl"/>
                    </w:rPr>
                    <w:t>0,6 m</w:t>
                  </w:r>
                </w:p>
              </w:tc>
              <w:tc>
                <w:tcPr>
                  <w:tcW w:w="3071" w:type="dxa"/>
                  <w:tcBorders>
                    <w:top w:val="single" w:sz="4" w:space="0" w:color="auto"/>
                    <w:left w:val="single" w:sz="4" w:space="0" w:color="auto"/>
                    <w:bottom w:val="single" w:sz="4" w:space="0" w:color="auto"/>
                    <w:right w:val="single" w:sz="4" w:space="0" w:color="auto"/>
                  </w:tcBorders>
                  <w:hideMark/>
                </w:tcPr>
                <w:p w14:paraId="206BC297" w14:textId="77777777" w:rsidR="009A0FCF" w:rsidRPr="00BE6424" w:rsidRDefault="009A0FCF" w:rsidP="00282BC5">
                  <w:pPr>
                    <w:pStyle w:val="Tabletext"/>
                    <w:jc w:val="center"/>
                    <w:rPr>
                      <w:lang w:val="es-ES_tradnl"/>
                    </w:rPr>
                  </w:pPr>
                  <w:r w:rsidRPr="00BE6424">
                    <w:rPr>
                      <w:lang w:val="es-ES_tradnl"/>
                    </w:rPr>
                    <w:t>5 m</w:t>
                  </w:r>
                </w:p>
              </w:tc>
            </w:tr>
            <w:tr w:rsidR="009A0FCF" w:rsidRPr="00BE6424" w14:paraId="6CC70B90"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7A3E9661" w14:textId="77777777" w:rsidR="009A0FCF" w:rsidRPr="00BE6424" w:rsidRDefault="009A0FCF" w:rsidP="00282BC5">
                  <w:pPr>
                    <w:pStyle w:val="Tabletext"/>
                    <w:rPr>
                      <w:lang w:val="es-ES_tradnl"/>
                    </w:rPr>
                  </w:pPr>
                  <w:r w:rsidRPr="00BE6424">
                    <w:rPr>
                      <w:lang w:val="es-ES_tradnl"/>
                    </w:rPr>
                    <w:t>Diagrama de antena de estación terrena</w:t>
                  </w:r>
                </w:p>
              </w:tc>
              <w:tc>
                <w:tcPr>
                  <w:tcW w:w="2982" w:type="dxa"/>
                  <w:tcBorders>
                    <w:top w:val="single" w:sz="4" w:space="0" w:color="auto"/>
                    <w:left w:val="single" w:sz="4" w:space="0" w:color="auto"/>
                    <w:bottom w:val="single" w:sz="4" w:space="0" w:color="auto"/>
                    <w:right w:val="single" w:sz="4" w:space="0" w:color="auto"/>
                  </w:tcBorders>
                  <w:hideMark/>
                </w:tcPr>
                <w:p w14:paraId="4E1BF994" w14:textId="77777777" w:rsidR="009A0FCF" w:rsidRPr="00BE6424" w:rsidRDefault="009A0FCF" w:rsidP="00282BC5">
                  <w:pPr>
                    <w:pStyle w:val="Tabletext"/>
                    <w:jc w:val="center"/>
                    <w:rPr>
                      <w:lang w:val="es-ES_tradnl"/>
                    </w:rPr>
                  </w:pPr>
                  <w:r w:rsidRPr="00BE6424">
                    <w:rPr>
                      <w:lang w:val="es-ES_tradnl"/>
                    </w:rPr>
                    <w:t>MODRES</w:t>
                  </w:r>
                </w:p>
              </w:tc>
              <w:tc>
                <w:tcPr>
                  <w:tcW w:w="3071" w:type="dxa"/>
                  <w:tcBorders>
                    <w:top w:val="single" w:sz="4" w:space="0" w:color="auto"/>
                    <w:left w:val="single" w:sz="4" w:space="0" w:color="auto"/>
                    <w:bottom w:val="single" w:sz="4" w:space="0" w:color="auto"/>
                    <w:right w:val="single" w:sz="4" w:space="0" w:color="auto"/>
                  </w:tcBorders>
                  <w:hideMark/>
                </w:tcPr>
                <w:p w14:paraId="224283CD" w14:textId="77777777" w:rsidR="009A0FCF" w:rsidRPr="00BE6424" w:rsidRDefault="009A0FCF" w:rsidP="00282BC5">
                  <w:pPr>
                    <w:pStyle w:val="Tabletext"/>
                    <w:jc w:val="center"/>
                    <w:rPr>
                      <w:lang w:val="es-ES_tradnl"/>
                    </w:rPr>
                  </w:pPr>
                  <w:r w:rsidRPr="00BE6424">
                    <w:rPr>
                      <w:lang w:val="es-ES_tradnl"/>
                    </w:rPr>
                    <w:t>MODTES</w:t>
                  </w:r>
                </w:p>
              </w:tc>
            </w:tr>
            <w:tr w:rsidR="009A0FCF" w:rsidRPr="00BE6424" w14:paraId="0964A56A"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2B138714" w14:textId="77777777" w:rsidR="009A0FCF" w:rsidRPr="00BE6424" w:rsidRDefault="009A0FCF" w:rsidP="00282BC5">
                  <w:pPr>
                    <w:pStyle w:val="Tabletext"/>
                    <w:rPr>
                      <w:lang w:val="es-ES_tradnl"/>
                    </w:rPr>
                  </w:pPr>
                  <w:r w:rsidRPr="00BE6424">
                    <w:rPr>
                      <w:lang w:val="es-ES_tradnl"/>
                    </w:rPr>
                    <w:t>Ancho del haz de 3 dB de estación terrena</w:t>
                  </w:r>
                </w:p>
              </w:tc>
              <w:tc>
                <w:tcPr>
                  <w:tcW w:w="2982" w:type="dxa"/>
                  <w:tcBorders>
                    <w:top w:val="single" w:sz="4" w:space="0" w:color="auto"/>
                    <w:left w:val="single" w:sz="4" w:space="0" w:color="auto"/>
                    <w:bottom w:val="single" w:sz="4" w:space="0" w:color="auto"/>
                    <w:right w:val="single" w:sz="4" w:space="0" w:color="auto"/>
                  </w:tcBorders>
                  <w:hideMark/>
                </w:tcPr>
                <w:p w14:paraId="2731D62B" w14:textId="77777777" w:rsidR="009A0FCF" w:rsidRPr="00BE6424" w:rsidRDefault="009A0FCF" w:rsidP="00282BC5">
                  <w:pPr>
                    <w:pStyle w:val="Tabletext"/>
                    <w:jc w:val="center"/>
                    <w:rPr>
                      <w:lang w:val="es-ES_tradnl"/>
                    </w:rPr>
                  </w:pPr>
                  <w:r w:rsidRPr="00BE6424">
                    <w:rPr>
                      <w:lang w:val="es-ES_tradnl"/>
                    </w:rPr>
                    <w:t>2,86°</w:t>
                  </w:r>
                </w:p>
              </w:tc>
              <w:tc>
                <w:tcPr>
                  <w:tcW w:w="3071" w:type="dxa"/>
                  <w:tcBorders>
                    <w:top w:val="single" w:sz="4" w:space="0" w:color="auto"/>
                    <w:left w:val="single" w:sz="4" w:space="0" w:color="auto"/>
                    <w:bottom w:val="single" w:sz="4" w:space="0" w:color="auto"/>
                    <w:right w:val="single" w:sz="4" w:space="0" w:color="auto"/>
                  </w:tcBorders>
                  <w:hideMark/>
                </w:tcPr>
                <w:p w14:paraId="3DF20989" w14:textId="77777777" w:rsidR="009A0FCF" w:rsidRPr="00BE6424" w:rsidRDefault="009A0FCF" w:rsidP="00282BC5">
                  <w:pPr>
                    <w:pStyle w:val="Tabletext"/>
                    <w:jc w:val="center"/>
                    <w:rPr>
                      <w:lang w:val="es-ES_tradnl"/>
                    </w:rPr>
                  </w:pPr>
                  <w:r w:rsidRPr="00BE6424">
                    <w:rPr>
                      <w:lang w:val="es-ES_tradnl"/>
                    </w:rPr>
                    <w:t>0,25°</w:t>
                  </w:r>
                </w:p>
              </w:tc>
            </w:tr>
            <w:tr w:rsidR="009A0FCF" w:rsidRPr="00BE6424" w14:paraId="21FE821A"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752A8269" w14:textId="77777777" w:rsidR="009A0FCF" w:rsidRPr="00BE6424" w:rsidRDefault="009A0FCF" w:rsidP="00282BC5">
                  <w:pPr>
                    <w:pStyle w:val="Tabletext"/>
                    <w:rPr>
                      <w:lang w:val="es-ES_tradnl"/>
                    </w:rPr>
                  </w:pPr>
                  <w:r w:rsidRPr="00BE6424">
                    <w:rPr>
                      <w:lang w:val="es-ES_tradnl"/>
                    </w:rPr>
                    <w:t>10 canales</w:t>
                  </w:r>
                </w:p>
              </w:tc>
              <w:tc>
                <w:tcPr>
                  <w:tcW w:w="2982" w:type="dxa"/>
                  <w:tcBorders>
                    <w:top w:val="single" w:sz="4" w:space="0" w:color="auto"/>
                    <w:left w:val="single" w:sz="4" w:space="0" w:color="auto"/>
                    <w:bottom w:val="single" w:sz="4" w:space="0" w:color="auto"/>
                    <w:right w:val="single" w:sz="4" w:space="0" w:color="auto"/>
                  </w:tcBorders>
                  <w:hideMark/>
                </w:tcPr>
                <w:p w14:paraId="7AD9EB1B" w14:textId="77777777" w:rsidR="009A0FCF" w:rsidRPr="00BE6424" w:rsidRDefault="009A0FCF" w:rsidP="00282BC5">
                  <w:pPr>
                    <w:pStyle w:val="Tabletext"/>
                    <w:jc w:val="center"/>
                    <w:rPr>
                      <w:lang w:val="es-ES_tradnl"/>
                    </w:rPr>
                  </w:pPr>
                  <w:r w:rsidRPr="00BE6424">
                    <w:rPr>
                      <w:lang w:val="es-ES_tradnl"/>
                    </w:rPr>
                    <w:t>1, 2, 3, 4, 5, 6, 7, 8, 17, 18</w:t>
                  </w:r>
                </w:p>
              </w:tc>
              <w:tc>
                <w:tcPr>
                  <w:tcW w:w="3071" w:type="dxa"/>
                  <w:tcBorders>
                    <w:top w:val="single" w:sz="4" w:space="0" w:color="auto"/>
                    <w:left w:val="single" w:sz="4" w:space="0" w:color="auto"/>
                    <w:bottom w:val="single" w:sz="4" w:space="0" w:color="auto"/>
                    <w:right w:val="single" w:sz="4" w:space="0" w:color="auto"/>
                  </w:tcBorders>
                  <w:hideMark/>
                </w:tcPr>
                <w:p w14:paraId="151D597B" w14:textId="77777777" w:rsidR="009A0FCF" w:rsidRPr="00BE6424" w:rsidRDefault="009A0FCF" w:rsidP="00282BC5">
                  <w:pPr>
                    <w:pStyle w:val="Tabletext"/>
                    <w:jc w:val="center"/>
                    <w:rPr>
                      <w:lang w:val="es-ES_tradnl"/>
                    </w:rPr>
                  </w:pPr>
                  <w:r w:rsidRPr="00BE6424">
                    <w:rPr>
                      <w:lang w:val="es-ES_tradnl"/>
                    </w:rPr>
                    <w:t>1, 2, 3, 4, 5, 6, 7, 8, 17, 18</w:t>
                  </w:r>
                </w:p>
              </w:tc>
            </w:tr>
            <w:tr w:rsidR="009A0FCF" w:rsidRPr="00BE6424" w14:paraId="5C5FEA31"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3BD1DEAF" w14:textId="77777777" w:rsidR="009A0FCF" w:rsidRPr="00BE6424" w:rsidRDefault="009A0FCF" w:rsidP="00282BC5">
                  <w:pPr>
                    <w:pStyle w:val="Tabletext"/>
                    <w:rPr>
                      <w:lang w:val="es-ES_tradnl"/>
                    </w:rPr>
                  </w:pPr>
                  <w:r w:rsidRPr="00BE6424">
                    <w:rPr>
                      <w:lang w:val="es-ES_tradnl"/>
                    </w:rPr>
                    <w:t>Ancho de banda por canal</w:t>
                  </w:r>
                </w:p>
              </w:tc>
              <w:tc>
                <w:tcPr>
                  <w:tcW w:w="2982" w:type="dxa"/>
                  <w:tcBorders>
                    <w:top w:val="single" w:sz="4" w:space="0" w:color="auto"/>
                    <w:left w:val="single" w:sz="4" w:space="0" w:color="auto"/>
                    <w:bottom w:val="single" w:sz="4" w:space="0" w:color="auto"/>
                    <w:right w:val="single" w:sz="4" w:space="0" w:color="auto"/>
                  </w:tcBorders>
                  <w:hideMark/>
                </w:tcPr>
                <w:p w14:paraId="7D58C519" w14:textId="77777777" w:rsidR="009A0FCF" w:rsidRPr="00BE6424" w:rsidRDefault="009A0FCF" w:rsidP="00282BC5">
                  <w:pPr>
                    <w:pStyle w:val="Tabletext"/>
                    <w:jc w:val="center"/>
                    <w:rPr>
                      <w:lang w:val="es-ES_tradnl"/>
                    </w:rPr>
                  </w:pPr>
                  <w:r w:rsidRPr="00BE6424">
                    <w:rPr>
                      <w:lang w:val="es-ES_tradnl"/>
                    </w:rPr>
                    <w:t>33 MHz</w:t>
                  </w:r>
                </w:p>
              </w:tc>
              <w:tc>
                <w:tcPr>
                  <w:tcW w:w="3071" w:type="dxa"/>
                  <w:tcBorders>
                    <w:top w:val="single" w:sz="4" w:space="0" w:color="auto"/>
                    <w:left w:val="single" w:sz="4" w:space="0" w:color="auto"/>
                    <w:bottom w:val="single" w:sz="4" w:space="0" w:color="auto"/>
                    <w:right w:val="single" w:sz="4" w:space="0" w:color="auto"/>
                  </w:tcBorders>
                  <w:hideMark/>
                </w:tcPr>
                <w:p w14:paraId="518E5501" w14:textId="77777777" w:rsidR="009A0FCF" w:rsidRPr="00BE6424" w:rsidRDefault="009A0FCF" w:rsidP="00282BC5">
                  <w:pPr>
                    <w:pStyle w:val="Tabletext"/>
                    <w:jc w:val="center"/>
                    <w:rPr>
                      <w:lang w:val="es-ES_tradnl"/>
                    </w:rPr>
                  </w:pPr>
                  <w:r w:rsidRPr="00BE6424">
                    <w:rPr>
                      <w:lang w:val="es-ES_tradnl"/>
                    </w:rPr>
                    <w:t>33 MHz</w:t>
                  </w:r>
                </w:p>
              </w:tc>
            </w:tr>
            <w:tr w:rsidR="009A0FCF" w:rsidRPr="00BE6424" w14:paraId="39E858DC"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66A84A0B" w14:textId="77777777" w:rsidR="009A0FCF" w:rsidRPr="00BE6424" w:rsidRDefault="009A0FCF" w:rsidP="00282BC5">
                  <w:pPr>
                    <w:pStyle w:val="Tabletext"/>
                    <w:rPr>
                      <w:lang w:val="es-ES_tradnl"/>
                    </w:rPr>
                  </w:pPr>
                  <w:r w:rsidRPr="00BE6424">
                    <w:rPr>
                      <w:lang w:val="es-ES_tradnl"/>
                    </w:rPr>
                    <w:t>Polarización</w:t>
                  </w:r>
                </w:p>
              </w:tc>
              <w:tc>
                <w:tcPr>
                  <w:tcW w:w="2982" w:type="dxa"/>
                  <w:tcBorders>
                    <w:top w:val="single" w:sz="4" w:space="0" w:color="auto"/>
                    <w:left w:val="single" w:sz="4" w:space="0" w:color="auto"/>
                    <w:bottom w:val="single" w:sz="4" w:space="0" w:color="auto"/>
                    <w:right w:val="single" w:sz="4" w:space="0" w:color="auto"/>
                  </w:tcBorders>
                  <w:hideMark/>
                </w:tcPr>
                <w:p w14:paraId="612D6594" w14:textId="77777777" w:rsidR="009A0FCF" w:rsidRPr="00BE6424" w:rsidRDefault="009A0FCF" w:rsidP="00282BC5">
                  <w:pPr>
                    <w:pStyle w:val="Tabletext"/>
                    <w:jc w:val="center"/>
                    <w:rPr>
                      <w:lang w:val="es-ES_tradnl"/>
                    </w:rPr>
                  </w:pPr>
                  <w:r w:rsidRPr="00BE6424">
                    <w:rPr>
                      <w:lang w:val="es-ES_tradnl"/>
                    </w:rPr>
                    <w:t>Lineal impar 0°</w:t>
                  </w:r>
                </w:p>
                <w:p w14:paraId="259ED9F3" w14:textId="77777777" w:rsidR="009A0FCF" w:rsidRPr="00BE6424" w:rsidRDefault="009A0FCF" w:rsidP="00282BC5">
                  <w:pPr>
                    <w:pStyle w:val="Tabletext"/>
                    <w:jc w:val="center"/>
                    <w:rPr>
                      <w:lang w:val="es-ES_tradnl"/>
                    </w:rPr>
                  </w:pPr>
                  <w:r w:rsidRPr="00BE6424">
                    <w:rPr>
                      <w:lang w:val="es-ES_tradnl"/>
                    </w:rPr>
                    <w:t>Lineal par 90°</w:t>
                  </w:r>
                </w:p>
              </w:tc>
              <w:tc>
                <w:tcPr>
                  <w:tcW w:w="3071" w:type="dxa"/>
                  <w:tcBorders>
                    <w:top w:val="single" w:sz="4" w:space="0" w:color="auto"/>
                    <w:left w:val="single" w:sz="4" w:space="0" w:color="auto"/>
                    <w:bottom w:val="single" w:sz="4" w:space="0" w:color="auto"/>
                    <w:right w:val="single" w:sz="4" w:space="0" w:color="auto"/>
                  </w:tcBorders>
                  <w:hideMark/>
                </w:tcPr>
                <w:p w14:paraId="5A1C0A6E" w14:textId="77777777" w:rsidR="009A0FCF" w:rsidRPr="00BE6424" w:rsidRDefault="009A0FCF" w:rsidP="00282BC5">
                  <w:pPr>
                    <w:pStyle w:val="Tabletext"/>
                    <w:jc w:val="center"/>
                    <w:rPr>
                      <w:lang w:val="es-ES_tradnl"/>
                    </w:rPr>
                  </w:pPr>
                  <w:r w:rsidRPr="00BE6424">
                    <w:rPr>
                      <w:lang w:val="es-ES_tradnl"/>
                    </w:rPr>
                    <w:t>Lineal impar 0°</w:t>
                  </w:r>
                </w:p>
                <w:p w14:paraId="00C8FEEC" w14:textId="77777777" w:rsidR="009A0FCF" w:rsidRPr="00BE6424" w:rsidRDefault="009A0FCF" w:rsidP="00282BC5">
                  <w:pPr>
                    <w:pStyle w:val="Tabletext"/>
                    <w:jc w:val="center"/>
                    <w:rPr>
                      <w:lang w:val="es-ES_tradnl"/>
                    </w:rPr>
                  </w:pPr>
                  <w:r w:rsidRPr="00BE6424">
                    <w:rPr>
                      <w:lang w:val="es-ES_tradnl"/>
                    </w:rPr>
                    <w:t>Lineal par 90</w:t>
                  </w:r>
                  <w:r w:rsidRPr="00BE6424">
                    <w:rPr>
                      <w:lang w:val="es-ES_tradnl"/>
                    </w:rPr>
                    <w:sym w:font="Symbol" w:char="F0B0"/>
                  </w:r>
                </w:p>
              </w:tc>
            </w:tr>
            <w:tr w:rsidR="009A0FCF" w:rsidRPr="00BE6424" w14:paraId="6DC2073F"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21A5C172" w14:textId="77777777" w:rsidR="009A0FCF" w:rsidRPr="00BE6424" w:rsidRDefault="009A0FCF" w:rsidP="00282BC5">
                  <w:pPr>
                    <w:pStyle w:val="Tabletext"/>
                    <w:rPr>
                      <w:lang w:val="es-ES_tradnl"/>
                    </w:rPr>
                  </w:pPr>
                  <w:r w:rsidRPr="00BE6424">
                    <w:rPr>
                      <w:lang w:val="es-ES_tradnl"/>
                    </w:rPr>
                    <w:t>Designación de la emisión</w:t>
                  </w:r>
                </w:p>
              </w:tc>
              <w:tc>
                <w:tcPr>
                  <w:tcW w:w="2982" w:type="dxa"/>
                  <w:tcBorders>
                    <w:top w:val="single" w:sz="4" w:space="0" w:color="auto"/>
                    <w:left w:val="single" w:sz="4" w:space="0" w:color="auto"/>
                    <w:bottom w:val="single" w:sz="4" w:space="0" w:color="auto"/>
                    <w:right w:val="single" w:sz="4" w:space="0" w:color="auto"/>
                  </w:tcBorders>
                  <w:hideMark/>
                </w:tcPr>
                <w:p w14:paraId="6EFB0954" w14:textId="77777777" w:rsidR="009A0FCF" w:rsidRPr="00BE6424" w:rsidRDefault="009A0FCF" w:rsidP="00282BC5">
                  <w:pPr>
                    <w:pStyle w:val="Tabletext"/>
                    <w:jc w:val="center"/>
                    <w:rPr>
                      <w:lang w:val="es-ES_tradnl"/>
                    </w:rPr>
                  </w:pPr>
                  <w:r w:rsidRPr="00BE6424">
                    <w:rPr>
                      <w:lang w:val="es-ES_tradnl"/>
                    </w:rPr>
                    <w:t>33M0G7W--</w:t>
                  </w:r>
                </w:p>
              </w:tc>
              <w:tc>
                <w:tcPr>
                  <w:tcW w:w="3071" w:type="dxa"/>
                  <w:tcBorders>
                    <w:top w:val="single" w:sz="4" w:space="0" w:color="auto"/>
                    <w:left w:val="single" w:sz="4" w:space="0" w:color="auto"/>
                    <w:bottom w:val="single" w:sz="4" w:space="0" w:color="auto"/>
                    <w:right w:val="single" w:sz="4" w:space="0" w:color="auto"/>
                  </w:tcBorders>
                  <w:hideMark/>
                </w:tcPr>
                <w:p w14:paraId="2FA1D055" w14:textId="77777777" w:rsidR="009A0FCF" w:rsidRPr="00BE6424" w:rsidRDefault="009A0FCF" w:rsidP="00282BC5">
                  <w:pPr>
                    <w:pStyle w:val="Tabletext"/>
                    <w:jc w:val="center"/>
                    <w:rPr>
                      <w:lang w:val="es-ES_tradnl"/>
                    </w:rPr>
                  </w:pPr>
                  <w:r w:rsidRPr="00BE6424">
                    <w:rPr>
                      <w:lang w:val="es-ES_tradnl"/>
                    </w:rPr>
                    <w:t>33M0G7W--</w:t>
                  </w:r>
                </w:p>
              </w:tc>
            </w:tr>
            <w:tr w:rsidR="009A0FCF" w:rsidRPr="00BE6424" w14:paraId="49156FB8"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479CE8D5" w14:textId="77777777" w:rsidR="009A0FCF" w:rsidRPr="00BE6424" w:rsidRDefault="009A0FCF" w:rsidP="00282BC5">
                  <w:pPr>
                    <w:pStyle w:val="Tabletext"/>
                    <w:rPr>
                      <w:lang w:val="es-ES_tradnl"/>
                    </w:rPr>
                  </w:pPr>
                  <w:r w:rsidRPr="00BE6424">
                    <w:rPr>
                      <w:lang w:val="es-ES_tradnl"/>
                    </w:rPr>
                    <w:t>Control de potencia</w:t>
                  </w:r>
                </w:p>
              </w:tc>
              <w:tc>
                <w:tcPr>
                  <w:tcW w:w="2982" w:type="dxa"/>
                  <w:tcBorders>
                    <w:top w:val="single" w:sz="4" w:space="0" w:color="auto"/>
                    <w:left w:val="single" w:sz="4" w:space="0" w:color="auto"/>
                    <w:bottom w:val="single" w:sz="4" w:space="0" w:color="auto"/>
                    <w:right w:val="single" w:sz="4" w:space="0" w:color="auto"/>
                  </w:tcBorders>
                </w:tcPr>
                <w:p w14:paraId="699D1169" w14:textId="77777777" w:rsidR="009A0FCF" w:rsidRPr="00BE6424" w:rsidRDefault="009A0FCF" w:rsidP="00282BC5">
                  <w:pPr>
                    <w:pStyle w:val="Tabletext"/>
                    <w:jc w:val="center"/>
                    <w:rPr>
                      <w:lang w:val="es-ES_tradnl"/>
                    </w:rPr>
                  </w:pPr>
                </w:p>
              </w:tc>
              <w:tc>
                <w:tcPr>
                  <w:tcW w:w="3071" w:type="dxa"/>
                  <w:tcBorders>
                    <w:top w:val="single" w:sz="4" w:space="0" w:color="auto"/>
                    <w:left w:val="single" w:sz="4" w:space="0" w:color="auto"/>
                    <w:bottom w:val="single" w:sz="4" w:space="0" w:color="auto"/>
                    <w:right w:val="single" w:sz="4" w:space="0" w:color="auto"/>
                  </w:tcBorders>
                  <w:hideMark/>
                </w:tcPr>
                <w:p w14:paraId="49B1E7C6" w14:textId="77777777" w:rsidR="009A0FCF" w:rsidRPr="00BE6424" w:rsidRDefault="009A0FCF" w:rsidP="00282BC5">
                  <w:pPr>
                    <w:pStyle w:val="Tabletext"/>
                    <w:jc w:val="center"/>
                    <w:rPr>
                      <w:lang w:val="es-ES_tradnl"/>
                    </w:rPr>
                  </w:pPr>
                  <w:r w:rsidRPr="00BE6424">
                    <w:rPr>
                      <w:lang w:val="es-ES_tradnl"/>
                    </w:rPr>
                    <w:t>3 dB</w:t>
                  </w:r>
                </w:p>
              </w:tc>
            </w:tr>
            <w:tr w:rsidR="009A0FCF" w:rsidRPr="00BE6424" w14:paraId="0188DB5F"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566BC90C" w14:textId="77777777" w:rsidR="009A0FCF" w:rsidRPr="00BE6424" w:rsidRDefault="009A0FCF" w:rsidP="00282BC5">
                  <w:pPr>
                    <w:pStyle w:val="Tabletext"/>
                    <w:rPr>
                      <w:lang w:val="es-ES_tradnl"/>
                    </w:rPr>
                  </w:pPr>
                  <w:r w:rsidRPr="00BE6424">
                    <w:rPr>
                      <w:lang w:val="es-ES_tradnl"/>
                    </w:rPr>
                    <w:t>Control automático de ganancia</w:t>
                  </w:r>
                </w:p>
              </w:tc>
              <w:tc>
                <w:tcPr>
                  <w:tcW w:w="2982" w:type="dxa"/>
                  <w:tcBorders>
                    <w:top w:val="single" w:sz="4" w:space="0" w:color="auto"/>
                    <w:left w:val="single" w:sz="4" w:space="0" w:color="auto"/>
                    <w:bottom w:val="single" w:sz="4" w:space="0" w:color="auto"/>
                    <w:right w:val="single" w:sz="4" w:space="0" w:color="auto"/>
                  </w:tcBorders>
                </w:tcPr>
                <w:p w14:paraId="000CBE16" w14:textId="77777777" w:rsidR="009A0FCF" w:rsidRPr="00BE6424" w:rsidRDefault="009A0FCF" w:rsidP="00282BC5">
                  <w:pPr>
                    <w:pStyle w:val="Tabletext"/>
                    <w:jc w:val="center"/>
                    <w:rPr>
                      <w:lang w:val="es-ES_tradnl"/>
                    </w:rPr>
                  </w:pPr>
                </w:p>
              </w:tc>
              <w:tc>
                <w:tcPr>
                  <w:tcW w:w="3071" w:type="dxa"/>
                  <w:tcBorders>
                    <w:top w:val="single" w:sz="4" w:space="0" w:color="auto"/>
                    <w:left w:val="single" w:sz="4" w:space="0" w:color="auto"/>
                    <w:bottom w:val="single" w:sz="4" w:space="0" w:color="auto"/>
                    <w:right w:val="single" w:sz="4" w:space="0" w:color="auto"/>
                  </w:tcBorders>
                  <w:hideMark/>
                </w:tcPr>
                <w:p w14:paraId="03E4F49D" w14:textId="77777777" w:rsidR="009A0FCF" w:rsidRPr="00BE6424" w:rsidRDefault="009A0FCF" w:rsidP="00282BC5">
                  <w:pPr>
                    <w:pStyle w:val="Tabletext"/>
                    <w:jc w:val="center"/>
                    <w:rPr>
                      <w:lang w:val="es-ES_tradnl"/>
                    </w:rPr>
                  </w:pPr>
                  <w:r w:rsidRPr="00BE6424">
                    <w:rPr>
                      <w:lang w:val="es-ES_tradnl"/>
                    </w:rPr>
                    <w:t>15 dB</w:t>
                  </w:r>
                </w:p>
              </w:tc>
            </w:tr>
            <w:tr w:rsidR="009A0FCF" w:rsidRPr="00BE6424" w14:paraId="30E64417"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7A546C59" w14:textId="77777777" w:rsidR="009A0FCF" w:rsidRPr="00BE6424" w:rsidRDefault="009A0FCF" w:rsidP="00282BC5">
                  <w:pPr>
                    <w:pStyle w:val="Tabletext"/>
                    <w:rPr>
                      <w:lang w:val="es-ES_tradnl"/>
                    </w:rPr>
                  </w:pPr>
                  <w:r w:rsidRPr="00BE6424">
                    <w:rPr>
                      <w:lang w:val="es-ES_tradnl"/>
                    </w:rPr>
                    <w:t>Temperatura de ruido</w:t>
                  </w:r>
                </w:p>
              </w:tc>
              <w:tc>
                <w:tcPr>
                  <w:tcW w:w="2982" w:type="dxa"/>
                  <w:tcBorders>
                    <w:top w:val="single" w:sz="4" w:space="0" w:color="auto"/>
                    <w:left w:val="single" w:sz="4" w:space="0" w:color="auto"/>
                    <w:bottom w:val="single" w:sz="4" w:space="0" w:color="auto"/>
                    <w:right w:val="single" w:sz="4" w:space="0" w:color="auto"/>
                  </w:tcBorders>
                </w:tcPr>
                <w:p w14:paraId="13CD79C2" w14:textId="77777777" w:rsidR="009A0FCF" w:rsidRPr="00BE6424" w:rsidRDefault="009A0FCF" w:rsidP="00282BC5">
                  <w:pPr>
                    <w:pStyle w:val="Tabletext"/>
                    <w:jc w:val="center"/>
                    <w:rPr>
                      <w:lang w:val="es-ES_tradnl"/>
                    </w:rPr>
                  </w:pPr>
                </w:p>
              </w:tc>
              <w:tc>
                <w:tcPr>
                  <w:tcW w:w="3071" w:type="dxa"/>
                  <w:tcBorders>
                    <w:top w:val="single" w:sz="4" w:space="0" w:color="auto"/>
                    <w:left w:val="single" w:sz="4" w:space="0" w:color="auto"/>
                    <w:bottom w:val="single" w:sz="4" w:space="0" w:color="auto"/>
                    <w:right w:val="single" w:sz="4" w:space="0" w:color="auto"/>
                  </w:tcBorders>
                  <w:hideMark/>
                </w:tcPr>
                <w:p w14:paraId="4CC4B1D0" w14:textId="77777777" w:rsidR="009A0FCF" w:rsidRPr="00BE6424" w:rsidRDefault="009A0FCF" w:rsidP="00282BC5">
                  <w:pPr>
                    <w:pStyle w:val="Tabletext"/>
                    <w:jc w:val="center"/>
                    <w:rPr>
                      <w:lang w:val="es-ES_tradnl"/>
                    </w:rPr>
                  </w:pPr>
                  <w:r w:rsidRPr="00BE6424">
                    <w:rPr>
                      <w:lang w:val="es-ES_tradnl"/>
                    </w:rPr>
                    <w:t>600 K</w:t>
                  </w:r>
                </w:p>
              </w:tc>
            </w:tr>
            <w:tr w:rsidR="009A0FCF" w:rsidRPr="00BE6424" w14:paraId="6DE45662" w14:textId="77777777" w:rsidTr="008F3EC8">
              <w:trPr>
                <w:jc w:val="center"/>
              </w:trPr>
              <w:tc>
                <w:tcPr>
                  <w:tcW w:w="3327" w:type="dxa"/>
                  <w:tcBorders>
                    <w:top w:val="single" w:sz="4" w:space="0" w:color="auto"/>
                    <w:left w:val="single" w:sz="4" w:space="0" w:color="auto"/>
                    <w:bottom w:val="single" w:sz="4" w:space="0" w:color="auto"/>
                    <w:right w:val="single" w:sz="4" w:space="0" w:color="auto"/>
                  </w:tcBorders>
                  <w:hideMark/>
                </w:tcPr>
                <w:p w14:paraId="0CCF03CB" w14:textId="77777777" w:rsidR="009A0FCF" w:rsidRPr="00BE6424" w:rsidRDefault="009A0FCF" w:rsidP="00282BC5">
                  <w:pPr>
                    <w:pStyle w:val="Tabletext"/>
                    <w:rPr>
                      <w:lang w:val="es-ES_tradnl"/>
                    </w:rPr>
                  </w:pPr>
                  <w:r w:rsidRPr="00BE6424">
                    <w:rPr>
                      <w:lang w:val="es-ES_tradnl"/>
                    </w:rPr>
                    <w:t>Código de grupo de operación exclusivo</w:t>
                  </w:r>
                </w:p>
              </w:tc>
              <w:tc>
                <w:tcPr>
                  <w:tcW w:w="2982" w:type="dxa"/>
                  <w:tcBorders>
                    <w:top w:val="single" w:sz="4" w:space="0" w:color="auto"/>
                    <w:left w:val="single" w:sz="4" w:space="0" w:color="auto"/>
                    <w:bottom w:val="single" w:sz="4" w:space="0" w:color="auto"/>
                    <w:right w:val="single" w:sz="4" w:space="0" w:color="auto"/>
                  </w:tcBorders>
                  <w:hideMark/>
                </w:tcPr>
                <w:p w14:paraId="7CD149A0" w14:textId="77777777" w:rsidR="009A0FCF" w:rsidRPr="00BE6424" w:rsidRDefault="009A0FCF" w:rsidP="00282BC5">
                  <w:pPr>
                    <w:pStyle w:val="Tabletext"/>
                    <w:jc w:val="center"/>
                    <w:rPr>
                      <w:lang w:val="es-ES_tradnl"/>
                    </w:rPr>
                  </w:pPr>
                  <w:r w:rsidRPr="00BE6424">
                    <w:rPr>
                      <w:lang w:val="es-ES_tradnl"/>
                    </w:rPr>
                    <w:t>E5</w:t>
                  </w:r>
                </w:p>
              </w:tc>
              <w:tc>
                <w:tcPr>
                  <w:tcW w:w="3071" w:type="dxa"/>
                  <w:tcBorders>
                    <w:top w:val="single" w:sz="4" w:space="0" w:color="auto"/>
                    <w:left w:val="single" w:sz="4" w:space="0" w:color="auto"/>
                    <w:bottom w:val="single" w:sz="4" w:space="0" w:color="auto"/>
                    <w:right w:val="single" w:sz="4" w:space="0" w:color="auto"/>
                  </w:tcBorders>
                  <w:hideMark/>
                </w:tcPr>
                <w:p w14:paraId="040278E3" w14:textId="77777777" w:rsidR="009A0FCF" w:rsidRPr="00BE6424" w:rsidRDefault="009A0FCF" w:rsidP="00282BC5">
                  <w:pPr>
                    <w:pStyle w:val="Tabletext"/>
                    <w:jc w:val="center"/>
                    <w:rPr>
                      <w:lang w:val="es-ES_tradnl"/>
                    </w:rPr>
                  </w:pPr>
                  <w:r w:rsidRPr="00BE6424">
                    <w:rPr>
                      <w:lang w:val="es-ES_tradnl"/>
                    </w:rPr>
                    <w:t>E5</w:t>
                  </w:r>
                </w:p>
              </w:tc>
            </w:tr>
          </w:tbl>
          <w:p w14:paraId="6BD2D719" w14:textId="77777777" w:rsidR="009A0FCF" w:rsidRPr="00BE6424" w:rsidRDefault="009A0FCF" w:rsidP="00282BC5">
            <w:pPr>
              <w:pStyle w:val="TableNoTitle"/>
              <w:keepNext w:val="0"/>
              <w:keepLines w:val="0"/>
              <w:spacing w:before="240" w:line="240" w:lineRule="auto"/>
              <w:rPr>
                <w:b w:val="0"/>
                <w:bCs/>
                <w:lang w:val="es-ES_tradnl"/>
              </w:rPr>
            </w:pPr>
            <w:r w:rsidRPr="00BE6424">
              <w:rPr>
                <w:b w:val="0"/>
                <w:bCs/>
                <w:lang w:val="es-ES_tradnl"/>
              </w:rPr>
              <w:t>CUADRO 2</w:t>
            </w:r>
          </w:p>
          <w:p w14:paraId="1292D0B2" w14:textId="77777777" w:rsidR="009A0FCF" w:rsidRPr="00BE6424" w:rsidRDefault="009A0FCF" w:rsidP="00282BC5">
            <w:pPr>
              <w:pStyle w:val="TableNoTitle"/>
              <w:keepNext w:val="0"/>
              <w:keepLines w:val="0"/>
              <w:spacing w:before="120" w:line="240" w:lineRule="auto"/>
              <w:rPr>
                <w:lang w:val="es-ES_tradnl"/>
              </w:rPr>
            </w:pPr>
            <w:r w:rsidRPr="00BE6424">
              <w:rPr>
                <w:lang w:val="es-ES_tradnl"/>
              </w:rPr>
              <w:t>Haces de la red de satélites BULSAT-BSS-1.2W-W cuyas</w:t>
            </w:r>
            <w:r w:rsidRPr="00BE6424">
              <w:rPr>
                <w:lang w:val="es-ES_tradnl"/>
              </w:rPr>
              <w:br/>
              <w:t>asignaciones de frecuencias se han de suprimir</w:t>
            </w:r>
          </w:p>
          <w:tbl>
            <w:tblPr>
              <w:tblStyle w:val="TableGrid"/>
              <w:tblW w:w="0" w:type="auto"/>
              <w:jc w:val="center"/>
              <w:tblLayout w:type="fixed"/>
              <w:tblLook w:val="04A0" w:firstRow="1" w:lastRow="0" w:firstColumn="1" w:lastColumn="0" w:noHBand="0" w:noVBand="1"/>
            </w:tblPr>
            <w:tblGrid>
              <w:gridCol w:w="2690"/>
              <w:gridCol w:w="1926"/>
              <w:gridCol w:w="2664"/>
              <w:gridCol w:w="2012"/>
            </w:tblGrid>
            <w:tr w:rsidR="009A0FCF" w:rsidRPr="00BE6424" w14:paraId="21BDE9CE" w14:textId="77777777" w:rsidTr="00213721">
              <w:trPr>
                <w:jc w:val="center"/>
              </w:trPr>
              <w:tc>
                <w:tcPr>
                  <w:tcW w:w="2690" w:type="dxa"/>
                  <w:tcBorders>
                    <w:top w:val="single" w:sz="4" w:space="0" w:color="auto"/>
                    <w:left w:val="single" w:sz="4" w:space="0" w:color="auto"/>
                    <w:bottom w:val="single" w:sz="4" w:space="0" w:color="auto"/>
                    <w:right w:val="single" w:sz="4" w:space="0" w:color="auto"/>
                  </w:tcBorders>
                  <w:hideMark/>
                </w:tcPr>
                <w:p w14:paraId="255D04D2" w14:textId="77777777" w:rsidR="009A0FCF" w:rsidRPr="00BE6424" w:rsidRDefault="009A0FCF" w:rsidP="00282BC5">
                  <w:pPr>
                    <w:pStyle w:val="Tablehead"/>
                    <w:keepNext w:val="0"/>
                    <w:rPr>
                      <w:lang w:val="es-ES_tradnl"/>
                    </w:rPr>
                  </w:pPr>
                  <w:r w:rsidRPr="00BE6424">
                    <w:rPr>
                      <w:lang w:val="es-ES_tradnl"/>
                    </w:rPr>
                    <w:t>Nombre del satélite</w:t>
                  </w:r>
                </w:p>
              </w:tc>
              <w:tc>
                <w:tcPr>
                  <w:tcW w:w="1926" w:type="dxa"/>
                  <w:tcBorders>
                    <w:top w:val="single" w:sz="4" w:space="0" w:color="auto"/>
                    <w:left w:val="single" w:sz="4" w:space="0" w:color="auto"/>
                    <w:bottom w:val="single" w:sz="4" w:space="0" w:color="auto"/>
                    <w:right w:val="single" w:sz="4" w:space="0" w:color="auto"/>
                  </w:tcBorders>
                  <w:hideMark/>
                </w:tcPr>
                <w:p w14:paraId="7C8EC30D" w14:textId="77777777" w:rsidR="009A0FCF" w:rsidRPr="00BE6424" w:rsidRDefault="009A0FCF" w:rsidP="00282BC5">
                  <w:pPr>
                    <w:pStyle w:val="Tablehead"/>
                    <w:keepNext w:val="0"/>
                    <w:rPr>
                      <w:lang w:val="es-ES_tradnl"/>
                    </w:rPr>
                  </w:pPr>
                  <w:r w:rsidRPr="00BE6424">
                    <w:rPr>
                      <w:lang w:val="es-ES_tradnl"/>
                    </w:rPr>
                    <w:t>Posición orbital</w:t>
                  </w:r>
                </w:p>
              </w:tc>
              <w:tc>
                <w:tcPr>
                  <w:tcW w:w="2664" w:type="dxa"/>
                  <w:tcBorders>
                    <w:top w:val="single" w:sz="4" w:space="0" w:color="auto"/>
                    <w:left w:val="single" w:sz="4" w:space="0" w:color="auto"/>
                    <w:bottom w:val="single" w:sz="4" w:space="0" w:color="auto"/>
                    <w:right w:val="single" w:sz="4" w:space="0" w:color="auto"/>
                  </w:tcBorders>
                  <w:hideMark/>
                </w:tcPr>
                <w:p w14:paraId="0BDDD6F7" w14:textId="77777777" w:rsidR="009A0FCF" w:rsidRPr="00BE6424" w:rsidRDefault="009A0FCF" w:rsidP="00282BC5">
                  <w:pPr>
                    <w:pStyle w:val="Tablehead"/>
                    <w:keepNext w:val="0"/>
                    <w:rPr>
                      <w:lang w:val="es-ES_tradnl"/>
                    </w:rPr>
                  </w:pPr>
                  <w:r w:rsidRPr="00BE6424">
                    <w:rPr>
                      <w:lang w:val="es-ES_tradnl"/>
                    </w:rPr>
                    <w:t>Sección Especial (Parte B)</w:t>
                  </w:r>
                </w:p>
              </w:tc>
              <w:tc>
                <w:tcPr>
                  <w:tcW w:w="2012" w:type="dxa"/>
                  <w:tcBorders>
                    <w:top w:val="single" w:sz="4" w:space="0" w:color="auto"/>
                    <w:left w:val="single" w:sz="4" w:space="0" w:color="auto"/>
                    <w:bottom w:val="single" w:sz="4" w:space="0" w:color="auto"/>
                    <w:right w:val="single" w:sz="4" w:space="0" w:color="auto"/>
                  </w:tcBorders>
                  <w:hideMark/>
                </w:tcPr>
                <w:p w14:paraId="588C8457" w14:textId="77777777" w:rsidR="009A0FCF" w:rsidRPr="00BE6424" w:rsidRDefault="009A0FCF" w:rsidP="00282BC5">
                  <w:pPr>
                    <w:pStyle w:val="Tablehead"/>
                    <w:keepNext w:val="0"/>
                    <w:rPr>
                      <w:lang w:val="es-ES_tradnl"/>
                    </w:rPr>
                  </w:pPr>
                  <w:r w:rsidRPr="00BE6424">
                    <w:rPr>
                      <w:lang w:val="es-ES_tradnl"/>
                    </w:rPr>
                    <w:t>Haz</w:t>
                  </w:r>
                </w:p>
              </w:tc>
            </w:tr>
            <w:tr w:rsidR="009A0FCF" w:rsidRPr="00BE6424" w14:paraId="2FB1097E" w14:textId="77777777" w:rsidTr="00213721">
              <w:trPr>
                <w:jc w:val="center"/>
              </w:trPr>
              <w:tc>
                <w:tcPr>
                  <w:tcW w:w="2690" w:type="dxa"/>
                  <w:vMerge w:val="restart"/>
                  <w:tcBorders>
                    <w:top w:val="single" w:sz="4" w:space="0" w:color="auto"/>
                    <w:left w:val="single" w:sz="4" w:space="0" w:color="auto"/>
                    <w:bottom w:val="single" w:sz="4" w:space="0" w:color="auto"/>
                    <w:right w:val="single" w:sz="4" w:space="0" w:color="auto"/>
                  </w:tcBorders>
                  <w:vAlign w:val="center"/>
                  <w:hideMark/>
                </w:tcPr>
                <w:p w14:paraId="0DBF4268" w14:textId="77777777" w:rsidR="009A0FCF" w:rsidRPr="00BE6424" w:rsidRDefault="009A0FCF" w:rsidP="00282BC5">
                  <w:pPr>
                    <w:pStyle w:val="Tabletext"/>
                    <w:jc w:val="center"/>
                    <w:rPr>
                      <w:lang w:val="es-ES_tradnl"/>
                    </w:rPr>
                  </w:pPr>
                  <w:r w:rsidRPr="00BE6424">
                    <w:rPr>
                      <w:lang w:val="es-ES_tradnl"/>
                    </w:rPr>
                    <w:t>BULSAT-BSS-1.2W-W</w:t>
                  </w:r>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7D633697" w14:textId="77777777" w:rsidR="009A0FCF" w:rsidRPr="00BE6424" w:rsidRDefault="009A0FCF" w:rsidP="00282BC5">
                  <w:pPr>
                    <w:pStyle w:val="Tabletext"/>
                    <w:jc w:val="center"/>
                    <w:rPr>
                      <w:lang w:val="es-ES_tradnl"/>
                    </w:rPr>
                  </w:pPr>
                  <w:r w:rsidRPr="00BE6424">
                    <w:rPr>
                      <w:lang w:val="es-ES_tradnl"/>
                    </w:rPr>
                    <w:t>1,9° E</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2324281" w14:textId="77777777" w:rsidR="009A0FCF" w:rsidRPr="00BE6424" w:rsidRDefault="009A0FCF" w:rsidP="00282BC5">
                  <w:pPr>
                    <w:pStyle w:val="Tabletext"/>
                    <w:jc w:val="center"/>
                    <w:rPr>
                      <w:lang w:val="es-ES_tradnl"/>
                    </w:rPr>
                  </w:pPr>
                  <w:r w:rsidRPr="00BE6424">
                    <w:rPr>
                      <w:lang w:val="es-ES_tradnl"/>
                    </w:rPr>
                    <w:t>AP30/E/599</w:t>
                  </w:r>
                </w:p>
              </w:tc>
              <w:tc>
                <w:tcPr>
                  <w:tcW w:w="2012" w:type="dxa"/>
                  <w:tcBorders>
                    <w:top w:val="single" w:sz="4" w:space="0" w:color="auto"/>
                    <w:left w:val="single" w:sz="4" w:space="0" w:color="auto"/>
                    <w:bottom w:val="single" w:sz="4" w:space="0" w:color="auto"/>
                    <w:right w:val="single" w:sz="4" w:space="0" w:color="auto"/>
                  </w:tcBorders>
                  <w:vAlign w:val="center"/>
                  <w:hideMark/>
                </w:tcPr>
                <w:p w14:paraId="3D2E2E3F" w14:textId="77777777" w:rsidR="009A0FCF" w:rsidRPr="00BE6424" w:rsidRDefault="009A0FCF" w:rsidP="00282BC5">
                  <w:pPr>
                    <w:pStyle w:val="Tabletext"/>
                    <w:jc w:val="center"/>
                    <w:rPr>
                      <w:lang w:val="es-ES_tradnl"/>
                    </w:rPr>
                  </w:pPr>
                  <w:r w:rsidRPr="00BE6424">
                    <w:rPr>
                      <w:lang w:val="es-ES_tradnl"/>
                    </w:rPr>
                    <w:t>CEED</w:t>
                  </w:r>
                </w:p>
              </w:tc>
            </w:tr>
            <w:tr w:rsidR="009A0FCF" w:rsidRPr="00BE6424" w14:paraId="4FEACD41" w14:textId="77777777" w:rsidTr="00213721">
              <w:trPr>
                <w:jc w:val="center"/>
              </w:trPr>
              <w:tc>
                <w:tcPr>
                  <w:tcW w:w="2690" w:type="dxa"/>
                  <w:vMerge/>
                  <w:tcBorders>
                    <w:top w:val="single" w:sz="4" w:space="0" w:color="auto"/>
                    <w:left w:val="single" w:sz="4" w:space="0" w:color="auto"/>
                    <w:bottom w:val="single" w:sz="4" w:space="0" w:color="auto"/>
                    <w:right w:val="single" w:sz="4" w:space="0" w:color="auto"/>
                  </w:tcBorders>
                  <w:vAlign w:val="center"/>
                  <w:hideMark/>
                </w:tcPr>
                <w:p w14:paraId="35C6021D" w14:textId="77777777" w:rsidR="009A0FCF" w:rsidRPr="00BE6424" w:rsidRDefault="009A0FCF" w:rsidP="00282BC5">
                  <w:pPr>
                    <w:pStyle w:val="Tabletext"/>
                    <w:jc w:val="center"/>
                    <w:rPr>
                      <w:lang w:val="es-ES_tradnl"/>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084BD620" w14:textId="77777777" w:rsidR="009A0FCF" w:rsidRPr="00BE6424" w:rsidRDefault="009A0FCF" w:rsidP="00282BC5">
                  <w:pPr>
                    <w:pStyle w:val="Tabletext"/>
                    <w:jc w:val="center"/>
                    <w:rPr>
                      <w:lang w:val="es-ES_tradnl"/>
                    </w:rP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606236F4" w14:textId="77777777" w:rsidR="009A0FCF" w:rsidRPr="00BE6424" w:rsidRDefault="009A0FCF" w:rsidP="00282BC5">
                  <w:pPr>
                    <w:pStyle w:val="Tabletext"/>
                    <w:jc w:val="center"/>
                    <w:rPr>
                      <w:lang w:val="es-ES_tradnl"/>
                    </w:rPr>
                  </w:pPr>
                  <w:r w:rsidRPr="00BE6424">
                    <w:rPr>
                      <w:lang w:val="es-ES_tradnl"/>
                    </w:rPr>
                    <w:t>AP30A/E/542</w:t>
                  </w:r>
                </w:p>
              </w:tc>
              <w:tc>
                <w:tcPr>
                  <w:tcW w:w="2012" w:type="dxa"/>
                  <w:tcBorders>
                    <w:top w:val="single" w:sz="4" w:space="0" w:color="auto"/>
                    <w:left w:val="single" w:sz="4" w:space="0" w:color="auto"/>
                    <w:bottom w:val="single" w:sz="4" w:space="0" w:color="auto"/>
                    <w:right w:val="single" w:sz="4" w:space="0" w:color="auto"/>
                  </w:tcBorders>
                  <w:vAlign w:val="center"/>
                  <w:hideMark/>
                </w:tcPr>
                <w:p w14:paraId="32E32AB9" w14:textId="77777777" w:rsidR="009A0FCF" w:rsidRPr="00BE6424" w:rsidRDefault="009A0FCF" w:rsidP="00282BC5">
                  <w:pPr>
                    <w:pStyle w:val="Tabletext"/>
                    <w:jc w:val="center"/>
                    <w:rPr>
                      <w:lang w:val="es-ES_tradnl"/>
                    </w:rPr>
                  </w:pPr>
                  <w:r w:rsidRPr="00BE6424">
                    <w:rPr>
                      <w:lang w:val="es-ES_tradnl"/>
                    </w:rPr>
                    <w:t>CER</w:t>
                  </w:r>
                </w:p>
              </w:tc>
            </w:tr>
          </w:tbl>
          <w:p w14:paraId="2414D735" w14:textId="4E90D3CF" w:rsidR="0066031C" w:rsidRPr="00BE6424" w:rsidRDefault="0066031C" w:rsidP="00E51EC7">
            <w:pPr>
              <w:tabs>
                <w:tab w:val="clear" w:pos="794"/>
                <w:tab w:val="clear" w:pos="1191"/>
                <w:tab w:val="clear" w:pos="1588"/>
                <w:tab w:val="clear" w:pos="1985"/>
                <w:tab w:val="left" w:pos="1134"/>
                <w:tab w:val="left" w:pos="1871"/>
                <w:tab w:val="left" w:pos="2268"/>
              </w:tabs>
              <w:spacing w:before="40" w:afterLines="40" w:after="96" w:line="240" w:lineRule="auto"/>
              <w:jc w:val="left"/>
              <w:rPr>
                <w:rFonts w:asciiTheme="minorHAnsi" w:hAnsiTheme="minorHAnsi" w:cstheme="minorHAnsi"/>
                <w:szCs w:val="20"/>
                <w:lang w:val="es-ES_tradnl"/>
              </w:rPr>
            </w:pPr>
          </w:p>
          <w:p w14:paraId="251A97F3" w14:textId="77777777" w:rsidR="0066031C" w:rsidRPr="00BE6424" w:rsidRDefault="0066031C" w:rsidP="00E51EC7">
            <w:pPr>
              <w:tabs>
                <w:tab w:val="clear" w:pos="794"/>
                <w:tab w:val="clear" w:pos="1191"/>
                <w:tab w:val="clear" w:pos="1588"/>
                <w:tab w:val="clear" w:pos="1985"/>
                <w:tab w:val="left" w:pos="1134"/>
                <w:tab w:val="left" w:pos="1871"/>
                <w:tab w:val="left" w:pos="2268"/>
              </w:tabs>
              <w:spacing w:before="40" w:afterLines="40" w:after="96" w:line="240" w:lineRule="auto"/>
              <w:jc w:val="left"/>
              <w:rPr>
                <w:rFonts w:asciiTheme="minorHAnsi" w:hAnsiTheme="minorHAnsi" w:cstheme="minorHAnsi"/>
                <w:szCs w:val="20"/>
                <w:lang w:val="es-ES_tradnl"/>
              </w:rPr>
            </w:pPr>
          </w:p>
          <w:tbl>
            <w:tblPr>
              <w:tblStyle w:val="TableGrid"/>
              <w:tblW w:w="0" w:type="auto"/>
              <w:tblLayout w:type="fixed"/>
              <w:tblLook w:val="04A0" w:firstRow="1" w:lastRow="0" w:firstColumn="1" w:lastColumn="0" w:noHBand="0" w:noVBand="1"/>
            </w:tblPr>
            <w:tblGrid>
              <w:gridCol w:w="4866"/>
              <w:gridCol w:w="4763"/>
            </w:tblGrid>
            <w:tr w:rsidR="009A0FCF" w:rsidRPr="00BE6424" w14:paraId="2D1B3CBC" w14:textId="77777777" w:rsidTr="00213721">
              <w:tc>
                <w:tcPr>
                  <w:tcW w:w="4866" w:type="dxa"/>
                  <w:tcBorders>
                    <w:top w:val="single" w:sz="4" w:space="0" w:color="auto"/>
                    <w:left w:val="single" w:sz="4" w:space="0" w:color="auto"/>
                    <w:bottom w:val="single" w:sz="4" w:space="0" w:color="auto"/>
                    <w:right w:val="single" w:sz="4" w:space="0" w:color="auto"/>
                  </w:tcBorders>
                  <w:hideMark/>
                </w:tcPr>
                <w:p w14:paraId="2E182FD3" w14:textId="77777777" w:rsidR="009A0FCF" w:rsidRPr="00BE6424" w:rsidRDefault="009A0FCF" w:rsidP="00282BC5">
                  <w:pPr>
                    <w:pStyle w:val="Tabletext"/>
                    <w:spacing w:before="80" w:after="80"/>
                    <w:jc w:val="center"/>
                    <w:rPr>
                      <w:lang w:val="es-ES_tradnl"/>
                    </w:rPr>
                  </w:pPr>
                  <w:r w:rsidRPr="00BE6424">
                    <w:rPr>
                      <w:lang w:val="es-ES_tradnl"/>
                    </w:rPr>
                    <w:t>Haz de enlace descendente CEED</w:t>
                  </w:r>
                </w:p>
              </w:tc>
              <w:tc>
                <w:tcPr>
                  <w:tcW w:w="4763" w:type="dxa"/>
                  <w:tcBorders>
                    <w:top w:val="single" w:sz="4" w:space="0" w:color="auto"/>
                    <w:left w:val="single" w:sz="4" w:space="0" w:color="auto"/>
                    <w:bottom w:val="single" w:sz="4" w:space="0" w:color="auto"/>
                    <w:right w:val="single" w:sz="4" w:space="0" w:color="auto"/>
                  </w:tcBorders>
                  <w:hideMark/>
                </w:tcPr>
                <w:p w14:paraId="70EF72FD" w14:textId="77777777" w:rsidR="009A0FCF" w:rsidRPr="00BE6424" w:rsidRDefault="009A0FCF" w:rsidP="00282BC5">
                  <w:pPr>
                    <w:pStyle w:val="Tabletext"/>
                    <w:spacing w:before="80" w:after="80"/>
                    <w:jc w:val="center"/>
                    <w:rPr>
                      <w:lang w:val="es-ES_tradnl"/>
                    </w:rPr>
                  </w:pPr>
                  <w:r w:rsidRPr="00BE6424">
                    <w:rPr>
                      <w:lang w:val="es-ES_tradnl"/>
                    </w:rPr>
                    <w:t>Haz de enlace de conexión CER</w:t>
                  </w:r>
                </w:p>
              </w:tc>
            </w:tr>
            <w:tr w:rsidR="009A0FCF" w:rsidRPr="00BE6424" w14:paraId="5A37D2A0" w14:textId="77777777" w:rsidTr="00213721">
              <w:tc>
                <w:tcPr>
                  <w:tcW w:w="9629" w:type="dxa"/>
                  <w:gridSpan w:val="2"/>
                  <w:tcBorders>
                    <w:top w:val="single" w:sz="4" w:space="0" w:color="auto"/>
                    <w:left w:val="single" w:sz="4" w:space="0" w:color="auto"/>
                    <w:bottom w:val="single" w:sz="4" w:space="0" w:color="auto"/>
                    <w:right w:val="single" w:sz="4" w:space="0" w:color="auto"/>
                  </w:tcBorders>
                  <w:hideMark/>
                </w:tcPr>
                <w:p w14:paraId="08F5D6A3" w14:textId="77777777" w:rsidR="009A0FCF" w:rsidRPr="00BE6424" w:rsidRDefault="009A0FCF" w:rsidP="00282BC5">
                  <w:pPr>
                    <w:pStyle w:val="Tablehead"/>
                    <w:keepNext w:val="0"/>
                    <w:rPr>
                      <w:lang w:val="es-ES_tradnl"/>
                    </w:rPr>
                  </w:pPr>
                  <w:r w:rsidRPr="00BE6424">
                    <w:rPr>
                      <w:lang w:val="es-ES_tradnl"/>
                    </w:rPr>
                    <w:t xml:space="preserve">Cobertura </w:t>
                  </w:r>
                  <w:proofErr w:type="spellStart"/>
                  <w:r w:rsidRPr="00BE6424">
                    <w:rPr>
                      <w:lang w:val="es-ES_tradnl"/>
                    </w:rPr>
                    <w:t>copolar</w:t>
                  </w:r>
                  <w:proofErr w:type="spellEnd"/>
                </w:p>
              </w:tc>
            </w:tr>
            <w:tr w:rsidR="009A0FCF" w:rsidRPr="00BE6424" w14:paraId="04236C6A" w14:textId="77777777" w:rsidTr="00213721">
              <w:tc>
                <w:tcPr>
                  <w:tcW w:w="4866" w:type="dxa"/>
                  <w:tcBorders>
                    <w:top w:val="single" w:sz="4" w:space="0" w:color="auto"/>
                    <w:left w:val="single" w:sz="4" w:space="0" w:color="auto"/>
                    <w:bottom w:val="single" w:sz="4" w:space="0" w:color="auto"/>
                    <w:right w:val="single" w:sz="4" w:space="0" w:color="auto"/>
                  </w:tcBorders>
                  <w:hideMark/>
                </w:tcPr>
                <w:p w14:paraId="2A9832CC" w14:textId="77777777" w:rsidR="009A0FCF" w:rsidRPr="00BE6424" w:rsidRDefault="009A0FCF" w:rsidP="00E51EC7">
                  <w:pPr>
                    <w:tabs>
                      <w:tab w:val="clear" w:pos="794"/>
                      <w:tab w:val="clear" w:pos="1191"/>
                      <w:tab w:val="clear" w:pos="1588"/>
                      <w:tab w:val="clear" w:pos="1985"/>
                      <w:tab w:val="left" w:pos="1134"/>
                      <w:tab w:val="left" w:pos="1871"/>
                      <w:tab w:val="left" w:pos="2268"/>
                    </w:tabs>
                    <w:spacing w:before="40" w:afterLines="40" w:after="96" w:line="240" w:lineRule="auto"/>
                    <w:jc w:val="center"/>
                    <w:rPr>
                      <w:rFonts w:asciiTheme="minorHAnsi" w:hAnsiTheme="minorHAnsi" w:cstheme="minorHAnsi"/>
                      <w:szCs w:val="20"/>
                      <w:lang w:val="es-ES_tradnl"/>
                    </w:rPr>
                  </w:pPr>
                  <w:r w:rsidRPr="00BE6424">
                    <w:rPr>
                      <w:rFonts w:asciiTheme="minorHAnsi" w:hAnsiTheme="minorHAnsi" w:cstheme="minorHAnsi"/>
                      <w:noProof/>
                      <w:szCs w:val="20"/>
                      <w:lang w:val="es-ES_tradnl" w:eastAsia="zh-CN"/>
                    </w:rPr>
                    <w:drawing>
                      <wp:inline distT="0" distB="0" distL="0" distR="0" wp14:anchorId="38CA6C65" wp14:editId="48AD32B0">
                        <wp:extent cx="2581154" cy="25787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25465"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2594258" cy="2591832"/>
                                </a:xfrm>
                                <a:prstGeom prst="rect">
                                  <a:avLst/>
                                </a:prstGeom>
                                <a:noFill/>
                                <a:ln>
                                  <a:noFill/>
                                </a:ln>
                              </pic:spPr>
                            </pic:pic>
                          </a:graphicData>
                        </a:graphic>
                      </wp:inline>
                    </w:drawing>
                  </w:r>
                </w:p>
              </w:tc>
              <w:tc>
                <w:tcPr>
                  <w:tcW w:w="4763" w:type="dxa"/>
                  <w:tcBorders>
                    <w:top w:val="single" w:sz="4" w:space="0" w:color="auto"/>
                    <w:left w:val="single" w:sz="4" w:space="0" w:color="auto"/>
                    <w:bottom w:val="single" w:sz="4" w:space="0" w:color="auto"/>
                    <w:right w:val="single" w:sz="4" w:space="0" w:color="auto"/>
                  </w:tcBorders>
                  <w:hideMark/>
                </w:tcPr>
                <w:p w14:paraId="2BE17A74" w14:textId="77777777" w:rsidR="009A0FCF" w:rsidRPr="00BE6424" w:rsidRDefault="009A0FCF" w:rsidP="00E51EC7">
                  <w:pPr>
                    <w:tabs>
                      <w:tab w:val="clear" w:pos="794"/>
                      <w:tab w:val="clear" w:pos="1191"/>
                      <w:tab w:val="clear" w:pos="1588"/>
                      <w:tab w:val="clear" w:pos="1985"/>
                      <w:tab w:val="left" w:pos="1134"/>
                      <w:tab w:val="left" w:pos="1871"/>
                      <w:tab w:val="left" w:pos="2268"/>
                    </w:tabs>
                    <w:spacing w:before="40" w:afterLines="40" w:after="96" w:line="240" w:lineRule="auto"/>
                    <w:jc w:val="center"/>
                    <w:rPr>
                      <w:rFonts w:asciiTheme="minorHAnsi" w:hAnsiTheme="minorHAnsi" w:cstheme="minorHAnsi"/>
                      <w:szCs w:val="20"/>
                      <w:lang w:val="es-ES_tradnl"/>
                    </w:rPr>
                  </w:pPr>
                  <w:r w:rsidRPr="00BE6424">
                    <w:rPr>
                      <w:rFonts w:asciiTheme="minorHAnsi" w:hAnsiTheme="minorHAnsi" w:cstheme="minorHAnsi"/>
                      <w:noProof/>
                      <w:szCs w:val="20"/>
                      <w:lang w:val="es-ES_tradnl" w:eastAsia="zh-CN"/>
                    </w:rPr>
                    <w:drawing>
                      <wp:inline distT="0" distB="0" distL="0" distR="0" wp14:anchorId="377E552B" wp14:editId="04961430">
                        <wp:extent cx="2549171" cy="2546790"/>
                        <wp:effectExtent l="0" t="0" r="381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72465"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2558275" cy="2555886"/>
                                </a:xfrm>
                                <a:prstGeom prst="rect">
                                  <a:avLst/>
                                </a:prstGeom>
                                <a:noFill/>
                                <a:ln>
                                  <a:noFill/>
                                </a:ln>
                              </pic:spPr>
                            </pic:pic>
                          </a:graphicData>
                        </a:graphic>
                      </wp:inline>
                    </w:drawing>
                  </w:r>
                </w:p>
              </w:tc>
            </w:tr>
            <w:tr w:rsidR="0066031C" w:rsidRPr="00BE6424" w14:paraId="7B5C5746" w14:textId="77777777" w:rsidTr="00213721">
              <w:tc>
                <w:tcPr>
                  <w:tcW w:w="4866" w:type="dxa"/>
                  <w:tcBorders>
                    <w:top w:val="single" w:sz="4" w:space="0" w:color="auto"/>
                    <w:left w:val="single" w:sz="4" w:space="0" w:color="auto"/>
                    <w:bottom w:val="single" w:sz="4" w:space="0" w:color="auto"/>
                    <w:right w:val="single" w:sz="4" w:space="0" w:color="auto"/>
                  </w:tcBorders>
                </w:tcPr>
                <w:p w14:paraId="471F92CB" w14:textId="70BCD632" w:rsidR="0066031C" w:rsidRPr="00BE6424" w:rsidRDefault="0066031C" w:rsidP="0066031C">
                  <w:pPr>
                    <w:tabs>
                      <w:tab w:val="clear" w:pos="794"/>
                      <w:tab w:val="clear" w:pos="1191"/>
                      <w:tab w:val="clear" w:pos="1588"/>
                      <w:tab w:val="clear" w:pos="1985"/>
                      <w:tab w:val="left" w:pos="1134"/>
                      <w:tab w:val="left" w:pos="1871"/>
                      <w:tab w:val="left" w:pos="2268"/>
                    </w:tabs>
                    <w:spacing w:before="40" w:afterLines="40" w:after="96" w:line="240" w:lineRule="auto"/>
                    <w:jc w:val="center"/>
                    <w:rPr>
                      <w:rFonts w:asciiTheme="minorHAnsi" w:hAnsiTheme="minorHAnsi" w:cstheme="minorHAnsi"/>
                      <w:noProof/>
                      <w:szCs w:val="20"/>
                      <w:lang w:val="es-ES_tradnl" w:eastAsia="zh-CN"/>
                    </w:rPr>
                  </w:pPr>
                </w:p>
              </w:tc>
              <w:tc>
                <w:tcPr>
                  <w:tcW w:w="4763" w:type="dxa"/>
                  <w:tcBorders>
                    <w:top w:val="single" w:sz="4" w:space="0" w:color="auto"/>
                    <w:left w:val="single" w:sz="4" w:space="0" w:color="auto"/>
                    <w:bottom w:val="single" w:sz="4" w:space="0" w:color="auto"/>
                    <w:right w:val="single" w:sz="4" w:space="0" w:color="auto"/>
                  </w:tcBorders>
                </w:tcPr>
                <w:p w14:paraId="214F5428" w14:textId="77777777" w:rsidR="0066031C" w:rsidRPr="00BE6424" w:rsidRDefault="0066031C" w:rsidP="00E51EC7">
                  <w:pPr>
                    <w:tabs>
                      <w:tab w:val="clear" w:pos="794"/>
                      <w:tab w:val="clear" w:pos="1191"/>
                      <w:tab w:val="clear" w:pos="1588"/>
                      <w:tab w:val="clear" w:pos="1985"/>
                      <w:tab w:val="left" w:pos="1134"/>
                      <w:tab w:val="left" w:pos="1871"/>
                      <w:tab w:val="left" w:pos="2268"/>
                    </w:tabs>
                    <w:spacing w:before="40" w:afterLines="40" w:after="96" w:line="240" w:lineRule="auto"/>
                    <w:jc w:val="center"/>
                    <w:rPr>
                      <w:rFonts w:asciiTheme="minorHAnsi" w:hAnsiTheme="minorHAnsi" w:cstheme="minorHAnsi"/>
                      <w:noProof/>
                      <w:szCs w:val="20"/>
                      <w:lang w:val="es-ES_tradnl" w:eastAsia="zh-CN"/>
                    </w:rPr>
                  </w:pPr>
                </w:p>
              </w:tc>
            </w:tr>
            <w:tr w:rsidR="009A0FCF" w:rsidRPr="00BE6424" w14:paraId="572FA44A" w14:textId="77777777" w:rsidTr="00213721">
              <w:tc>
                <w:tcPr>
                  <w:tcW w:w="9629" w:type="dxa"/>
                  <w:gridSpan w:val="2"/>
                  <w:tcBorders>
                    <w:top w:val="single" w:sz="4" w:space="0" w:color="auto"/>
                    <w:left w:val="single" w:sz="4" w:space="0" w:color="auto"/>
                    <w:bottom w:val="single" w:sz="4" w:space="0" w:color="auto"/>
                    <w:right w:val="single" w:sz="4" w:space="0" w:color="auto"/>
                  </w:tcBorders>
                  <w:hideMark/>
                </w:tcPr>
                <w:p w14:paraId="3515CE35" w14:textId="77777777" w:rsidR="00043DE4" w:rsidRPr="00BE6424" w:rsidRDefault="00043DE4" w:rsidP="00043DE4">
                  <w:pPr>
                    <w:pStyle w:val="Tablehead"/>
                    <w:keepNext w:val="0"/>
                    <w:rPr>
                      <w:lang w:val="es-ES_tradnl"/>
                    </w:rPr>
                  </w:pPr>
                </w:p>
                <w:p w14:paraId="7AE2504D" w14:textId="6A1102D3" w:rsidR="009A0FCF" w:rsidRPr="00BE6424" w:rsidRDefault="009A0FCF" w:rsidP="00043DE4">
                  <w:pPr>
                    <w:pStyle w:val="Tablehead"/>
                    <w:keepNext w:val="0"/>
                    <w:spacing w:before="360"/>
                    <w:rPr>
                      <w:lang w:val="es-ES_tradnl"/>
                    </w:rPr>
                  </w:pPr>
                  <w:r w:rsidRPr="00BE6424">
                    <w:rPr>
                      <w:lang w:val="es-ES_tradnl"/>
                    </w:rPr>
                    <w:t>Cobertura con polarización cruzada</w:t>
                  </w:r>
                </w:p>
              </w:tc>
            </w:tr>
            <w:tr w:rsidR="009A0FCF" w:rsidRPr="00BE6424" w14:paraId="037085A3" w14:textId="77777777" w:rsidTr="00213721">
              <w:tc>
                <w:tcPr>
                  <w:tcW w:w="4866" w:type="dxa"/>
                  <w:tcBorders>
                    <w:top w:val="single" w:sz="4" w:space="0" w:color="auto"/>
                    <w:left w:val="single" w:sz="4" w:space="0" w:color="auto"/>
                    <w:bottom w:val="single" w:sz="4" w:space="0" w:color="auto"/>
                    <w:right w:val="single" w:sz="4" w:space="0" w:color="auto"/>
                  </w:tcBorders>
                  <w:hideMark/>
                </w:tcPr>
                <w:p w14:paraId="59BE90B6" w14:textId="77777777" w:rsidR="009A0FCF" w:rsidRPr="00BE6424" w:rsidRDefault="009A0FCF" w:rsidP="00E51EC7">
                  <w:pPr>
                    <w:tabs>
                      <w:tab w:val="clear" w:pos="794"/>
                      <w:tab w:val="clear" w:pos="1191"/>
                      <w:tab w:val="clear" w:pos="1588"/>
                      <w:tab w:val="clear" w:pos="1985"/>
                      <w:tab w:val="left" w:pos="1134"/>
                      <w:tab w:val="left" w:pos="1871"/>
                      <w:tab w:val="left" w:pos="2268"/>
                    </w:tabs>
                    <w:spacing w:before="40" w:afterLines="40" w:after="96" w:line="240" w:lineRule="auto"/>
                    <w:jc w:val="center"/>
                    <w:rPr>
                      <w:rFonts w:asciiTheme="minorHAnsi" w:hAnsiTheme="minorHAnsi" w:cstheme="minorHAnsi"/>
                      <w:szCs w:val="20"/>
                      <w:lang w:val="es-ES_tradnl"/>
                    </w:rPr>
                  </w:pPr>
                  <w:r w:rsidRPr="00BE6424">
                    <w:rPr>
                      <w:rFonts w:asciiTheme="minorHAnsi" w:hAnsiTheme="minorHAnsi" w:cstheme="minorHAnsi"/>
                      <w:noProof/>
                      <w:szCs w:val="20"/>
                      <w:lang w:val="es-ES_tradnl" w:eastAsia="zh-CN"/>
                    </w:rPr>
                    <w:drawing>
                      <wp:inline distT="0" distB="0" distL="0" distR="0" wp14:anchorId="0C912672" wp14:editId="377C8EF3">
                        <wp:extent cx="2947928" cy="2945173"/>
                        <wp:effectExtent l="0" t="0" r="508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56452"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2955033" cy="2952271"/>
                                </a:xfrm>
                                <a:prstGeom prst="rect">
                                  <a:avLst/>
                                </a:prstGeom>
                                <a:noFill/>
                                <a:ln>
                                  <a:noFill/>
                                </a:ln>
                              </pic:spPr>
                            </pic:pic>
                          </a:graphicData>
                        </a:graphic>
                      </wp:inline>
                    </w:drawing>
                  </w:r>
                </w:p>
              </w:tc>
              <w:tc>
                <w:tcPr>
                  <w:tcW w:w="4763" w:type="dxa"/>
                  <w:tcBorders>
                    <w:top w:val="single" w:sz="4" w:space="0" w:color="auto"/>
                    <w:left w:val="single" w:sz="4" w:space="0" w:color="auto"/>
                    <w:bottom w:val="single" w:sz="4" w:space="0" w:color="auto"/>
                    <w:right w:val="single" w:sz="4" w:space="0" w:color="auto"/>
                  </w:tcBorders>
                  <w:hideMark/>
                </w:tcPr>
                <w:p w14:paraId="7EC26A2F" w14:textId="77777777" w:rsidR="009A0FCF" w:rsidRPr="00BE6424" w:rsidRDefault="009A0FCF" w:rsidP="00E51EC7">
                  <w:pPr>
                    <w:tabs>
                      <w:tab w:val="clear" w:pos="794"/>
                      <w:tab w:val="clear" w:pos="1191"/>
                      <w:tab w:val="clear" w:pos="1588"/>
                      <w:tab w:val="clear" w:pos="1985"/>
                      <w:tab w:val="left" w:pos="1134"/>
                      <w:tab w:val="left" w:pos="1871"/>
                      <w:tab w:val="left" w:pos="2268"/>
                    </w:tabs>
                    <w:spacing w:before="40" w:afterLines="40" w:after="96" w:line="240" w:lineRule="auto"/>
                    <w:jc w:val="center"/>
                    <w:rPr>
                      <w:rFonts w:asciiTheme="minorHAnsi" w:hAnsiTheme="minorHAnsi" w:cstheme="minorHAnsi"/>
                      <w:szCs w:val="20"/>
                      <w:lang w:val="es-ES_tradnl"/>
                    </w:rPr>
                  </w:pPr>
                  <w:r w:rsidRPr="00BE6424">
                    <w:rPr>
                      <w:rFonts w:asciiTheme="minorHAnsi" w:hAnsiTheme="minorHAnsi" w:cstheme="minorHAnsi"/>
                      <w:noProof/>
                      <w:szCs w:val="20"/>
                      <w:lang w:val="es-ES_tradnl" w:eastAsia="zh-CN"/>
                    </w:rPr>
                    <w:drawing>
                      <wp:inline distT="0" distB="0" distL="0" distR="0" wp14:anchorId="4084C835" wp14:editId="4101817B">
                        <wp:extent cx="2828394" cy="28936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08697"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837744" cy="2903237"/>
                                </a:xfrm>
                                <a:prstGeom prst="rect">
                                  <a:avLst/>
                                </a:prstGeom>
                                <a:noFill/>
                                <a:ln>
                                  <a:noFill/>
                                </a:ln>
                              </pic:spPr>
                            </pic:pic>
                          </a:graphicData>
                        </a:graphic>
                      </wp:inline>
                    </w:drawing>
                  </w:r>
                </w:p>
              </w:tc>
            </w:tr>
          </w:tbl>
          <w:p w14:paraId="0EC37BBC" w14:textId="77777777" w:rsidR="009A0FCF" w:rsidRPr="00BE6424" w:rsidRDefault="009A0FCF" w:rsidP="00043DE4">
            <w:pPr>
              <w:pStyle w:val="Tabletext"/>
              <w:tabs>
                <w:tab w:val="clear" w:pos="1134"/>
                <w:tab w:val="clear" w:pos="2268"/>
              </w:tabs>
              <w:spacing w:before="240"/>
              <w:rPr>
                <w:i/>
                <w:sz w:val="22"/>
                <w:lang w:val="es-ES_tradnl"/>
              </w:rPr>
            </w:pPr>
            <w:r w:rsidRPr="00BE6424">
              <w:rPr>
                <w:i/>
                <w:sz w:val="22"/>
                <w:lang w:val="es-ES_tradnl"/>
              </w:rPr>
              <w:t>Solicitud relativa a la red de satélites INSAT-EXK82.5E</w:t>
            </w:r>
          </w:p>
          <w:p w14:paraId="7C6E93A4" w14:textId="77777777" w:rsidR="009A0FCF" w:rsidRPr="00BE6424" w:rsidRDefault="009A0FCF" w:rsidP="00043DE4">
            <w:pPr>
              <w:pStyle w:val="Tabletext"/>
              <w:tabs>
                <w:tab w:val="clear" w:pos="1134"/>
                <w:tab w:val="clear" w:pos="2268"/>
              </w:tabs>
              <w:spacing w:before="120"/>
              <w:rPr>
                <w:sz w:val="22"/>
                <w:lang w:val="es-ES_tradnl"/>
              </w:rPr>
            </w:pPr>
            <w:r w:rsidRPr="00BE6424">
              <w:rPr>
                <w:sz w:val="22"/>
                <w:lang w:val="es-ES_tradnl"/>
              </w:rPr>
              <w:t>La CMR-19 consideró la solicitud específica formulada por India en el Documento</w:t>
            </w:r>
            <w:r w:rsidRPr="00BE6424">
              <w:rPr>
                <w:rFonts w:asciiTheme="minorHAnsi" w:hAnsiTheme="minorHAnsi" w:cstheme="minorHAnsi"/>
                <w:szCs w:val="20"/>
                <w:lang w:val="es-ES_tradnl"/>
              </w:rPr>
              <w:t xml:space="preserve"> </w:t>
            </w:r>
            <w:hyperlink r:id="rId37" w:history="1">
              <w:r w:rsidRPr="00BE6424">
                <w:rPr>
                  <w:rFonts w:asciiTheme="minorHAnsi" w:hAnsiTheme="minorHAnsi" w:cstheme="minorHAnsi"/>
                  <w:color w:val="0000FF"/>
                  <w:sz w:val="22"/>
                  <w:u w:val="single"/>
                  <w:lang w:val="es-ES_tradnl"/>
                </w:rPr>
                <w:t>92(Add.22)</w:t>
              </w:r>
            </w:hyperlink>
            <w:r w:rsidRPr="00BE6424">
              <w:rPr>
                <w:rFonts w:asciiTheme="minorHAnsi" w:hAnsiTheme="minorHAnsi" w:cstheme="minorHAnsi"/>
                <w:szCs w:val="20"/>
                <w:lang w:val="es-ES_tradnl"/>
              </w:rPr>
              <w:t xml:space="preserve"> </w:t>
            </w:r>
            <w:r w:rsidRPr="00BE6424">
              <w:rPr>
                <w:sz w:val="22"/>
                <w:lang w:val="es-ES_tradnl"/>
              </w:rPr>
              <w:t>en relación con la prórroga del plazo reglamentario de puesta en servicio de la red de satélites INSAT</w:t>
            </w:r>
            <w:r w:rsidRPr="00BE6424">
              <w:rPr>
                <w:sz w:val="22"/>
                <w:lang w:val="es-ES_tradnl"/>
              </w:rPr>
              <w:noBreakHyphen/>
              <w:t>EXK82.5E. Habida cuenta de las cuestiones particulares planteadas en él, la CMR-19 decidió acceder a esta solicitud y encargó, en consecuencia, a la Oficina de Radiocomunicaciones:</w:t>
            </w:r>
          </w:p>
          <w:p w14:paraId="3922EB32" w14:textId="77777777" w:rsidR="009A0FCF" w:rsidRPr="00BE6424" w:rsidRDefault="009A0FCF" w:rsidP="00043DE4">
            <w:pPr>
              <w:pStyle w:val="Tabletext"/>
              <w:tabs>
                <w:tab w:val="clear" w:pos="284"/>
                <w:tab w:val="left" w:pos="495"/>
              </w:tabs>
              <w:spacing w:before="80"/>
              <w:ind w:left="408" w:hanging="408"/>
              <w:rPr>
                <w:sz w:val="22"/>
                <w:lang w:val="es-ES_tradnl"/>
              </w:rPr>
            </w:pPr>
            <w:r w:rsidRPr="00BE6424">
              <w:rPr>
                <w:sz w:val="22"/>
                <w:lang w:val="es-ES_tradnl"/>
              </w:rPr>
              <w:t>1)</w:t>
            </w:r>
            <w:r w:rsidRPr="00BE6424">
              <w:rPr>
                <w:sz w:val="22"/>
                <w:lang w:val="es-ES_tradnl"/>
              </w:rPr>
              <w:tab/>
              <w:t>que considere la prórroga del plazo reglamentario de puesta en servicio de las asignaciones de frecuencias la red de satélites INSAT-EXK82.5E del 30 de marzo de 2017 al 30 de junio de 2017;</w:t>
            </w:r>
          </w:p>
          <w:p w14:paraId="0BA5B74E" w14:textId="77777777" w:rsidR="009A0FCF" w:rsidRPr="00BE6424" w:rsidRDefault="009A0FCF" w:rsidP="00043DE4">
            <w:pPr>
              <w:pStyle w:val="Tabletext"/>
              <w:tabs>
                <w:tab w:val="clear" w:pos="284"/>
                <w:tab w:val="left" w:pos="495"/>
              </w:tabs>
              <w:spacing w:before="80"/>
              <w:ind w:left="408" w:hanging="408"/>
              <w:rPr>
                <w:sz w:val="22"/>
                <w:lang w:val="es-ES_tradnl"/>
              </w:rPr>
            </w:pPr>
            <w:r w:rsidRPr="00BE6424">
              <w:rPr>
                <w:sz w:val="22"/>
                <w:lang w:val="es-ES_tradnl"/>
              </w:rPr>
              <w:t>2)</w:t>
            </w:r>
            <w:r w:rsidRPr="00BE6424">
              <w:rPr>
                <w:sz w:val="22"/>
                <w:lang w:val="es-ES_tradnl"/>
              </w:rPr>
              <w:tab/>
              <w:t>que inscriba como fecha de puesta en servicio de dichas asignaciones de frecuencias el 30 de junio de 2017;</w:t>
            </w:r>
          </w:p>
          <w:p w14:paraId="6F75F284" w14:textId="476DD6AD" w:rsidR="009A0FCF" w:rsidRPr="00BE6424" w:rsidRDefault="009A0FCF" w:rsidP="00043DE4">
            <w:pPr>
              <w:pStyle w:val="Tabletext"/>
              <w:tabs>
                <w:tab w:val="clear" w:pos="284"/>
                <w:tab w:val="left" w:pos="495"/>
              </w:tabs>
              <w:spacing w:before="80"/>
              <w:ind w:left="408" w:hanging="408"/>
              <w:rPr>
                <w:sz w:val="22"/>
                <w:lang w:val="es-ES_tradnl"/>
              </w:rPr>
            </w:pPr>
            <w:r w:rsidRPr="00BE6424">
              <w:rPr>
                <w:sz w:val="22"/>
                <w:lang w:val="es-ES_tradnl"/>
              </w:rPr>
              <w:t>3)</w:t>
            </w:r>
            <w:r w:rsidRPr="00BE6424">
              <w:rPr>
                <w:sz w:val="22"/>
                <w:lang w:val="es-ES_tradnl"/>
              </w:rPr>
              <w:tab/>
              <w:t>que inscriba como fecha suspensión de dichas asignaciones de frecuencias de acuerdo con el § 8.17 del Artículo</w:t>
            </w:r>
            <w:r w:rsidR="00B03747">
              <w:rPr>
                <w:sz w:val="22"/>
                <w:lang w:val="es-ES_tradnl"/>
              </w:rPr>
              <w:t> </w:t>
            </w:r>
            <w:r w:rsidRPr="00BE6424">
              <w:rPr>
                <w:sz w:val="22"/>
                <w:lang w:val="es-ES_tradnl"/>
              </w:rPr>
              <w:t xml:space="preserve">8 del Apéndice </w:t>
            </w:r>
            <w:r w:rsidRPr="00BE6424">
              <w:rPr>
                <w:b/>
                <w:bCs/>
                <w:sz w:val="22"/>
                <w:lang w:val="es-ES_tradnl"/>
              </w:rPr>
              <w:t>30B</w:t>
            </w:r>
            <w:r w:rsidRPr="00BE6424">
              <w:rPr>
                <w:sz w:val="22"/>
                <w:lang w:val="es-ES_tradnl"/>
              </w:rPr>
              <w:t xml:space="preserve"> el 3 de enero de 2018 (de manera que el periodo de suspensión de tres años al que se hace referencia en esa disposición finalice el 3 de enero de 2021);</w:t>
            </w:r>
          </w:p>
          <w:p w14:paraId="1AE5A139" w14:textId="77777777" w:rsidR="009A0FCF" w:rsidRPr="00BE6424" w:rsidRDefault="009A0FCF" w:rsidP="00043DE4">
            <w:pPr>
              <w:pStyle w:val="Tabletext"/>
              <w:tabs>
                <w:tab w:val="clear" w:pos="284"/>
                <w:tab w:val="left" w:pos="495"/>
              </w:tabs>
              <w:spacing w:before="80"/>
              <w:ind w:left="408" w:hanging="408"/>
              <w:rPr>
                <w:sz w:val="22"/>
                <w:lang w:val="es-ES_tradnl"/>
              </w:rPr>
            </w:pPr>
            <w:r w:rsidRPr="00BE6424">
              <w:rPr>
                <w:sz w:val="22"/>
                <w:lang w:val="es-ES_tradnl"/>
              </w:rPr>
              <w:t>4)</w:t>
            </w:r>
            <w:r w:rsidRPr="00BE6424">
              <w:rPr>
                <w:sz w:val="22"/>
                <w:lang w:val="es-ES_tradnl"/>
              </w:rPr>
              <w:tab/>
              <w:t>y que tramite en consecuencia la Parte B y la Notificación de dichas asignaciones de frecuencias con una fecha de recepción oficial de 22 de noviembre de 2019.</w:t>
            </w:r>
          </w:p>
          <w:p w14:paraId="7666D781" w14:textId="77777777" w:rsidR="009A0FCF" w:rsidRPr="00BE6424" w:rsidRDefault="009A0FCF" w:rsidP="00043DE4">
            <w:pPr>
              <w:pStyle w:val="Tabletext"/>
              <w:tabs>
                <w:tab w:val="clear" w:pos="1134"/>
                <w:tab w:val="clear" w:pos="2268"/>
              </w:tabs>
              <w:spacing w:before="120"/>
              <w:rPr>
                <w:i/>
                <w:sz w:val="22"/>
                <w:lang w:val="es-ES_tradnl"/>
              </w:rPr>
            </w:pPr>
            <w:r w:rsidRPr="00BE6424">
              <w:rPr>
                <w:i/>
                <w:sz w:val="22"/>
                <w:lang w:val="es-ES_tradnl"/>
              </w:rPr>
              <w:t>Solicitud relativa a la red de satélites KYPROS-SAT-3 (39° E)</w:t>
            </w:r>
          </w:p>
          <w:p w14:paraId="62665ADC" w14:textId="77777777" w:rsidR="009A0FCF" w:rsidRPr="00BE6424" w:rsidRDefault="009A0FCF" w:rsidP="00043DE4">
            <w:pPr>
              <w:pStyle w:val="Tabletext"/>
              <w:tabs>
                <w:tab w:val="clear" w:pos="1134"/>
                <w:tab w:val="clear" w:pos="2268"/>
              </w:tabs>
              <w:spacing w:before="120"/>
              <w:rPr>
                <w:sz w:val="22"/>
                <w:lang w:val="es-ES_tradnl"/>
              </w:rPr>
            </w:pPr>
            <w:r w:rsidRPr="00BE6424">
              <w:rPr>
                <w:sz w:val="22"/>
                <w:lang w:val="es-ES_tradnl"/>
              </w:rPr>
              <w:t>La CMR-19 consideró la solicitud específica formulada por Chipre en el Documento</w:t>
            </w:r>
            <w:r w:rsidRPr="00BE6424">
              <w:rPr>
                <w:rFonts w:asciiTheme="minorHAnsi" w:hAnsiTheme="minorHAnsi" w:cstheme="minorHAnsi"/>
                <w:szCs w:val="20"/>
                <w:lang w:val="es-ES_tradnl"/>
              </w:rPr>
              <w:t xml:space="preserve"> </w:t>
            </w:r>
            <w:hyperlink r:id="rId38" w:history="1">
              <w:r w:rsidRPr="00BE6424">
                <w:rPr>
                  <w:rFonts w:asciiTheme="minorHAnsi" w:hAnsiTheme="minorHAnsi" w:cstheme="minorHAnsi"/>
                  <w:color w:val="0000FF"/>
                  <w:sz w:val="22"/>
                  <w:u w:val="single"/>
                  <w:lang w:val="es-ES_tradnl"/>
                </w:rPr>
                <w:t>48(Add.22)</w:t>
              </w:r>
            </w:hyperlink>
            <w:r w:rsidRPr="00BE6424">
              <w:rPr>
                <w:rFonts w:asciiTheme="minorHAnsi" w:hAnsiTheme="minorHAnsi" w:cstheme="minorHAnsi"/>
                <w:szCs w:val="20"/>
                <w:lang w:val="es-ES_tradnl"/>
              </w:rPr>
              <w:t xml:space="preserve"> </w:t>
            </w:r>
            <w:r w:rsidRPr="00BE6424">
              <w:rPr>
                <w:sz w:val="22"/>
                <w:lang w:val="es-ES_tradnl"/>
              </w:rPr>
              <w:t>en relación con la puesta en servicio de la red de satélites KYPROS-SAT-3 en la posición orbital 39° E. Una vez solventadas las dificultades iniciales en relación con esta solicitud, la CMR</w:t>
            </w:r>
            <w:r w:rsidRPr="00BE6424">
              <w:rPr>
                <w:sz w:val="22"/>
                <w:lang w:val="es-ES_tradnl"/>
              </w:rPr>
              <w:noBreakHyphen/>
              <w:t xml:space="preserve">19 acordó a título excepcional fijar la fecha de puesta en servicio de las asignaciones de frecuencias a la red de satélites KYPROS-SAT-3 en el 7 de marzo de 2016. La CMR-19 señaló que esas asignaciones de frecuencias se suspendieron el 6 de junio de 2016 y que su funcionamiento se reanudó dentro del periodo de 3 años previsto en el número </w:t>
            </w:r>
            <w:r w:rsidRPr="00BE6424">
              <w:rPr>
                <w:b/>
                <w:bCs/>
                <w:sz w:val="22"/>
                <w:lang w:val="es-ES_tradnl"/>
              </w:rPr>
              <w:t>11.49</w:t>
            </w:r>
            <w:r w:rsidRPr="00BE6424">
              <w:rPr>
                <w:sz w:val="22"/>
                <w:lang w:val="es-ES_tradnl"/>
              </w:rPr>
              <w:t>.</w:t>
            </w:r>
          </w:p>
          <w:p w14:paraId="0BB89273" w14:textId="77777777" w:rsidR="009A0FCF" w:rsidRPr="00BE6424" w:rsidRDefault="009A0FCF" w:rsidP="00043DE4">
            <w:pPr>
              <w:pStyle w:val="Tabletext"/>
              <w:tabs>
                <w:tab w:val="clear" w:pos="1134"/>
                <w:tab w:val="clear" w:pos="2268"/>
              </w:tabs>
              <w:spacing w:before="120"/>
              <w:rPr>
                <w:i/>
                <w:sz w:val="22"/>
                <w:lang w:val="es-ES_tradnl"/>
              </w:rPr>
            </w:pPr>
            <w:r w:rsidRPr="00BE6424">
              <w:rPr>
                <w:i/>
                <w:sz w:val="22"/>
                <w:lang w:val="es-ES_tradnl"/>
              </w:rPr>
              <w:t>Solicitud relativa a la red de satélites PALAPA-C1-B (113° E)</w:t>
            </w:r>
          </w:p>
          <w:p w14:paraId="42D7082A" w14:textId="77777777" w:rsidR="009A0FCF" w:rsidRPr="00BE6424" w:rsidRDefault="009A0FCF" w:rsidP="00043DE4">
            <w:pPr>
              <w:pStyle w:val="Tabletext"/>
              <w:tabs>
                <w:tab w:val="clear" w:pos="1134"/>
                <w:tab w:val="clear" w:pos="2268"/>
              </w:tabs>
              <w:spacing w:before="120"/>
              <w:rPr>
                <w:rFonts w:asciiTheme="minorHAnsi" w:hAnsiTheme="minorHAnsi" w:cstheme="minorHAnsi"/>
                <w:lang w:val="es-ES_tradnl"/>
              </w:rPr>
            </w:pPr>
            <w:r w:rsidRPr="00BE6424">
              <w:rPr>
                <w:sz w:val="22"/>
                <w:lang w:val="es-ES_tradnl"/>
              </w:rPr>
              <w:t>La CMR-19 consideró la solicitud específica formulada por Indonesia en el Documento</w:t>
            </w:r>
            <w:r w:rsidRPr="00BE6424">
              <w:rPr>
                <w:rFonts w:asciiTheme="minorHAnsi" w:hAnsiTheme="minorHAnsi" w:cstheme="minorHAnsi"/>
                <w:szCs w:val="20"/>
                <w:lang w:val="es-ES_tradnl"/>
              </w:rPr>
              <w:t xml:space="preserve"> </w:t>
            </w:r>
            <w:hyperlink r:id="rId39" w:history="1">
              <w:r w:rsidRPr="00BE6424">
                <w:rPr>
                  <w:rFonts w:asciiTheme="minorHAnsi" w:hAnsiTheme="minorHAnsi" w:cstheme="minorHAnsi"/>
                  <w:color w:val="0000FF"/>
                  <w:sz w:val="22"/>
                  <w:u w:val="single"/>
                  <w:lang w:val="es-ES_tradnl"/>
                </w:rPr>
                <w:t>35(Add.25)</w:t>
              </w:r>
            </w:hyperlink>
            <w:r w:rsidRPr="00BE6424">
              <w:rPr>
                <w:rFonts w:asciiTheme="minorHAnsi" w:hAnsiTheme="minorHAnsi" w:cstheme="minorHAnsi"/>
                <w:sz w:val="22"/>
                <w:lang w:val="es-ES_tradnl"/>
              </w:rPr>
              <w:t xml:space="preserve"> </w:t>
            </w:r>
            <w:r w:rsidRPr="00BE6424">
              <w:rPr>
                <w:sz w:val="22"/>
                <w:lang w:val="es-ES_tradnl"/>
              </w:rPr>
              <w:t xml:space="preserve">en relación con la prórroga del plazo reglamentario para la puesta en servicio de las asignaciones de frecuencias </w:t>
            </w:r>
            <w:bookmarkStart w:id="77" w:name="_Hlk22224616"/>
            <w:r w:rsidRPr="00BE6424">
              <w:rPr>
                <w:sz w:val="22"/>
                <w:lang w:val="es-ES_tradnl"/>
              </w:rPr>
              <w:t xml:space="preserve">a la red de satélites </w:t>
            </w:r>
            <w:bookmarkEnd w:id="77"/>
            <w:r w:rsidRPr="00BE6424">
              <w:rPr>
                <w:sz w:val="22"/>
                <w:lang w:val="es-ES_tradnl"/>
              </w:rPr>
              <w:t>PALAPA-C1-B (113° E) en las bandas de frecuencias 11 452</w:t>
            </w:r>
            <w:r w:rsidRPr="00BE6424">
              <w:rPr>
                <w:sz w:val="22"/>
                <w:lang w:val="es-ES_tradnl"/>
              </w:rPr>
              <w:noBreakHyphen/>
              <w:t>11 678 MHz, 12 252-12 532 MHz, 13 758</w:t>
            </w:r>
            <w:r w:rsidRPr="00BE6424">
              <w:rPr>
                <w:sz w:val="22"/>
                <w:lang w:val="es-ES_tradnl"/>
              </w:rPr>
              <w:noBreakHyphen/>
              <w:t>13 984 MHz, 14 000-14 280 MHz del 6 de agosto de 2019 al 31 de julio de 2020. La CMR-19 accedió conceder esta prórroga limitada tras confirmar que se había completado para esta red de satélites toda la coordinación de frecuencias solicitada por otras administraciones durante la CMR-19.</w:t>
            </w:r>
            <w:bookmarkEnd w:id="76"/>
          </w:p>
        </w:tc>
      </w:tr>
      <w:tr w:rsidR="009A0FCF" w:rsidRPr="00BE6424" w14:paraId="79B42844" w14:textId="77777777" w:rsidTr="005321E9">
        <w:trPr>
          <w:trHeight w:val="1139"/>
        </w:trPr>
        <w:tc>
          <w:tcPr>
            <w:tcW w:w="1669" w:type="dxa"/>
            <w:vMerge/>
          </w:tcPr>
          <w:p w14:paraId="7BDE8E26"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24003A39" w14:textId="77777777" w:rsidR="009A0FCF" w:rsidRPr="00BE6424" w:rsidRDefault="009A0FCF" w:rsidP="001311B8">
            <w:pPr>
              <w:pStyle w:val="Tablehead"/>
              <w:keepNext w:val="0"/>
              <w:rPr>
                <w:sz w:val="22"/>
                <w:lang w:val="es-ES_tradnl"/>
              </w:rPr>
            </w:pPr>
            <w:bookmarkStart w:id="78" w:name="lt_pId426"/>
            <w:r w:rsidRPr="00BE6424">
              <w:rPr>
                <w:sz w:val="22"/>
                <w:lang w:val="es-ES_tradnl"/>
              </w:rPr>
              <w:t>§§ 10.2 a 10.4</w:t>
            </w:r>
            <w:bookmarkEnd w:id="78"/>
          </w:p>
          <w:p w14:paraId="37C65E45" w14:textId="70C02D08" w:rsidR="009A0FCF" w:rsidRPr="00BE6424" w:rsidRDefault="009A0FCF" w:rsidP="001311B8">
            <w:pPr>
              <w:pStyle w:val="Tablehead"/>
              <w:keepNext w:val="0"/>
              <w:rPr>
                <w:rFonts w:asciiTheme="minorHAnsi" w:hAnsiTheme="minorHAnsi" w:cstheme="minorHAnsi"/>
                <w:b w:val="0"/>
                <w:lang w:val="es-ES_tradnl"/>
              </w:rPr>
            </w:pPr>
            <w:bookmarkStart w:id="79" w:name="lt_pId427"/>
            <w:r w:rsidRPr="00BE6424">
              <w:rPr>
                <w:sz w:val="22"/>
                <w:lang w:val="es-ES_tradnl"/>
              </w:rPr>
              <w:t xml:space="preserve">Aprobación del documento </w:t>
            </w:r>
            <w:hyperlink r:id="rId40" w:history="1">
              <w:r w:rsidRPr="001C5E82">
                <w:rPr>
                  <w:rStyle w:val="Hyperlink"/>
                  <w:sz w:val="22"/>
                  <w:lang w:val="es-ES_tradnl"/>
                </w:rPr>
                <w:t>499</w:t>
              </w:r>
              <w:bookmarkEnd w:id="79"/>
            </w:hyperlink>
          </w:p>
        </w:tc>
        <w:tc>
          <w:tcPr>
            <w:tcW w:w="10762" w:type="dxa"/>
            <w:gridSpan w:val="2"/>
          </w:tcPr>
          <w:p w14:paraId="501B546F" w14:textId="4DDF8338" w:rsidR="009A0FCF" w:rsidRPr="00BE6424" w:rsidRDefault="009A0FCF" w:rsidP="00847253">
            <w:pPr>
              <w:pStyle w:val="AnnexNoTitle"/>
              <w:keepNext w:val="0"/>
              <w:keepLines w:val="0"/>
              <w:spacing w:before="120" w:line="240" w:lineRule="auto"/>
              <w:rPr>
                <w:lang w:val="es-ES_tradnl"/>
              </w:rPr>
            </w:pPr>
            <w:bookmarkStart w:id="80" w:name="lt_pId428"/>
            <w:r w:rsidRPr="00BE6424">
              <w:rPr>
                <w:lang w:val="es-ES_tradnl"/>
              </w:rPr>
              <w:t xml:space="preserve">Entendimiento de la Oficina de Radiocomunicaciones del </w:t>
            </w:r>
            <w:r w:rsidRPr="00B03747">
              <w:rPr>
                <w:i/>
                <w:iCs/>
                <w:lang w:val="es-ES_tradnl"/>
              </w:rPr>
              <w:t>resuelve</w:t>
            </w:r>
            <w:r w:rsidRPr="00BE6424">
              <w:rPr>
                <w:lang w:val="es-ES_tradnl"/>
              </w:rPr>
              <w:t xml:space="preserve"> 11 y </w:t>
            </w:r>
            <w:r w:rsidR="00847253" w:rsidRPr="00BE6424">
              <w:rPr>
                <w:lang w:val="es-ES_tradnl"/>
              </w:rPr>
              <w:br/>
            </w:r>
            <w:r w:rsidRPr="00BE6424">
              <w:rPr>
                <w:lang w:val="es-ES_tradnl"/>
              </w:rPr>
              <w:t>del Anexo 2 a la Resolución [7(A)-NGSO-MILESTONES] (CMR-19)</w:t>
            </w:r>
          </w:p>
          <w:p w14:paraId="4382F839" w14:textId="77777777" w:rsidR="009A0FCF" w:rsidRPr="00BE6424" w:rsidRDefault="009A0FCF" w:rsidP="00847253">
            <w:pPr>
              <w:pStyle w:val="Tabletext"/>
              <w:tabs>
                <w:tab w:val="clear" w:pos="1134"/>
                <w:tab w:val="clear" w:pos="2268"/>
              </w:tabs>
              <w:spacing w:before="120"/>
              <w:rPr>
                <w:sz w:val="22"/>
                <w:lang w:val="es-ES_tradnl"/>
              </w:rPr>
            </w:pPr>
            <w:r w:rsidRPr="00BE6424">
              <w:rPr>
                <w:sz w:val="22"/>
                <w:lang w:val="es-ES_tradnl"/>
              </w:rPr>
              <w:t xml:space="preserve">La Oficina señala que la Resolución </w:t>
            </w:r>
            <w:r w:rsidRPr="00B03747">
              <w:rPr>
                <w:b/>
                <w:bCs/>
                <w:sz w:val="22"/>
                <w:lang w:val="es-ES_tradnl"/>
              </w:rPr>
              <w:t>[7(A)-NGSO-MILESTONES] (CMR-19)</w:t>
            </w:r>
            <w:r w:rsidRPr="00BE6424">
              <w:rPr>
                <w:sz w:val="22"/>
                <w:lang w:val="es-ES_tradnl"/>
              </w:rPr>
              <w:t xml:space="preserve">, incluido su Anexo 2, no sustituye a la aplicación pertinente de las disposiciones del Artículo </w:t>
            </w:r>
            <w:r w:rsidRPr="00BE6424">
              <w:rPr>
                <w:b/>
                <w:bCs/>
                <w:sz w:val="22"/>
                <w:lang w:val="es-ES_tradnl"/>
              </w:rPr>
              <w:t>9</w:t>
            </w:r>
            <w:r w:rsidRPr="00BE6424">
              <w:rPr>
                <w:sz w:val="22"/>
                <w:lang w:val="es-ES_tradnl"/>
              </w:rPr>
              <w:t xml:space="preserve"> del Reglamento de Radiocomunicaciones, en particular el número </w:t>
            </w:r>
            <w:r w:rsidRPr="00BE6424">
              <w:rPr>
                <w:b/>
                <w:bCs/>
                <w:sz w:val="22"/>
                <w:lang w:val="es-ES_tradnl"/>
              </w:rPr>
              <w:t>9.6</w:t>
            </w:r>
            <w:r w:rsidRPr="00BE6424">
              <w:rPr>
                <w:sz w:val="22"/>
                <w:lang w:val="es-ES_tradnl"/>
              </w:rPr>
              <w:t xml:space="preserve"> (inicio del proceso de coordinación), los números </w:t>
            </w:r>
            <w:r w:rsidRPr="00BE6424">
              <w:rPr>
                <w:b/>
                <w:bCs/>
                <w:sz w:val="22"/>
                <w:lang w:val="es-ES_tradnl"/>
              </w:rPr>
              <w:t>9.50</w:t>
            </w:r>
            <w:r w:rsidRPr="00BE6424">
              <w:rPr>
                <w:sz w:val="22"/>
                <w:lang w:val="es-ES_tradnl"/>
              </w:rPr>
              <w:t xml:space="preserve"> al </w:t>
            </w:r>
            <w:r w:rsidRPr="00BE6424">
              <w:rPr>
                <w:b/>
                <w:bCs/>
                <w:sz w:val="22"/>
                <w:lang w:val="es-ES_tradnl"/>
              </w:rPr>
              <w:t>9.52</w:t>
            </w:r>
            <w:r w:rsidRPr="00BE6424">
              <w:rPr>
                <w:sz w:val="22"/>
                <w:lang w:val="es-ES_tradnl"/>
              </w:rPr>
              <w:t xml:space="preserve">, el número </w:t>
            </w:r>
            <w:r w:rsidRPr="00BE6424">
              <w:rPr>
                <w:b/>
                <w:bCs/>
                <w:sz w:val="22"/>
                <w:lang w:val="es-ES_tradnl"/>
              </w:rPr>
              <w:t>9.52C</w:t>
            </w:r>
            <w:r w:rsidRPr="00BE6424">
              <w:rPr>
                <w:sz w:val="22"/>
                <w:lang w:val="es-ES_tradnl"/>
              </w:rPr>
              <w:t xml:space="preserve"> (actuación ante una solicitud de coordinación) y el número </w:t>
            </w:r>
            <w:r w:rsidRPr="00BE6424">
              <w:rPr>
                <w:b/>
                <w:bCs/>
                <w:sz w:val="22"/>
                <w:lang w:val="es-ES_tradnl"/>
              </w:rPr>
              <w:t>9.53</w:t>
            </w:r>
            <w:r w:rsidRPr="00BE6424">
              <w:rPr>
                <w:sz w:val="22"/>
                <w:lang w:val="es-ES_tradnl"/>
              </w:rPr>
              <w:t xml:space="preserve"> (esfuerzos mutuos de la administración solicitante y de la administración que responde para superar las dificultades) del RR.</w:t>
            </w:r>
          </w:p>
          <w:p w14:paraId="12796AA4" w14:textId="77777777" w:rsidR="009A0FCF" w:rsidRPr="00BE6424" w:rsidRDefault="009A0FCF" w:rsidP="00847253">
            <w:pPr>
              <w:pStyle w:val="Tabletext"/>
              <w:tabs>
                <w:tab w:val="clear" w:pos="1134"/>
                <w:tab w:val="clear" w:pos="2268"/>
              </w:tabs>
              <w:spacing w:before="120"/>
              <w:rPr>
                <w:sz w:val="22"/>
                <w:lang w:val="es-ES_tradnl"/>
              </w:rPr>
            </w:pPr>
            <w:r w:rsidRPr="00BE6424">
              <w:rPr>
                <w:sz w:val="22"/>
                <w:lang w:val="es-ES_tradnl"/>
              </w:rPr>
              <w:t>Este conjunto de disposiciones crea un marco equilibrado en el que ambas administraciones solicitantes y que responde realizan una serie de actos que constituyen el proceso de coordinación bilateral:</w:t>
            </w:r>
          </w:p>
          <w:p w14:paraId="56FCD770" w14:textId="77777777" w:rsidR="009A0FCF" w:rsidRPr="00BE6424" w:rsidRDefault="009A0FCF" w:rsidP="00847253">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la administración solicitante inicia el proceso;</w:t>
            </w:r>
          </w:p>
          <w:p w14:paraId="3CE1D6ED" w14:textId="77777777" w:rsidR="009A0FCF" w:rsidRPr="00BE6424" w:rsidRDefault="009A0FCF" w:rsidP="00847253">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la administración que responde contesta a esta solicitud dando su acuerdo o indicando su desacuerdo junto con información relativa a sus asignaciones en las que se basa el desacuerdo y las sugerencias que pueda ofrecer con miras a una resolución satisfactoria de la cuestión;</w:t>
            </w:r>
          </w:p>
          <w:p w14:paraId="3EFF29E0" w14:textId="77777777" w:rsidR="009A0FCF" w:rsidRPr="00BE6424" w:rsidRDefault="009A0FCF" w:rsidP="00847253">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ambas administraciones harán todo lo posible para superar las dificultades, de una forma satisfactoria para las partes implicadas.</w:t>
            </w:r>
          </w:p>
          <w:p w14:paraId="5DF63FCE" w14:textId="07BE7EEC" w:rsidR="009A0FCF" w:rsidRPr="00BE6424" w:rsidRDefault="009A0FCF" w:rsidP="00847253">
            <w:pPr>
              <w:pStyle w:val="Tabletext"/>
              <w:tabs>
                <w:tab w:val="clear" w:pos="1134"/>
                <w:tab w:val="clear" w:pos="2268"/>
              </w:tabs>
              <w:spacing w:before="120"/>
              <w:rPr>
                <w:sz w:val="22"/>
                <w:lang w:val="es-ES_tradnl"/>
              </w:rPr>
            </w:pPr>
            <w:r w:rsidRPr="00BE6424">
              <w:rPr>
                <w:sz w:val="22"/>
                <w:lang w:val="es-ES_tradnl"/>
              </w:rPr>
              <w:t xml:space="preserve">Por consiguiente, la Oficina entiende que las administraciones notificantes, cuando presenten, entre otros, el punto 3 del Anexo 2 a la Resolución </w:t>
            </w:r>
            <w:r w:rsidRPr="00BE6424">
              <w:rPr>
                <w:b/>
                <w:bCs/>
                <w:sz w:val="22"/>
                <w:lang w:val="es-ES_tradnl"/>
              </w:rPr>
              <w:t>[7(A)-NGSO-MILESTONES] (CMR-19)</w:t>
            </w:r>
            <w:r w:rsidRPr="00BE6424">
              <w:rPr>
                <w:sz w:val="22"/>
                <w:lang w:val="es-ES_tradnl"/>
              </w:rPr>
              <w:t xml:space="preserve"> con arreglo a lo dispuesto en el resuelve</w:t>
            </w:r>
            <w:r w:rsidR="00847253" w:rsidRPr="00BE6424">
              <w:rPr>
                <w:sz w:val="22"/>
                <w:lang w:val="es-ES_tradnl"/>
              </w:rPr>
              <w:t> </w:t>
            </w:r>
            <w:r w:rsidRPr="00BE6424">
              <w:rPr>
                <w:sz w:val="22"/>
                <w:lang w:val="es-ES_tradnl"/>
              </w:rPr>
              <w:t>11 de esta Resolución, deberán informar sobre el estado de la coordinación y sobre los esfuerzos realizados en la coordinación con los sistemas o redes de satélites identificados en virtud de las disposiciones pertinentes de la Sección II del Artículo </w:t>
            </w:r>
            <w:r w:rsidRPr="00BE6424">
              <w:rPr>
                <w:b/>
                <w:bCs/>
                <w:sz w:val="22"/>
                <w:lang w:val="es-ES_tradnl"/>
              </w:rPr>
              <w:t>9</w:t>
            </w:r>
            <w:r w:rsidRPr="00BE6424">
              <w:rPr>
                <w:sz w:val="22"/>
                <w:lang w:val="es-ES_tradnl"/>
              </w:rPr>
              <w:t xml:space="preserve"> del RR.</w:t>
            </w:r>
          </w:p>
          <w:p w14:paraId="4AFA9BF9" w14:textId="77777777" w:rsidR="009A0FCF" w:rsidRPr="00BE6424" w:rsidRDefault="009A0FCF" w:rsidP="00847253">
            <w:pPr>
              <w:pStyle w:val="Tabletext"/>
              <w:tabs>
                <w:tab w:val="clear" w:pos="1134"/>
                <w:tab w:val="clear" w:pos="2268"/>
              </w:tabs>
              <w:spacing w:before="120"/>
              <w:rPr>
                <w:sz w:val="22"/>
                <w:lang w:val="es-ES_tradnl"/>
              </w:rPr>
            </w:pPr>
            <w:r w:rsidRPr="00BE6424">
              <w:rPr>
                <w:sz w:val="22"/>
                <w:lang w:val="es-ES_tradnl"/>
              </w:rPr>
              <w:t>Las administraciones notificantes también pueden incluir en este punto 3 información sobre actividades de coordinación con sistemas o redes de satélites notificadas ulteriormente de los que tengan conocimiento, que la Oficina entiende que benefician a una administración que solicite la aplicación del resuelve 11. La Oficina señala que es materialmente imposible para una administración incluir información relativa a casos en los que la administración solicitante no ha iniciado contactos a fin de iniciar debates técnicos y de funcionamiento antes de la presentación de la petición de informe en virtud del punto 3.</w:t>
            </w:r>
          </w:p>
          <w:p w14:paraId="0B3E8D01" w14:textId="41534E91" w:rsidR="009A0FCF" w:rsidRPr="00BE6424" w:rsidRDefault="009A0FCF" w:rsidP="00847253">
            <w:pPr>
              <w:pStyle w:val="Tabletext"/>
              <w:tabs>
                <w:tab w:val="clear" w:pos="1134"/>
                <w:tab w:val="clear" w:pos="2268"/>
              </w:tabs>
              <w:spacing w:before="120"/>
              <w:rPr>
                <w:rFonts w:asciiTheme="minorHAnsi" w:hAnsiTheme="minorHAnsi" w:cstheme="minorHAnsi"/>
                <w:lang w:val="es-ES_tradnl"/>
              </w:rPr>
            </w:pPr>
            <w:r w:rsidRPr="00BE6424">
              <w:rPr>
                <w:sz w:val="22"/>
                <w:lang w:val="es-ES_tradnl"/>
              </w:rPr>
              <w:t>La Oficina entiende finalmente que, al adoptar el resuelve 11 y el Anexo 2 a la Resolución</w:t>
            </w:r>
            <w:r w:rsidR="001947AB">
              <w:rPr>
                <w:sz w:val="22"/>
                <w:lang w:val="es-ES_tradnl"/>
              </w:rPr>
              <w:t> </w:t>
            </w:r>
            <w:r w:rsidRPr="00BE6424">
              <w:rPr>
                <w:b/>
                <w:bCs/>
                <w:sz w:val="22"/>
                <w:lang w:val="es-ES_tradnl"/>
              </w:rPr>
              <w:t>[7(A)</w:t>
            </w:r>
            <w:r w:rsidRPr="00BE6424">
              <w:rPr>
                <w:b/>
                <w:bCs/>
                <w:sz w:val="22"/>
                <w:lang w:val="es-ES_tradnl"/>
              </w:rPr>
              <w:noBreakHyphen/>
              <w:t>NGSO</w:t>
            </w:r>
            <w:r w:rsidR="001947AB">
              <w:rPr>
                <w:b/>
                <w:bCs/>
                <w:sz w:val="22"/>
                <w:lang w:val="es-ES_tradnl"/>
              </w:rPr>
              <w:noBreakHyphen/>
            </w:r>
            <w:r w:rsidRPr="00BE6424">
              <w:rPr>
                <w:b/>
                <w:bCs/>
                <w:sz w:val="22"/>
                <w:lang w:val="es-ES_tradnl"/>
              </w:rPr>
              <w:t>MILESTONES] (CMR-19)</w:t>
            </w:r>
            <w:r w:rsidRPr="00BE6424">
              <w:rPr>
                <w:sz w:val="22"/>
                <w:lang w:val="es-ES_tradnl"/>
              </w:rPr>
              <w:t>, la CMR-19 decidió establecer un proceso transparente que está abierto a comentarios: cualquier administración que esté en desacuerdo con el contenido del informe facilitado en virtud del punto 3 del Anexo 2 a esta Resolución tendrá la oportunidad de presentar su punto de vista a la Junta del Reglamento de Radiocomunicaciones y la administración que ha presentado el informe tendrá la oportunidad de facilitar aclaraciones sobre la materia. La RRB tendrá en cuenta esta información cuando aplique el resuelve 11b) de esta Resolución.</w:t>
            </w:r>
            <w:bookmarkEnd w:id="80"/>
          </w:p>
        </w:tc>
      </w:tr>
      <w:tr w:rsidR="009A0FCF" w:rsidRPr="00BE6424" w14:paraId="35B7BFF8" w14:textId="77777777" w:rsidTr="005321E9">
        <w:trPr>
          <w:trHeight w:val="1139"/>
        </w:trPr>
        <w:tc>
          <w:tcPr>
            <w:tcW w:w="1669" w:type="dxa"/>
            <w:vMerge/>
          </w:tcPr>
          <w:p w14:paraId="0F79AECB"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4A335F69" w14:textId="77777777" w:rsidR="009A0FCF" w:rsidRPr="00BE6424" w:rsidRDefault="009A0FCF" w:rsidP="001311B8">
            <w:pPr>
              <w:pStyle w:val="Tablehead"/>
              <w:keepNext w:val="0"/>
              <w:rPr>
                <w:sz w:val="22"/>
                <w:lang w:val="es-ES_tradnl"/>
              </w:rPr>
            </w:pPr>
            <w:bookmarkStart w:id="81" w:name="lt_pId443"/>
            <w:r w:rsidRPr="00BE6424">
              <w:rPr>
                <w:sz w:val="22"/>
                <w:lang w:val="es-ES_tradnl"/>
              </w:rPr>
              <w:t>§§ 10.5 a 10.7</w:t>
            </w:r>
            <w:bookmarkEnd w:id="81"/>
          </w:p>
          <w:p w14:paraId="2FE02BCB" w14:textId="3FFC804A" w:rsidR="009A0FCF" w:rsidRPr="00BE6424" w:rsidRDefault="009A0FCF" w:rsidP="001311B8">
            <w:pPr>
              <w:pStyle w:val="Tablehead"/>
              <w:keepNext w:val="0"/>
              <w:rPr>
                <w:rFonts w:asciiTheme="minorHAnsi" w:hAnsiTheme="minorHAnsi" w:cstheme="minorHAnsi"/>
                <w:b w:val="0"/>
                <w:lang w:val="es-ES_tradnl"/>
              </w:rPr>
            </w:pPr>
            <w:bookmarkStart w:id="82" w:name="lt_pId444"/>
            <w:r w:rsidRPr="00BE6424">
              <w:rPr>
                <w:sz w:val="22"/>
                <w:lang w:val="es-ES_tradnl"/>
              </w:rPr>
              <w:t xml:space="preserve">Aprobación del documento </w:t>
            </w:r>
            <w:hyperlink r:id="rId41" w:history="1">
              <w:r w:rsidRPr="001C5E82">
                <w:rPr>
                  <w:rStyle w:val="Hyperlink"/>
                  <w:sz w:val="22"/>
                  <w:lang w:val="es-ES_tradnl"/>
                </w:rPr>
                <w:t>500</w:t>
              </w:r>
              <w:bookmarkEnd w:id="82"/>
            </w:hyperlink>
          </w:p>
        </w:tc>
        <w:tc>
          <w:tcPr>
            <w:tcW w:w="10762" w:type="dxa"/>
            <w:gridSpan w:val="2"/>
          </w:tcPr>
          <w:p w14:paraId="45FCCCC2" w14:textId="77777777" w:rsidR="009A0FCF" w:rsidRPr="00BE6424" w:rsidRDefault="009A0FCF" w:rsidP="00847253">
            <w:pPr>
              <w:pStyle w:val="Tabletext"/>
              <w:tabs>
                <w:tab w:val="clear" w:pos="284"/>
                <w:tab w:val="left" w:pos="439"/>
              </w:tabs>
              <w:spacing w:before="120"/>
              <w:rPr>
                <w:sz w:val="22"/>
                <w:lang w:val="es-ES_tradnl"/>
              </w:rPr>
            </w:pPr>
            <w:r w:rsidRPr="00BE6424">
              <w:rPr>
                <w:sz w:val="22"/>
                <w:lang w:val="es-ES_tradnl"/>
              </w:rPr>
              <w:t>1</w:t>
            </w:r>
            <w:r w:rsidRPr="00BE6424">
              <w:rPr>
                <w:sz w:val="22"/>
                <w:lang w:val="es-ES_tradnl"/>
              </w:rPr>
              <w:tab/>
              <w:t xml:space="preserve">La CMR-19 ha adoptado un nuevo enfoque basado en objetivos intermedios para el despliegue de los sistemas de satélites no geoestacionarios en bandas y servicios específicos. La CMR-19 indica al Director de la Oficina de Radiocomunicaciones que, con el enfoque por objetivos, la CMR-19 no promueve la utilización rutinaria del número </w:t>
            </w:r>
            <w:r w:rsidRPr="00154EE3">
              <w:rPr>
                <w:b/>
                <w:bCs/>
                <w:sz w:val="22"/>
                <w:lang w:val="es-ES_tradnl"/>
              </w:rPr>
              <w:t>13.6</w:t>
            </w:r>
            <w:r w:rsidRPr="00BE6424">
              <w:rPr>
                <w:sz w:val="22"/>
                <w:lang w:val="es-ES_tradnl"/>
              </w:rPr>
              <w:t xml:space="preserve"> del Reglamento de Radiocomunicaciones cuando no se disponga de información fiable, con el objeto de recabar la confirmación del despliegue del número de satélites en los planos orbitales notificados para los sistemas de satélites de órbita no geoestacionaria en las bandas de frecuencias y los servicios no enumerados en el resuelve 1 de la nueva Resolución.</w:t>
            </w:r>
          </w:p>
          <w:p w14:paraId="0E48094B" w14:textId="77777777" w:rsidR="009A0FCF" w:rsidRPr="00BE6424" w:rsidRDefault="009A0FCF" w:rsidP="00847253">
            <w:pPr>
              <w:pStyle w:val="Tabletext"/>
              <w:tabs>
                <w:tab w:val="clear" w:pos="284"/>
                <w:tab w:val="left" w:pos="439"/>
              </w:tabs>
              <w:spacing w:before="120"/>
              <w:rPr>
                <w:sz w:val="22"/>
                <w:lang w:val="es-ES_tradnl"/>
              </w:rPr>
            </w:pPr>
            <w:r w:rsidRPr="00BE6424">
              <w:rPr>
                <w:sz w:val="22"/>
                <w:lang w:val="es-ES_tradnl"/>
              </w:rPr>
              <w:t>2</w:t>
            </w:r>
            <w:r w:rsidRPr="00BE6424">
              <w:rPr>
                <w:sz w:val="22"/>
                <w:lang w:val="es-ES_tradnl"/>
              </w:rPr>
              <w:tab/>
              <w:t>La CMR-19 invita al UIT-R a estudiar, con carácter de urgencia, las tolerancias de determinadas características orbitales de las estaciones espaciales no OSG de los servicios fijo por satélite, móvil por satélite o de radiodifusión por satélite a fin de tener en cuenta las posibles diferencias entre las características orbitales notificadas y desplegadas respecto de la inclinación del plano orbital, la altitud del apogeo de la estación espacial, la altitud del perigeo de la estación espacial y el argumento del perigeo del plano orbital.</w:t>
            </w:r>
          </w:p>
          <w:p w14:paraId="7C993B6A" w14:textId="0BA3E331" w:rsidR="009A0FCF" w:rsidRPr="00BE6424" w:rsidRDefault="009A0FCF" w:rsidP="00847253">
            <w:pPr>
              <w:pStyle w:val="Tabletext"/>
              <w:tabs>
                <w:tab w:val="clear" w:pos="284"/>
                <w:tab w:val="left" w:pos="439"/>
              </w:tabs>
              <w:spacing w:before="120"/>
              <w:rPr>
                <w:sz w:val="22"/>
                <w:lang w:val="es-ES_tradnl"/>
              </w:rPr>
            </w:pPr>
            <w:r w:rsidRPr="00BE6424">
              <w:rPr>
                <w:sz w:val="22"/>
                <w:lang w:val="es-ES_tradnl"/>
              </w:rPr>
              <w:t>3</w:t>
            </w:r>
            <w:r w:rsidRPr="00BE6424">
              <w:rPr>
                <w:sz w:val="22"/>
                <w:lang w:val="es-ES_tradnl"/>
              </w:rPr>
              <w:tab/>
              <w:t>La CMR-19 invita al UIT-R a estudiar, con carácter urgente, la posible elaboración de un procedimiento para después de cada objetivo intermedio, teniendo en cuenta la información definida en el § 18 de la Resolución</w:t>
            </w:r>
            <w:r w:rsidR="001947AB">
              <w:rPr>
                <w:sz w:val="22"/>
                <w:lang w:val="es-ES_tradnl"/>
              </w:rPr>
              <w:t> </w:t>
            </w:r>
            <w:r w:rsidRPr="00BE6424">
              <w:rPr>
                <w:b/>
                <w:bCs/>
                <w:sz w:val="22"/>
                <w:lang w:val="es-ES_tradnl"/>
              </w:rPr>
              <w:t>[7(A)</w:t>
            </w:r>
            <w:r w:rsidR="001947AB">
              <w:rPr>
                <w:b/>
                <w:bCs/>
                <w:sz w:val="22"/>
                <w:lang w:val="es-ES_tradnl"/>
              </w:rPr>
              <w:noBreakHyphen/>
            </w:r>
            <w:r w:rsidRPr="00BE6424">
              <w:rPr>
                <w:b/>
                <w:bCs/>
                <w:sz w:val="22"/>
                <w:lang w:val="es-ES_tradnl"/>
              </w:rPr>
              <w:t>NGSO-MILESTONES].</w:t>
            </w:r>
          </w:p>
          <w:p w14:paraId="1D89420D" w14:textId="77777777" w:rsidR="009A0FCF" w:rsidRPr="00BE6424" w:rsidRDefault="009A0FCF" w:rsidP="001947AB">
            <w:pPr>
              <w:pStyle w:val="Tabletext"/>
              <w:tabs>
                <w:tab w:val="clear" w:pos="284"/>
                <w:tab w:val="left" w:pos="439"/>
              </w:tabs>
              <w:spacing w:before="120"/>
              <w:rPr>
                <w:rFonts w:asciiTheme="minorHAnsi" w:hAnsiTheme="minorHAnsi" w:cstheme="minorHAnsi"/>
                <w:b/>
                <w:color w:val="800000"/>
                <w:lang w:val="es-ES_tradnl"/>
              </w:rPr>
            </w:pPr>
            <w:r w:rsidRPr="001947AB">
              <w:rPr>
                <w:sz w:val="22"/>
                <w:lang w:val="es-ES_tradnl"/>
              </w:rPr>
              <w:t xml:space="preserve">Además, la CMR-19 encarga a la Oficina que, al aplicar las disposiciones pertinentes del RR (por ejemplo, el número 11.44C.2 o el resuelve 9d) de la Resolución </w:t>
            </w:r>
            <w:r w:rsidRPr="001947AB">
              <w:rPr>
                <w:b/>
                <w:bCs/>
                <w:sz w:val="22"/>
                <w:lang w:val="es-ES_tradnl"/>
              </w:rPr>
              <w:t>[7(A)</w:t>
            </w:r>
            <w:r w:rsidRPr="001947AB">
              <w:rPr>
                <w:b/>
                <w:bCs/>
                <w:sz w:val="22"/>
                <w:lang w:val="es-ES_tradnl"/>
              </w:rPr>
              <w:noBreakHyphen/>
              <w:t>NGSO</w:t>
            </w:r>
            <w:r w:rsidRPr="001947AB">
              <w:rPr>
                <w:b/>
                <w:bCs/>
                <w:sz w:val="22"/>
                <w:lang w:val="es-ES_tradnl"/>
              </w:rPr>
              <w:noBreakHyphen/>
              <w:t>MILESTONES])</w:t>
            </w:r>
            <w:r w:rsidRPr="001947AB">
              <w:rPr>
                <w:sz w:val="22"/>
                <w:lang w:val="es-ES_tradnl"/>
              </w:rPr>
              <w:t>, actúe con la máxima cautela hasta que el UIT-R concluya los estudios sobre tolerancias.</w:t>
            </w:r>
          </w:p>
        </w:tc>
      </w:tr>
      <w:tr w:rsidR="009A0FCF" w:rsidRPr="00BE6424" w14:paraId="6E52ED5B" w14:textId="77777777" w:rsidTr="005321E9">
        <w:trPr>
          <w:trHeight w:val="1139"/>
        </w:trPr>
        <w:tc>
          <w:tcPr>
            <w:tcW w:w="1669" w:type="dxa"/>
            <w:vMerge/>
          </w:tcPr>
          <w:p w14:paraId="654C5F5D"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3DF35D8F" w14:textId="77777777" w:rsidR="009A0FCF" w:rsidRPr="00BE6424" w:rsidRDefault="009A0FCF" w:rsidP="001311B8">
            <w:pPr>
              <w:pStyle w:val="Tablehead"/>
              <w:keepNext w:val="0"/>
              <w:rPr>
                <w:sz w:val="22"/>
                <w:lang w:val="es-ES_tradnl"/>
              </w:rPr>
            </w:pPr>
            <w:bookmarkStart w:id="83" w:name="lt_pId453"/>
            <w:r w:rsidRPr="00BE6424">
              <w:rPr>
                <w:sz w:val="22"/>
                <w:lang w:val="es-ES_tradnl"/>
              </w:rPr>
              <w:t>§§ 12.2 a 12.4</w:t>
            </w:r>
            <w:bookmarkEnd w:id="83"/>
          </w:p>
          <w:p w14:paraId="3C590A92" w14:textId="40C77090" w:rsidR="009A0FCF" w:rsidRPr="00BE6424" w:rsidRDefault="009A0FCF" w:rsidP="001311B8">
            <w:pPr>
              <w:pStyle w:val="Tablehead"/>
              <w:keepNext w:val="0"/>
              <w:rPr>
                <w:rFonts w:asciiTheme="minorHAnsi" w:hAnsiTheme="minorHAnsi" w:cstheme="minorHAnsi"/>
                <w:b w:val="0"/>
                <w:lang w:val="es-ES_tradnl"/>
              </w:rPr>
            </w:pPr>
            <w:bookmarkStart w:id="84" w:name="lt_pId454"/>
            <w:r w:rsidRPr="00BE6424">
              <w:rPr>
                <w:sz w:val="22"/>
                <w:lang w:val="es-ES_tradnl"/>
              </w:rPr>
              <w:t xml:space="preserve">Aprobación del documento </w:t>
            </w:r>
            <w:hyperlink r:id="rId42" w:history="1">
              <w:r w:rsidRPr="001C5E82">
                <w:rPr>
                  <w:rStyle w:val="Hyperlink"/>
                  <w:sz w:val="22"/>
                  <w:lang w:val="es-ES_tradnl"/>
                </w:rPr>
                <w:t>509</w:t>
              </w:r>
              <w:bookmarkEnd w:id="84"/>
            </w:hyperlink>
          </w:p>
        </w:tc>
        <w:tc>
          <w:tcPr>
            <w:tcW w:w="10762" w:type="dxa"/>
            <w:gridSpan w:val="2"/>
          </w:tcPr>
          <w:p w14:paraId="3EF751CA" w14:textId="77777777" w:rsidR="009A0FCF" w:rsidRPr="00BE6424" w:rsidRDefault="009A0FCF" w:rsidP="003E0BC1">
            <w:pPr>
              <w:pStyle w:val="AnnexNoTitle"/>
              <w:keepNext w:val="0"/>
              <w:keepLines w:val="0"/>
              <w:spacing w:before="120" w:line="240" w:lineRule="auto"/>
              <w:rPr>
                <w:lang w:val="es-ES_tradnl"/>
              </w:rPr>
            </w:pPr>
            <w:bookmarkStart w:id="85" w:name="lt_pId455"/>
            <w:r w:rsidRPr="00BE6424">
              <w:rPr>
                <w:lang w:val="es-ES_tradnl"/>
              </w:rPr>
              <w:t>Instrucciones a la Oficina de Radiocomunicaciones al aplicar</w:t>
            </w:r>
            <w:r w:rsidRPr="00BE6424">
              <w:rPr>
                <w:lang w:val="es-ES_tradnl"/>
              </w:rPr>
              <w:br/>
              <w:t>la Resolución [A7(E)-AP30B] (CMR-19)</w:t>
            </w:r>
          </w:p>
          <w:p w14:paraId="3109888D" w14:textId="77777777" w:rsidR="009A0FCF" w:rsidRPr="00BE6424" w:rsidRDefault="009A0FCF" w:rsidP="003E0BC1">
            <w:pPr>
              <w:pStyle w:val="Heading1"/>
              <w:spacing w:before="120"/>
              <w:rPr>
                <w:lang w:val="es-ES_tradnl"/>
              </w:rPr>
            </w:pPr>
            <w:r w:rsidRPr="00BE6424">
              <w:rPr>
                <w:lang w:val="es-ES_tradnl"/>
              </w:rPr>
              <w:t>1</w:t>
            </w:r>
            <w:r w:rsidRPr="00BE6424">
              <w:rPr>
                <w:lang w:val="es-ES_tradnl"/>
              </w:rPr>
              <w:tab/>
              <w:t>Aplicación del § 2 del Adjunto a la Resolución [A7(E)-AP30B] (CMR</w:t>
            </w:r>
            <w:r w:rsidRPr="00BE6424">
              <w:rPr>
                <w:lang w:val="es-ES_tradnl"/>
              </w:rPr>
              <w:noBreakHyphen/>
              <w:t>19) para la modificación en el marco del § 6.1 del Apéndice 30B de una comunicación previamente enviada a la Oficina en virtud del § 6.1 del Apéndice 30B</w:t>
            </w:r>
          </w:p>
          <w:p w14:paraId="55C85EB7" w14:textId="26549279" w:rsidR="009A0FCF" w:rsidRDefault="009A0FCF" w:rsidP="003E0BC1">
            <w:pPr>
              <w:pStyle w:val="Tabletext"/>
              <w:tabs>
                <w:tab w:val="clear" w:pos="1134"/>
                <w:tab w:val="clear" w:pos="2268"/>
              </w:tabs>
              <w:rPr>
                <w:sz w:val="22"/>
                <w:lang w:val="es-ES_tradnl"/>
              </w:rPr>
            </w:pPr>
            <w:r w:rsidRPr="00BE6424">
              <w:rPr>
                <w:sz w:val="22"/>
                <w:lang w:val="es-ES_tradnl"/>
              </w:rPr>
              <w:t xml:space="preserve">Cuando, al aplicar el § 2 del Adjunto a la Resolución </w:t>
            </w:r>
            <w:r w:rsidRPr="00BE6424">
              <w:rPr>
                <w:b/>
                <w:bCs/>
                <w:sz w:val="22"/>
                <w:lang w:val="es-ES_tradnl"/>
              </w:rPr>
              <w:t>[A7(E)-AP30B] (CMR-19)</w:t>
            </w:r>
            <w:r w:rsidRPr="00BE6424">
              <w:rPr>
                <w:sz w:val="22"/>
                <w:lang w:val="es-ES_tradnl"/>
              </w:rPr>
              <w:t xml:space="preserve"> una administración pretenda modificar una comunicación previamente enviada a la Oficina en virtud del § 6.1 del Apéndice </w:t>
            </w:r>
            <w:r w:rsidRPr="00BE6424">
              <w:rPr>
                <w:b/>
                <w:bCs/>
                <w:sz w:val="22"/>
                <w:lang w:val="es-ES_tradnl"/>
              </w:rPr>
              <w:t>30B</w:t>
            </w:r>
            <w:r w:rsidRPr="00BE6424">
              <w:rPr>
                <w:sz w:val="22"/>
                <w:lang w:val="es-ES_tradnl"/>
              </w:rPr>
              <w:t xml:space="preserve"> del RR, para volver a presentar esta comunicación en virtud del § 6.1 del Apéndice </w:t>
            </w:r>
            <w:r w:rsidRPr="00BE6424">
              <w:rPr>
                <w:b/>
                <w:bCs/>
                <w:sz w:val="22"/>
                <w:lang w:val="es-ES_tradnl"/>
              </w:rPr>
              <w:t>30B</w:t>
            </w:r>
            <w:r w:rsidRPr="00BE6424">
              <w:rPr>
                <w:sz w:val="22"/>
                <w:lang w:val="es-ES_tradnl"/>
              </w:rPr>
              <w:t xml:space="preserve"> del RR mediante el procedimiento especial descrito en el Adjunto a la Resolución </w:t>
            </w:r>
            <w:r w:rsidRPr="00BE6424">
              <w:rPr>
                <w:b/>
                <w:bCs/>
                <w:sz w:val="22"/>
                <w:lang w:val="es-ES_tradnl"/>
              </w:rPr>
              <w:t>[A7(E)-AP30B] (CMR-19)</w:t>
            </w:r>
            <w:r w:rsidRPr="00BE6424">
              <w:rPr>
                <w:sz w:val="22"/>
                <w:lang w:val="es-ES_tradnl"/>
              </w:rPr>
              <w:t xml:space="preserve">, la Oficina comprobará si la elipse mínima presentada siguiendo este procedimiento se encuentra dentro de los márgenes de la comunicación inicial en virtud del § 6.1 del Apéndice </w:t>
            </w:r>
            <w:r w:rsidRPr="00BE6424">
              <w:rPr>
                <w:b/>
                <w:bCs/>
                <w:sz w:val="22"/>
                <w:lang w:val="es-ES_tradnl"/>
              </w:rPr>
              <w:t>30B</w:t>
            </w:r>
            <w:r w:rsidRPr="00BE6424">
              <w:rPr>
                <w:sz w:val="22"/>
                <w:lang w:val="es-ES_tradnl"/>
              </w:rPr>
              <w:t xml:space="preserve">. En dicho caso, la Oficina mantendrá la fecha de recepción inicial de la comunicación inicial con arreglo al § 6.1 del Apéndice </w:t>
            </w:r>
            <w:r w:rsidRPr="00BE6424">
              <w:rPr>
                <w:b/>
                <w:bCs/>
                <w:sz w:val="22"/>
                <w:lang w:val="es-ES_tradnl"/>
              </w:rPr>
              <w:t>30B,</w:t>
            </w:r>
            <w:r w:rsidRPr="00BE6424">
              <w:rPr>
                <w:sz w:val="22"/>
                <w:lang w:val="es-ES_tradnl"/>
              </w:rPr>
              <w:t xml:space="preserve"> volverá a iniciar el examen de compatibilidad con la notificación existente y publicará una nueva Sección Especial. En otro caso, la Oficina comunicará una nueva fecha de recepción que será la fecha de recepción de la solicitud de aplicación de este procedimiento.</w:t>
            </w:r>
          </w:p>
          <w:p w14:paraId="1583E2CF" w14:textId="7FA0D12C" w:rsidR="009E7741" w:rsidRDefault="009E7741" w:rsidP="003E0BC1">
            <w:pPr>
              <w:pStyle w:val="Tabletext"/>
              <w:tabs>
                <w:tab w:val="clear" w:pos="1134"/>
                <w:tab w:val="clear" w:pos="2268"/>
              </w:tabs>
              <w:rPr>
                <w:sz w:val="22"/>
                <w:lang w:val="es-ES_tradnl"/>
              </w:rPr>
            </w:pPr>
          </w:p>
          <w:p w14:paraId="57858B1B" w14:textId="77777777" w:rsidR="009E7741" w:rsidRPr="00BE6424" w:rsidRDefault="009E7741" w:rsidP="003E0BC1">
            <w:pPr>
              <w:pStyle w:val="Tabletext"/>
              <w:tabs>
                <w:tab w:val="clear" w:pos="1134"/>
                <w:tab w:val="clear" w:pos="2268"/>
              </w:tabs>
              <w:rPr>
                <w:sz w:val="22"/>
                <w:lang w:val="es-ES_tradnl"/>
              </w:rPr>
            </w:pPr>
          </w:p>
          <w:p w14:paraId="02E675FD" w14:textId="77777777" w:rsidR="009A0FCF" w:rsidRPr="00BE6424" w:rsidRDefault="009A0FCF" w:rsidP="00C51AB2">
            <w:pPr>
              <w:pStyle w:val="Heading1"/>
              <w:spacing w:before="120"/>
              <w:rPr>
                <w:lang w:val="es-ES_tradnl"/>
              </w:rPr>
            </w:pPr>
            <w:r w:rsidRPr="00BE6424">
              <w:rPr>
                <w:lang w:val="es-ES_tradnl"/>
              </w:rPr>
              <w:t>2</w:t>
            </w:r>
            <w:r w:rsidRPr="00BE6424">
              <w:rPr>
                <w:lang w:val="es-ES_tradnl"/>
              </w:rPr>
              <w:tab/>
              <w:t>Aplicación del § 2 del Adjunto a la Resolución [A7(E)-AP30B] (CMR</w:t>
            </w:r>
            <w:r w:rsidRPr="00BE6424">
              <w:rPr>
                <w:lang w:val="es-ES_tradnl"/>
              </w:rPr>
              <w:noBreakHyphen/>
              <w:t>19) para la notificación directa con arreglo al § 6.17 del Apéndice 30B de una comunicación previamente enviada a la Oficina en virtud del § 6.1 del Apéndice 30B</w:t>
            </w:r>
          </w:p>
          <w:p w14:paraId="5E4926C7" w14:textId="77777777" w:rsidR="009A0FCF" w:rsidRPr="00BE6424" w:rsidRDefault="009A0FCF" w:rsidP="0037090A">
            <w:pPr>
              <w:pStyle w:val="Tabletext"/>
              <w:tabs>
                <w:tab w:val="clear" w:pos="284"/>
                <w:tab w:val="left" w:pos="495"/>
              </w:tabs>
              <w:spacing w:before="80"/>
              <w:ind w:left="408" w:hanging="408"/>
              <w:rPr>
                <w:sz w:val="22"/>
                <w:lang w:val="es-ES_tradnl"/>
              </w:rPr>
            </w:pPr>
            <w:r w:rsidRPr="00BE6424">
              <w:rPr>
                <w:sz w:val="22"/>
                <w:lang w:val="es-ES_tradnl"/>
              </w:rPr>
              <w:t>a)</w:t>
            </w:r>
            <w:r w:rsidRPr="00BE6424">
              <w:rPr>
                <w:sz w:val="22"/>
                <w:lang w:val="es-ES_tradnl"/>
              </w:rPr>
              <w:tab/>
              <w:t>Presentación de una elipse conforme al § 6.17 del Apéndice 30B</w:t>
            </w:r>
          </w:p>
          <w:p w14:paraId="37617F28" w14:textId="08B8EC33" w:rsidR="009A0FCF" w:rsidRPr="00BE6424" w:rsidRDefault="009A0FCF" w:rsidP="003E0BC1">
            <w:pPr>
              <w:pStyle w:val="Tabletext"/>
              <w:tabs>
                <w:tab w:val="clear" w:pos="284"/>
                <w:tab w:val="left" w:pos="495"/>
              </w:tabs>
              <w:spacing w:before="80"/>
              <w:ind w:left="408" w:hanging="408"/>
              <w:rPr>
                <w:sz w:val="22"/>
                <w:lang w:val="es-ES_tradnl"/>
              </w:rPr>
            </w:pPr>
            <w:r w:rsidRPr="00BE6424">
              <w:rPr>
                <w:sz w:val="22"/>
                <w:lang w:val="es-ES_tradnl"/>
              </w:rPr>
              <w:tab/>
              <w:t xml:space="preserve">Cuando, al aplicar el § 2 del Adjunto a la Resolución </w:t>
            </w:r>
            <w:r w:rsidRPr="00154EE3">
              <w:rPr>
                <w:b/>
                <w:bCs/>
                <w:sz w:val="22"/>
                <w:lang w:val="es-ES_tradnl"/>
              </w:rPr>
              <w:t>[A7(E)-AP30B] (CMR-19)</w:t>
            </w:r>
            <w:r w:rsidRPr="00BE6424">
              <w:rPr>
                <w:sz w:val="22"/>
                <w:lang w:val="es-ES_tradnl"/>
              </w:rPr>
              <w:t xml:space="preserve"> una administración pretenda una notificación directa en virtud del § 6.17 del Apéndice </w:t>
            </w:r>
            <w:r w:rsidRPr="00154EE3">
              <w:rPr>
                <w:b/>
                <w:bCs/>
                <w:sz w:val="22"/>
                <w:lang w:val="es-ES_tradnl"/>
              </w:rPr>
              <w:t>30B</w:t>
            </w:r>
            <w:r w:rsidRPr="00BE6424">
              <w:rPr>
                <w:sz w:val="22"/>
                <w:lang w:val="es-ES_tradnl"/>
              </w:rPr>
              <w:t xml:space="preserve"> del RR aplicando el procedimiento especial descrito en el Adjunto a la Resolución </w:t>
            </w:r>
            <w:r w:rsidRPr="00154EE3">
              <w:rPr>
                <w:b/>
                <w:bCs/>
                <w:sz w:val="22"/>
                <w:lang w:val="es-ES_tradnl"/>
              </w:rPr>
              <w:t>[A7(E)-AP30B] (CMR-19)</w:t>
            </w:r>
            <w:r w:rsidRPr="00BE6424">
              <w:rPr>
                <w:sz w:val="22"/>
                <w:lang w:val="es-ES_tradnl"/>
              </w:rPr>
              <w:t xml:space="preserve"> a una comunicación previamente enviada a la Oficina en virtud del § 6.1 del Apéndice </w:t>
            </w:r>
            <w:r w:rsidRPr="00154EE3">
              <w:rPr>
                <w:b/>
                <w:bCs/>
                <w:sz w:val="22"/>
                <w:lang w:val="es-ES_tradnl"/>
              </w:rPr>
              <w:t>30B</w:t>
            </w:r>
            <w:r w:rsidRPr="00BE6424">
              <w:rPr>
                <w:sz w:val="22"/>
                <w:lang w:val="es-ES_tradnl"/>
              </w:rPr>
              <w:t xml:space="preserve">, la Oficina comprobará si la elipse mínima presentada siguiendo este procedimiento se encuentra dentro de los márgenes de la comunicación inicial con arreglo al § 6.1 del Apéndice </w:t>
            </w:r>
            <w:r w:rsidRPr="00154EE3">
              <w:rPr>
                <w:b/>
                <w:bCs/>
                <w:sz w:val="22"/>
                <w:lang w:val="es-ES_tradnl"/>
              </w:rPr>
              <w:t>30B</w:t>
            </w:r>
            <w:r w:rsidRPr="00BE6424">
              <w:rPr>
                <w:sz w:val="22"/>
                <w:lang w:val="es-ES_tradnl"/>
              </w:rPr>
              <w:t>. En dicho caso, la Oficina mantendrá la fecha de recepción inicial de la comunicación inicial en virtud del § 6.1 del Apéndice </w:t>
            </w:r>
            <w:r w:rsidRPr="00154EE3">
              <w:rPr>
                <w:b/>
                <w:bCs/>
                <w:sz w:val="22"/>
                <w:lang w:val="es-ES_tradnl"/>
              </w:rPr>
              <w:t>30B</w:t>
            </w:r>
            <w:r w:rsidRPr="00BE6424">
              <w:rPr>
                <w:sz w:val="22"/>
                <w:lang w:val="es-ES_tradnl"/>
              </w:rPr>
              <w:t xml:space="preserve"> y llevará a cabo el examen con arreglo al § 6.17 del Apéndice </w:t>
            </w:r>
            <w:r w:rsidRPr="00154EE3">
              <w:rPr>
                <w:b/>
                <w:bCs/>
                <w:sz w:val="22"/>
                <w:lang w:val="es-ES_tradnl"/>
              </w:rPr>
              <w:t>30B</w:t>
            </w:r>
            <w:r w:rsidRPr="00BE6424">
              <w:rPr>
                <w:sz w:val="22"/>
                <w:lang w:val="es-ES_tradnl"/>
              </w:rPr>
              <w:t xml:space="preserve"> basándose en esta elipse mínima. En otro caso, la Oficina devolverá la notificación a la administración.</w:t>
            </w:r>
          </w:p>
          <w:p w14:paraId="71C6BA8A" w14:textId="77777777" w:rsidR="009A0FCF" w:rsidRPr="00BE6424" w:rsidRDefault="009A0FCF" w:rsidP="003E0BC1">
            <w:pPr>
              <w:pStyle w:val="Tabletext"/>
              <w:tabs>
                <w:tab w:val="clear" w:pos="284"/>
                <w:tab w:val="left" w:pos="495"/>
              </w:tabs>
              <w:spacing w:before="80"/>
              <w:ind w:left="408" w:hanging="408"/>
              <w:rPr>
                <w:sz w:val="22"/>
                <w:lang w:val="es-ES_tradnl"/>
              </w:rPr>
            </w:pPr>
            <w:r w:rsidRPr="00BE6424">
              <w:rPr>
                <w:sz w:val="22"/>
                <w:lang w:val="es-ES_tradnl"/>
              </w:rPr>
              <w:t>b)</w:t>
            </w:r>
            <w:r w:rsidRPr="00BE6424">
              <w:rPr>
                <w:sz w:val="22"/>
                <w:lang w:val="es-ES_tradnl"/>
              </w:rPr>
              <w:tab/>
              <w:t>Presentación de un haz conformado en virtud del § 6.17 del Apéndice 30B</w:t>
            </w:r>
          </w:p>
          <w:p w14:paraId="6FEF2848" w14:textId="77777777" w:rsidR="009A0FCF" w:rsidRPr="00BE6424" w:rsidRDefault="009A0FCF" w:rsidP="003E0BC1">
            <w:pPr>
              <w:pStyle w:val="Tabletext"/>
              <w:tabs>
                <w:tab w:val="clear" w:pos="284"/>
                <w:tab w:val="left" w:pos="495"/>
              </w:tabs>
              <w:spacing w:before="80"/>
              <w:ind w:left="408" w:hanging="408"/>
              <w:rPr>
                <w:sz w:val="22"/>
                <w:lang w:val="es-ES_tradnl"/>
              </w:rPr>
            </w:pPr>
            <w:r w:rsidRPr="00BE6424">
              <w:rPr>
                <w:sz w:val="22"/>
                <w:lang w:val="es-ES_tradnl"/>
              </w:rPr>
              <w:tab/>
              <w:t xml:space="preserve">Cuando, al aplicar el § 2 del Adjunto a la Resolución </w:t>
            </w:r>
            <w:r w:rsidRPr="00BE6424">
              <w:rPr>
                <w:b/>
                <w:bCs/>
                <w:sz w:val="22"/>
                <w:lang w:val="es-ES_tradnl"/>
              </w:rPr>
              <w:t>[A7(E)-AP30B] (CMR</w:t>
            </w:r>
            <w:r w:rsidRPr="00BE6424">
              <w:rPr>
                <w:b/>
                <w:bCs/>
                <w:sz w:val="22"/>
                <w:lang w:val="es-ES_tradnl"/>
              </w:rPr>
              <w:noBreakHyphen/>
              <w:t>19)</w:t>
            </w:r>
            <w:r w:rsidRPr="00BE6424">
              <w:rPr>
                <w:sz w:val="22"/>
                <w:lang w:val="es-ES_tradnl"/>
              </w:rPr>
              <w:t xml:space="preserve"> una administración pretenda una notificación directa en virtud del § 6.17 del Apéndice </w:t>
            </w:r>
            <w:r w:rsidRPr="00BE6424">
              <w:rPr>
                <w:b/>
                <w:bCs/>
                <w:sz w:val="22"/>
                <w:lang w:val="es-ES_tradnl"/>
              </w:rPr>
              <w:t>30B</w:t>
            </w:r>
            <w:r w:rsidRPr="00BE6424">
              <w:rPr>
                <w:sz w:val="22"/>
                <w:lang w:val="es-ES_tradnl"/>
              </w:rPr>
              <w:t xml:space="preserve"> del RR aplicando el procedimiento especial descrito en el Adjunto a la Resolución </w:t>
            </w:r>
            <w:r w:rsidRPr="00BE6424">
              <w:rPr>
                <w:b/>
                <w:bCs/>
                <w:sz w:val="22"/>
                <w:lang w:val="es-ES_tradnl"/>
              </w:rPr>
              <w:t>[A7(E)-AP30B] (CMR-19)</w:t>
            </w:r>
            <w:r w:rsidRPr="00BE6424">
              <w:rPr>
                <w:sz w:val="22"/>
                <w:lang w:val="es-ES_tradnl"/>
              </w:rPr>
              <w:t xml:space="preserve"> a una comunicación previamente enviada a la Oficina en virtud del § 6.1 del Apéndice </w:t>
            </w:r>
            <w:r w:rsidRPr="00BE6424">
              <w:rPr>
                <w:b/>
                <w:bCs/>
                <w:sz w:val="22"/>
                <w:lang w:val="es-ES_tradnl"/>
              </w:rPr>
              <w:t>30B</w:t>
            </w:r>
            <w:r w:rsidRPr="00BE6424">
              <w:rPr>
                <w:sz w:val="22"/>
                <w:lang w:val="es-ES_tradnl"/>
              </w:rPr>
              <w:t xml:space="preserve">, la Oficina comprobará si el haz conformado presentado siguiendo este procedimiento se encuentra dentro de los márgenes de la elipse mínima generada por la Oficina, teniendo en cuenta los puntos de prueba correspondientes, y dentro de los márgenes de la comunicación inicial con arreglo al § 6.1 del Apéndice </w:t>
            </w:r>
            <w:r w:rsidRPr="00BE6424">
              <w:rPr>
                <w:b/>
                <w:bCs/>
                <w:sz w:val="22"/>
                <w:lang w:val="es-ES_tradnl"/>
              </w:rPr>
              <w:t>30B</w:t>
            </w:r>
            <w:r w:rsidRPr="00BE6424">
              <w:rPr>
                <w:sz w:val="22"/>
                <w:lang w:val="es-ES_tradnl"/>
              </w:rPr>
              <w:t>. En dicho caso, la Oficina mantendrá la fecha de recepción inicial de la comunicación inicial en virtud del § 6.1 del Apéndice </w:t>
            </w:r>
            <w:r w:rsidRPr="00BE6424">
              <w:rPr>
                <w:b/>
                <w:bCs/>
                <w:sz w:val="22"/>
                <w:lang w:val="es-ES_tradnl"/>
              </w:rPr>
              <w:t>30B</w:t>
            </w:r>
            <w:r w:rsidRPr="00BE6424">
              <w:rPr>
                <w:sz w:val="22"/>
                <w:lang w:val="es-ES_tradnl"/>
              </w:rPr>
              <w:t xml:space="preserve"> y llevará a cabo el examen con arreglo al § 6.17 del Apéndice </w:t>
            </w:r>
            <w:r w:rsidRPr="00BE6424">
              <w:rPr>
                <w:b/>
                <w:bCs/>
                <w:sz w:val="22"/>
                <w:lang w:val="es-ES_tradnl"/>
              </w:rPr>
              <w:t>30B</w:t>
            </w:r>
            <w:r w:rsidRPr="00BE6424">
              <w:rPr>
                <w:sz w:val="22"/>
                <w:lang w:val="es-ES_tradnl"/>
              </w:rPr>
              <w:t xml:space="preserve"> basándose en esta elipse mínima. En otro caso, la Oficina devolverá la notificación a la administración.</w:t>
            </w:r>
          </w:p>
          <w:p w14:paraId="44E93E94" w14:textId="77777777" w:rsidR="009A0FCF" w:rsidRPr="00BE6424" w:rsidRDefault="009A0FCF" w:rsidP="00C51AB2">
            <w:pPr>
              <w:pStyle w:val="Heading1"/>
              <w:keepNext w:val="0"/>
              <w:keepLines w:val="0"/>
              <w:spacing w:before="120" w:line="240" w:lineRule="auto"/>
              <w:rPr>
                <w:lang w:val="es-ES_tradnl"/>
              </w:rPr>
            </w:pPr>
            <w:r w:rsidRPr="00BE6424">
              <w:rPr>
                <w:lang w:val="es-ES_tradnl"/>
              </w:rPr>
              <w:t>3</w:t>
            </w:r>
            <w:r w:rsidRPr="00BE6424">
              <w:rPr>
                <w:lang w:val="es-ES_tradnl"/>
              </w:rPr>
              <w:tab/>
              <w:t>Haz creado cuando una administración que actúa en nombre de un grupo de administraciones designadas presenta un sistema adicional</w:t>
            </w:r>
          </w:p>
          <w:p w14:paraId="43128750" w14:textId="77777777" w:rsidR="009A0FCF" w:rsidRPr="00BE6424" w:rsidRDefault="009A0FCF" w:rsidP="0037090A">
            <w:pPr>
              <w:pStyle w:val="Tabletext"/>
              <w:tabs>
                <w:tab w:val="clear" w:pos="1134"/>
                <w:tab w:val="clear" w:pos="2268"/>
              </w:tabs>
              <w:rPr>
                <w:sz w:val="22"/>
                <w:lang w:val="es-ES_tradnl"/>
              </w:rPr>
            </w:pPr>
            <w:r w:rsidRPr="00BE6424">
              <w:rPr>
                <w:sz w:val="22"/>
                <w:lang w:val="es-ES_tradnl"/>
              </w:rPr>
              <w:t>En el caso de la presentación de un sistema adicional por una administración que actúa en nombre de un grupo de administraciones designadas, el haz de la presentación está formado por la combinación de todas las elipses mínimas individuales asociadas a cada una de las administraciones del grupo:</w:t>
            </w:r>
          </w:p>
          <w:p w14:paraId="38DDCFD8" w14:textId="77777777" w:rsidR="009A0FCF" w:rsidRPr="00BE6424" w:rsidRDefault="009A0FCF" w:rsidP="003E0BC1">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Si todas las elipses mínimas individuales se superponen entre sí, el haz sólo contiene la zona de cobertura formada por el contorno de la combinación de todas las elipses mínimas individuales.</w:t>
            </w:r>
          </w:p>
          <w:p w14:paraId="307B6BC2" w14:textId="77777777" w:rsidR="009A0FCF" w:rsidRPr="00BE6424" w:rsidRDefault="009A0FCF" w:rsidP="003E0BC1">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Si no todas las elipses mínimas individuales se superponen entre sí, el haz consta de múltiples haces puntuales derivados de las elipses que no se superponen y cada haz puntual está formado por el contorno formado por la combinación de las elipses mínimas individuales que se superponen entre sí.</w:t>
            </w:r>
          </w:p>
          <w:p w14:paraId="09E1C699" w14:textId="77777777" w:rsidR="009A0FCF" w:rsidRPr="00BE6424" w:rsidRDefault="009A0FCF" w:rsidP="00C51AB2">
            <w:pPr>
              <w:pStyle w:val="Heading1"/>
              <w:keepNext w:val="0"/>
              <w:keepLines w:val="0"/>
              <w:spacing w:before="120" w:line="240" w:lineRule="auto"/>
              <w:rPr>
                <w:lang w:val="es-ES_tradnl"/>
              </w:rPr>
            </w:pPr>
            <w:r w:rsidRPr="00BE6424">
              <w:rPr>
                <w:lang w:val="es-ES_tradnl"/>
              </w:rPr>
              <w:t>4</w:t>
            </w:r>
            <w:r w:rsidRPr="00BE6424">
              <w:rPr>
                <w:lang w:val="es-ES_tradnl"/>
              </w:rPr>
              <w:tab/>
              <w:t>Aplicación del § 12 del Adjunto a la Resolución [A7(E)-AP30B] (CMR</w:t>
            </w:r>
            <w:r w:rsidRPr="00BE6424">
              <w:rPr>
                <w:lang w:val="es-ES_tradnl"/>
              </w:rPr>
              <w:noBreakHyphen/>
              <w:t>19) cuando no existe colaboración por parte de la administración notificante de la red existente</w:t>
            </w:r>
          </w:p>
          <w:p w14:paraId="358C9C3F" w14:textId="77777777" w:rsidR="009A0FCF" w:rsidRPr="00BE6424" w:rsidRDefault="009A0FCF" w:rsidP="0037090A">
            <w:pPr>
              <w:pStyle w:val="Tabletext"/>
              <w:tabs>
                <w:tab w:val="clear" w:pos="1134"/>
                <w:tab w:val="clear" w:pos="2268"/>
              </w:tabs>
              <w:rPr>
                <w:sz w:val="22"/>
                <w:lang w:val="es-ES_tradnl"/>
              </w:rPr>
            </w:pPr>
            <w:r w:rsidRPr="00BE6424">
              <w:rPr>
                <w:sz w:val="22"/>
                <w:lang w:val="es-ES_tradnl"/>
              </w:rPr>
              <w:t xml:space="preserve">Cuando, en aplicación del § 12 del Adjunto a la Resolución </w:t>
            </w:r>
            <w:r w:rsidRPr="00154EE3">
              <w:rPr>
                <w:b/>
                <w:bCs/>
                <w:sz w:val="22"/>
                <w:lang w:val="es-ES_tradnl"/>
              </w:rPr>
              <w:t>[A7(E)-AP30B] (CMR</w:t>
            </w:r>
            <w:r w:rsidRPr="00154EE3">
              <w:rPr>
                <w:b/>
                <w:bCs/>
                <w:sz w:val="22"/>
                <w:lang w:val="es-ES_tradnl"/>
              </w:rPr>
              <w:noBreakHyphen/>
              <w:t>19)</w:t>
            </w:r>
            <w:r w:rsidRPr="00BE6424">
              <w:rPr>
                <w:sz w:val="22"/>
                <w:lang w:val="es-ES_tradnl"/>
              </w:rPr>
              <w:t xml:space="preserve">, la Oficina no reciba la confirmación por parte de la administración notificante de la red entrante de que la colaboración entre las dos administraciones se ha iniciado adecuadamente, la administración notificante podrá solicitar la ayuda de la Oficina. La Oficina enviará inmediatamente un telefax a la administración notificante de la red existente solicitándole la entrega, en un plazo de 30 días, de las condiciones para que los responsables de la operación verifiquen la interferencia perjudicial y la propuesta de fecha de aplicación de esas condiciones, en un plazo máximo de cuatro meses, para la aplicación del § 12 de la Resolución </w:t>
            </w:r>
            <w:r w:rsidRPr="00BE6424">
              <w:rPr>
                <w:b/>
                <w:bCs/>
                <w:sz w:val="22"/>
                <w:lang w:val="es-ES_tradnl"/>
              </w:rPr>
              <w:t>[A7(E)-AP30B]</w:t>
            </w:r>
            <w:r w:rsidRPr="00BE6424">
              <w:rPr>
                <w:sz w:val="22"/>
                <w:lang w:val="es-ES_tradnl"/>
              </w:rPr>
              <w:t>. En caso de no recibir dicha información, la Oficina enviará inmediatamente un recordatorio concediendo 15 días adicionales para la respuesta. De no recibirse el acuse de recibo en esos 15 días, se considerará que la administración notificante de la red existente, que no ha iniciado la colaboración, entiende que no se formulará queja alguna con respecto a las interferencias perjudiciales que afecten a sus propias asignaciones y que pudieran ser causadas por la asignación de la administración notificante de la red entrante para la que solicitó la coordinación.</w:t>
            </w:r>
            <w:bookmarkEnd w:id="85"/>
          </w:p>
        </w:tc>
      </w:tr>
      <w:tr w:rsidR="009A0FCF" w:rsidRPr="00BE6424" w14:paraId="1AE73F0E" w14:textId="77777777" w:rsidTr="005321E9">
        <w:trPr>
          <w:trHeight w:val="1139"/>
        </w:trPr>
        <w:tc>
          <w:tcPr>
            <w:tcW w:w="1669" w:type="dxa"/>
            <w:vMerge/>
          </w:tcPr>
          <w:p w14:paraId="7E68BF68"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1383E2A8" w14:textId="77777777" w:rsidR="009A0FCF" w:rsidRPr="00BE6424" w:rsidRDefault="009A0FCF" w:rsidP="001311B8">
            <w:pPr>
              <w:pStyle w:val="Tablehead"/>
              <w:keepNext w:val="0"/>
              <w:rPr>
                <w:sz w:val="22"/>
                <w:lang w:val="es-ES_tradnl"/>
              </w:rPr>
            </w:pPr>
            <w:bookmarkStart w:id="86" w:name="lt_pId487"/>
            <w:r w:rsidRPr="00BE6424">
              <w:rPr>
                <w:sz w:val="22"/>
                <w:lang w:val="es-ES_tradnl"/>
              </w:rPr>
              <w:t>§§ 13.7 a 13.9</w:t>
            </w:r>
            <w:bookmarkEnd w:id="86"/>
          </w:p>
          <w:p w14:paraId="459B13D5" w14:textId="04D90A6B" w:rsidR="009A0FCF" w:rsidRPr="00BE6424" w:rsidRDefault="009A0FCF" w:rsidP="001311B8">
            <w:pPr>
              <w:pStyle w:val="Tablehead"/>
              <w:keepNext w:val="0"/>
              <w:rPr>
                <w:sz w:val="22"/>
                <w:lang w:val="es-ES_tradnl"/>
              </w:rPr>
            </w:pPr>
            <w:bookmarkStart w:id="87" w:name="lt_pId488"/>
            <w:r w:rsidRPr="00BE6424">
              <w:rPr>
                <w:sz w:val="22"/>
                <w:lang w:val="es-ES_tradnl"/>
              </w:rPr>
              <w:t xml:space="preserve">Aprobación del documento </w:t>
            </w:r>
            <w:hyperlink r:id="rId43" w:history="1">
              <w:r w:rsidRPr="001C5E82">
                <w:rPr>
                  <w:rStyle w:val="Hyperlink"/>
                  <w:sz w:val="22"/>
                  <w:lang w:val="es-ES_tradnl"/>
                </w:rPr>
                <w:t>510</w:t>
              </w:r>
              <w:bookmarkEnd w:id="87"/>
            </w:hyperlink>
          </w:p>
        </w:tc>
        <w:tc>
          <w:tcPr>
            <w:tcW w:w="10762" w:type="dxa"/>
            <w:gridSpan w:val="2"/>
          </w:tcPr>
          <w:p w14:paraId="6954B32F" w14:textId="77777777" w:rsidR="009A0FCF" w:rsidRPr="00BE6424" w:rsidRDefault="009A0FCF" w:rsidP="0037090A">
            <w:pPr>
              <w:pStyle w:val="Heading1"/>
              <w:keepNext w:val="0"/>
              <w:keepLines w:val="0"/>
              <w:spacing w:before="240" w:line="240" w:lineRule="auto"/>
              <w:jc w:val="center"/>
              <w:rPr>
                <w:lang w:val="es-ES_tradnl"/>
              </w:rPr>
            </w:pPr>
            <w:bookmarkStart w:id="88" w:name="lt_pId489"/>
            <w:r w:rsidRPr="00BE6424">
              <w:rPr>
                <w:lang w:val="es-ES_tradnl"/>
              </w:rPr>
              <w:t>Instrucciones a la Oficina de Radiocomunicaciones en aplicación del Anexo 3 y el Anexo 4 del</w:t>
            </w:r>
            <w:r w:rsidR="00B062FE" w:rsidRPr="00BE6424">
              <w:rPr>
                <w:lang w:val="es-ES_tradnl"/>
              </w:rPr>
              <w:t> </w:t>
            </w:r>
            <w:r w:rsidRPr="00BE6424">
              <w:rPr>
                <w:lang w:val="es-ES_tradnl"/>
              </w:rPr>
              <w:t>Apéndice</w:t>
            </w:r>
            <w:r w:rsidR="00B062FE" w:rsidRPr="00BE6424">
              <w:rPr>
                <w:lang w:val="es-ES_tradnl"/>
              </w:rPr>
              <w:t> </w:t>
            </w:r>
            <w:r w:rsidRPr="00BE6424">
              <w:rPr>
                <w:lang w:val="es-ES_tradnl"/>
              </w:rPr>
              <w:t>30B del RR, así como de los criterios a los que se hace referencia en la Resolución</w:t>
            </w:r>
            <w:r w:rsidR="00B062FE" w:rsidRPr="00BE6424">
              <w:rPr>
                <w:lang w:val="es-ES_tradnl"/>
              </w:rPr>
              <w:t> </w:t>
            </w:r>
            <w:r w:rsidRPr="00BE6424">
              <w:rPr>
                <w:lang w:val="es-ES_tradnl"/>
              </w:rPr>
              <w:t>[A7(E)</w:t>
            </w:r>
            <w:r w:rsidR="00B062FE" w:rsidRPr="00BE6424">
              <w:rPr>
                <w:lang w:val="es-ES_tradnl"/>
              </w:rPr>
              <w:noBreakHyphen/>
            </w:r>
            <w:r w:rsidRPr="00BE6424">
              <w:rPr>
                <w:lang w:val="es-ES_tradnl"/>
              </w:rPr>
              <w:t>AP30B] (CMR</w:t>
            </w:r>
            <w:r w:rsidR="00B062FE" w:rsidRPr="00BE6424">
              <w:rPr>
                <w:lang w:val="es-ES_tradnl"/>
              </w:rPr>
              <w:noBreakHyphen/>
            </w:r>
            <w:r w:rsidRPr="00BE6424">
              <w:rPr>
                <w:lang w:val="es-ES_tradnl"/>
              </w:rPr>
              <w:t>19) en su tramitación, después del 22 de noviembre de 2019, de las</w:t>
            </w:r>
            <w:r w:rsidR="00B062FE" w:rsidRPr="00BE6424">
              <w:rPr>
                <w:lang w:val="es-ES_tradnl"/>
              </w:rPr>
              <w:t> </w:t>
            </w:r>
            <w:r w:rsidRPr="00BE6424">
              <w:rPr>
                <w:lang w:val="es-ES_tradnl"/>
              </w:rPr>
              <w:t>notificaciones recibidas en virtud de dicho Apéndice</w:t>
            </w:r>
          </w:p>
          <w:p w14:paraId="716B05FC" w14:textId="58D9F182" w:rsidR="009A0FCF" w:rsidRDefault="009A0FCF" w:rsidP="0037090A">
            <w:pPr>
              <w:pStyle w:val="Tabletext"/>
              <w:tabs>
                <w:tab w:val="clear" w:pos="1134"/>
                <w:tab w:val="clear" w:pos="2268"/>
              </w:tabs>
              <w:rPr>
                <w:sz w:val="22"/>
                <w:lang w:val="es-ES_tradnl"/>
              </w:rPr>
            </w:pPr>
            <w:r w:rsidRPr="00BE6424">
              <w:rPr>
                <w:sz w:val="22"/>
                <w:lang w:val="es-ES_tradnl"/>
              </w:rPr>
              <w:t xml:space="preserve">La Oficina de Radiocomunicaciones seguirá calculando y actualizando valores procedentes de una sola fuente ya aceptados, tanto del enlace ascendente como del enlace descendente, para todas las redes de satélites del Apéndice </w:t>
            </w:r>
            <w:r w:rsidRPr="00BE6424">
              <w:rPr>
                <w:b/>
                <w:bCs/>
                <w:sz w:val="22"/>
                <w:lang w:val="es-ES_tradnl"/>
              </w:rPr>
              <w:t>30B</w:t>
            </w:r>
            <w:r w:rsidRPr="00BE6424">
              <w:rPr>
                <w:sz w:val="22"/>
                <w:lang w:val="es-ES_tradnl"/>
              </w:rPr>
              <w:t xml:space="preserve"> del RR de acuerdo con lo dispuesto en las notas X2 y X3 al punto 2.1 del Anexo 4 del Apéndice </w:t>
            </w:r>
            <w:r w:rsidRPr="00BE6424">
              <w:rPr>
                <w:b/>
                <w:bCs/>
                <w:sz w:val="22"/>
                <w:lang w:val="es-ES_tradnl"/>
              </w:rPr>
              <w:t>30B</w:t>
            </w:r>
            <w:r w:rsidRPr="00BE6424">
              <w:rPr>
                <w:sz w:val="22"/>
                <w:lang w:val="es-ES_tradnl"/>
              </w:rPr>
              <w:t xml:space="preserve"> </w:t>
            </w:r>
            <w:r w:rsidRPr="00BE6424">
              <w:rPr>
                <w:b/>
                <w:bCs/>
                <w:sz w:val="22"/>
                <w:lang w:val="es-ES_tradnl"/>
              </w:rPr>
              <w:t>(Rev.CMR-19)</w:t>
            </w:r>
            <w:r w:rsidRPr="00BE6424">
              <w:rPr>
                <w:sz w:val="22"/>
                <w:lang w:val="es-ES_tradnl"/>
              </w:rPr>
              <w:t xml:space="preserve"> del RR, de manera que dicha información pueda ser utilizada por las administraciones durante la coordinación de sus redes respectivas. La Oficina de Radiocomunicaciones aplicará:</w:t>
            </w:r>
          </w:p>
          <w:p w14:paraId="3C12FFED" w14:textId="3FF0F446" w:rsidR="00154EE3" w:rsidRDefault="00154EE3" w:rsidP="0037090A">
            <w:pPr>
              <w:pStyle w:val="Tabletext"/>
              <w:tabs>
                <w:tab w:val="clear" w:pos="1134"/>
                <w:tab w:val="clear" w:pos="2268"/>
              </w:tabs>
              <w:rPr>
                <w:sz w:val="22"/>
                <w:lang w:val="es-ES_tradnl"/>
              </w:rPr>
            </w:pPr>
          </w:p>
          <w:p w14:paraId="19D7FEB8" w14:textId="77777777" w:rsidR="00154EE3" w:rsidRPr="00BE6424" w:rsidRDefault="00154EE3" w:rsidP="0037090A">
            <w:pPr>
              <w:pStyle w:val="Tabletext"/>
              <w:tabs>
                <w:tab w:val="clear" w:pos="1134"/>
                <w:tab w:val="clear" w:pos="2268"/>
              </w:tabs>
              <w:rPr>
                <w:sz w:val="22"/>
                <w:lang w:val="es-ES_tradnl"/>
              </w:rPr>
            </w:pPr>
          </w:p>
          <w:p w14:paraId="31D194AD" w14:textId="76190888" w:rsidR="009A0FCF" w:rsidRPr="00BE6424" w:rsidRDefault="009A0FCF" w:rsidP="00C51AB2">
            <w:pPr>
              <w:pStyle w:val="Tabletext"/>
              <w:tabs>
                <w:tab w:val="clear" w:pos="284"/>
                <w:tab w:val="clear" w:pos="567"/>
                <w:tab w:val="clear" w:pos="1134"/>
              </w:tabs>
              <w:ind w:left="851" w:hanging="851"/>
              <w:rPr>
                <w:sz w:val="22"/>
                <w:lang w:val="es-ES_tradnl"/>
              </w:rPr>
            </w:pPr>
            <w:r w:rsidRPr="00BE6424">
              <w:rPr>
                <w:sz w:val="22"/>
                <w:lang w:val="es-ES_tradnl"/>
              </w:rPr>
              <w:t>1</w:t>
            </w:r>
            <w:r w:rsidRPr="00BE6424">
              <w:rPr>
                <w:sz w:val="22"/>
                <w:lang w:val="es-ES_tradnl"/>
              </w:rPr>
              <w:tab/>
              <w:t xml:space="preserve">Para las notificaciones completas con arreglo al § 6.1 </w:t>
            </w:r>
            <w:bookmarkStart w:id="89" w:name="_Hlk24908567"/>
            <w:r w:rsidRPr="00BE6424">
              <w:rPr>
                <w:sz w:val="22"/>
                <w:lang w:val="es-ES_tradnl"/>
              </w:rPr>
              <w:t>recibidas por la Oficina antes del 23 de noviembre de</w:t>
            </w:r>
            <w:r w:rsidR="00C51AB2" w:rsidRPr="00BE6424">
              <w:rPr>
                <w:sz w:val="22"/>
                <w:lang w:val="es-ES_tradnl"/>
              </w:rPr>
              <w:t> </w:t>
            </w:r>
            <w:r w:rsidRPr="00BE6424">
              <w:rPr>
                <w:sz w:val="22"/>
                <w:lang w:val="es-ES_tradnl"/>
              </w:rPr>
              <w:t>2019</w:t>
            </w:r>
            <w:bookmarkEnd w:id="89"/>
            <w:r w:rsidRPr="00BE6424">
              <w:rPr>
                <w:sz w:val="22"/>
                <w:lang w:val="es-ES_tradnl"/>
              </w:rPr>
              <w:t>:</w:t>
            </w:r>
          </w:p>
          <w:p w14:paraId="50417BB3" w14:textId="77777777" w:rsidR="009A0FCF" w:rsidRPr="00BE6424" w:rsidRDefault="009A0FCF" w:rsidP="00C51AB2">
            <w:pPr>
              <w:pStyle w:val="enumlev2"/>
              <w:keepNext/>
              <w:tabs>
                <w:tab w:val="clear" w:pos="794"/>
                <w:tab w:val="left" w:pos="870"/>
              </w:tabs>
              <w:spacing w:line="240" w:lineRule="auto"/>
              <w:ind w:hanging="335"/>
              <w:rPr>
                <w:sz w:val="22"/>
                <w:lang w:val="es-ES_tradnl"/>
              </w:rPr>
            </w:pPr>
            <w:r w:rsidRPr="00BE6424">
              <w:rPr>
                <w:sz w:val="22"/>
                <w:lang w:val="es-ES_tradnl"/>
              </w:rPr>
              <w:t>a)</w:t>
            </w:r>
            <w:r w:rsidRPr="00BE6424">
              <w:rPr>
                <w:sz w:val="22"/>
                <w:lang w:val="es-ES_tradnl"/>
              </w:rPr>
              <w:tab/>
              <w:t>el Anexo 3 (CMR-07) en su examen en virtud del § 6.3 b);</w:t>
            </w:r>
          </w:p>
          <w:p w14:paraId="7B336D79"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b)</w:t>
            </w:r>
            <w:r w:rsidRPr="00BE6424">
              <w:rPr>
                <w:sz w:val="22"/>
                <w:lang w:val="es-ES_tradnl"/>
              </w:rPr>
              <w:tab/>
              <w:t>el Anexo 4 (Rev.CMR-07) en su examen en virtud del § 6.5.</w:t>
            </w:r>
          </w:p>
          <w:p w14:paraId="7EFBA6ED" w14:textId="7D54D99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NOTA – Incluida la protección de las notificaciones en el marco del Tema E examinadas antes de la Parte</w:t>
            </w:r>
            <w:r w:rsidR="00C51AB2" w:rsidRPr="00BE6424">
              <w:rPr>
                <w:sz w:val="22"/>
                <w:lang w:val="es-ES_tradnl"/>
              </w:rPr>
              <w:t> </w:t>
            </w:r>
            <w:r w:rsidRPr="00BE6424">
              <w:rPr>
                <w:sz w:val="22"/>
                <w:lang w:val="es-ES_tradnl"/>
              </w:rPr>
              <w:t>A.</w:t>
            </w:r>
          </w:p>
          <w:p w14:paraId="173FC890" w14:textId="16EEFAC9" w:rsidR="009A0FCF" w:rsidRPr="00BE6424" w:rsidRDefault="009A0FCF" w:rsidP="00C51AB2">
            <w:pPr>
              <w:pStyle w:val="Tabletext"/>
              <w:tabs>
                <w:tab w:val="clear" w:pos="284"/>
                <w:tab w:val="clear" w:pos="567"/>
                <w:tab w:val="clear" w:pos="1134"/>
              </w:tabs>
              <w:ind w:left="851" w:hanging="851"/>
              <w:rPr>
                <w:sz w:val="22"/>
                <w:lang w:val="es-ES_tradnl"/>
              </w:rPr>
            </w:pPr>
            <w:r w:rsidRPr="00BE6424">
              <w:rPr>
                <w:sz w:val="22"/>
                <w:lang w:val="es-ES_tradnl"/>
              </w:rPr>
              <w:t>2</w:t>
            </w:r>
            <w:r w:rsidRPr="00BE6424">
              <w:rPr>
                <w:sz w:val="22"/>
                <w:lang w:val="es-ES_tradnl"/>
              </w:rPr>
              <w:tab/>
              <w:t>Para las notificaciones completas con arreglo al § 6.17 recibidas por la Oficina antes del 23 de noviembre de</w:t>
            </w:r>
            <w:r w:rsidR="00C51AB2" w:rsidRPr="00BE6424">
              <w:rPr>
                <w:sz w:val="22"/>
                <w:lang w:val="es-ES_tradnl"/>
              </w:rPr>
              <w:t> </w:t>
            </w:r>
            <w:r w:rsidRPr="00BE6424">
              <w:rPr>
                <w:sz w:val="22"/>
                <w:lang w:val="es-ES_tradnl"/>
              </w:rPr>
              <w:t>2019:</w:t>
            </w:r>
          </w:p>
          <w:p w14:paraId="04FDF689"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a)</w:t>
            </w:r>
            <w:r w:rsidRPr="00BE6424">
              <w:rPr>
                <w:sz w:val="22"/>
                <w:lang w:val="es-ES_tradnl"/>
              </w:rPr>
              <w:tab/>
              <w:t>el Anexo 3 (CMR-07) en su examen en virtud del § 6.19 c);</w:t>
            </w:r>
          </w:p>
          <w:p w14:paraId="1DE79E6B"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b)</w:t>
            </w:r>
            <w:r w:rsidRPr="00BE6424">
              <w:rPr>
                <w:sz w:val="22"/>
                <w:lang w:val="es-ES_tradnl"/>
              </w:rPr>
              <w:tab/>
              <w:t>el Anexo 4 (Rev.CMR-07) en su examen en virtud del § 6.21;</w:t>
            </w:r>
          </w:p>
          <w:p w14:paraId="59B52EA2"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c)</w:t>
            </w:r>
            <w:r w:rsidRPr="00BE6424">
              <w:rPr>
                <w:sz w:val="22"/>
                <w:lang w:val="es-ES_tradnl"/>
              </w:rPr>
              <w:tab/>
              <w:t>el Anexo 4 (Rev.CMR-07) en su examen adicional con arreglo a la nueva nota al § 6.21 c);</w:t>
            </w:r>
          </w:p>
          <w:p w14:paraId="16CAECCC"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d)</w:t>
            </w:r>
            <w:r w:rsidRPr="00BE6424">
              <w:rPr>
                <w:sz w:val="22"/>
                <w:lang w:val="es-ES_tradnl"/>
              </w:rPr>
              <w:tab/>
              <w:t>el Anexo 4 (Rev.CMR-07) en su examen en virtud del § 6.22.</w:t>
            </w:r>
          </w:p>
          <w:p w14:paraId="01EB0FD3" w14:textId="2BE18150"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NOTA – Incluida la protección de las notificaciones en el marco del Tema E examinadas antes de la Parte</w:t>
            </w:r>
            <w:r w:rsidR="00B93689" w:rsidRPr="00BE6424">
              <w:rPr>
                <w:sz w:val="22"/>
                <w:lang w:val="es-ES_tradnl"/>
              </w:rPr>
              <w:t> </w:t>
            </w:r>
            <w:r w:rsidRPr="00BE6424">
              <w:rPr>
                <w:sz w:val="22"/>
                <w:lang w:val="es-ES_tradnl"/>
              </w:rPr>
              <w:t>B.</w:t>
            </w:r>
          </w:p>
          <w:p w14:paraId="31CAD098" w14:textId="4AD7D044" w:rsidR="009A0FCF" w:rsidRPr="00BE6424" w:rsidRDefault="009A0FCF" w:rsidP="00C51AB2">
            <w:pPr>
              <w:pStyle w:val="Tabletext"/>
              <w:tabs>
                <w:tab w:val="clear" w:pos="284"/>
                <w:tab w:val="clear" w:pos="567"/>
                <w:tab w:val="clear" w:pos="1134"/>
              </w:tabs>
              <w:ind w:left="851" w:hanging="851"/>
              <w:rPr>
                <w:sz w:val="22"/>
                <w:lang w:val="es-ES_tradnl"/>
              </w:rPr>
            </w:pPr>
            <w:r w:rsidRPr="00BE6424">
              <w:rPr>
                <w:sz w:val="22"/>
                <w:lang w:val="es-ES_tradnl"/>
              </w:rPr>
              <w:t>3</w:t>
            </w:r>
            <w:r w:rsidRPr="00BE6424">
              <w:rPr>
                <w:sz w:val="22"/>
                <w:lang w:val="es-ES_tradnl"/>
              </w:rPr>
              <w:tab/>
              <w:t xml:space="preserve">Para las notificaciones completas con arreglo al § 6.17 recibidas por la Oficina después del 22 de noviembre de 2019, </w:t>
            </w:r>
            <w:bookmarkStart w:id="90" w:name="_Hlk24908899"/>
            <w:r w:rsidRPr="00BE6424">
              <w:rPr>
                <w:sz w:val="22"/>
                <w:lang w:val="es-ES_tradnl"/>
              </w:rPr>
              <w:t>relacionadas con las notificaciones completas con arreglo al § 6.1 recibidas por la Oficina antes del</w:t>
            </w:r>
            <w:r w:rsidR="00C51AB2" w:rsidRPr="00BE6424">
              <w:rPr>
                <w:sz w:val="22"/>
                <w:lang w:val="es-ES_tradnl"/>
              </w:rPr>
              <w:t> </w:t>
            </w:r>
            <w:r w:rsidRPr="00BE6424">
              <w:rPr>
                <w:sz w:val="22"/>
                <w:lang w:val="es-ES_tradnl"/>
              </w:rPr>
              <w:t>23 de noviembre de 2019</w:t>
            </w:r>
            <w:bookmarkEnd w:id="90"/>
            <w:r w:rsidRPr="00BE6424">
              <w:rPr>
                <w:sz w:val="22"/>
                <w:lang w:val="es-ES_tradnl"/>
              </w:rPr>
              <w:t>:</w:t>
            </w:r>
          </w:p>
          <w:p w14:paraId="4CB120E0"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a)</w:t>
            </w:r>
            <w:r w:rsidRPr="00BE6424">
              <w:rPr>
                <w:sz w:val="22"/>
                <w:lang w:val="es-ES_tradnl"/>
              </w:rPr>
              <w:tab/>
              <w:t>el Anexo 3 (CMR-07) en su examen en virtud del § 6.19 c);</w:t>
            </w:r>
          </w:p>
          <w:p w14:paraId="4247110F"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b)</w:t>
            </w:r>
            <w:r w:rsidRPr="00BE6424">
              <w:rPr>
                <w:sz w:val="22"/>
                <w:lang w:val="es-ES_tradnl"/>
              </w:rPr>
              <w:tab/>
              <w:t>el Anexo 4 (</w:t>
            </w:r>
            <w:bookmarkStart w:id="91" w:name="_Hlk24976503"/>
            <w:r w:rsidRPr="00BE6424">
              <w:rPr>
                <w:sz w:val="22"/>
                <w:lang w:val="es-ES_tradnl"/>
              </w:rPr>
              <w:t>Rev.</w:t>
            </w:r>
            <w:bookmarkEnd w:id="91"/>
            <w:r w:rsidRPr="00BE6424">
              <w:rPr>
                <w:sz w:val="22"/>
                <w:lang w:val="es-ES_tradnl"/>
              </w:rPr>
              <w:t>CMR-07) en su examen en virtud del § 6.21;</w:t>
            </w:r>
          </w:p>
          <w:p w14:paraId="3B664491"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c)</w:t>
            </w:r>
            <w:r w:rsidRPr="00BE6424">
              <w:rPr>
                <w:sz w:val="22"/>
                <w:lang w:val="es-ES_tradnl"/>
              </w:rPr>
              <w:tab/>
              <w:t>el Anexo 4 (Rev.CMR-07) en su examen adicional con arreglo a la nota YY al § 6.21 c) si las demás asignaciones afectadas están inscritas en la Lista antes del 23 de noviembre de 2019;</w:t>
            </w:r>
          </w:p>
          <w:p w14:paraId="5D613987"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d)</w:t>
            </w:r>
            <w:r w:rsidRPr="00BE6424">
              <w:rPr>
                <w:sz w:val="22"/>
                <w:lang w:val="es-ES_tradnl"/>
              </w:rPr>
              <w:tab/>
              <w:t>el Anexo 4 (Rev.CMR-19) en su examen adicional con arreglo a la nota YY al § 6.21 c) si las demás asignaciones afectadas están inscritas en la Lista después del 22 de noviembre de 2019;</w:t>
            </w:r>
          </w:p>
          <w:p w14:paraId="75E8DB7D"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e)</w:t>
            </w:r>
            <w:r w:rsidRPr="00BE6424">
              <w:rPr>
                <w:sz w:val="22"/>
                <w:lang w:val="es-ES_tradnl"/>
              </w:rPr>
              <w:tab/>
              <w:t>el Anexo 4 (Rev.CMR-19) en su examen en virtud del § 6.22.</w:t>
            </w:r>
          </w:p>
          <w:p w14:paraId="01393663" w14:textId="437FE956" w:rsidR="009A0FCF" w:rsidRDefault="009A0FCF" w:rsidP="001947AB">
            <w:pPr>
              <w:pStyle w:val="enumlev2"/>
              <w:tabs>
                <w:tab w:val="clear" w:pos="794"/>
                <w:tab w:val="left" w:pos="870"/>
              </w:tabs>
              <w:spacing w:line="240" w:lineRule="auto"/>
              <w:ind w:hanging="335"/>
              <w:rPr>
                <w:sz w:val="22"/>
                <w:lang w:val="es-ES_tradnl"/>
              </w:rPr>
            </w:pPr>
            <w:r w:rsidRPr="00BE6424">
              <w:rPr>
                <w:sz w:val="22"/>
                <w:lang w:val="es-ES_tradnl"/>
              </w:rPr>
              <w:t>NOTA – Incluida la protección de las notificaciones en el marco del Tema E examinadas antes de la Parte</w:t>
            </w:r>
            <w:r w:rsidR="00B93689" w:rsidRPr="00BE6424">
              <w:rPr>
                <w:sz w:val="22"/>
                <w:lang w:val="es-ES_tradnl"/>
              </w:rPr>
              <w:t> </w:t>
            </w:r>
            <w:r w:rsidRPr="00BE6424">
              <w:rPr>
                <w:sz w:val="22"/>
                <w:lang w:val="es-ES_tradnl"/>
              </w:rPr>
              <w:t>A y/o de la Parte B.</w:t>
            </w:r>
          </w:p>
          <w:p w14:paraId="1D277185" w14:textId="0D3AB6AA" w:rsidR="009E7741" w:rsidRDefault="009E7741" w:rsidP="001947AB">
            <w:pPr>
              <w:pStyle w:val="enumlev2"/>
              <w:tabs>
                <w:tab w:val="clear" w:pos="794"/>
                <w:tab w:val="left" w:pos="870"/>
              </w:tabs>
              <w:spacing w:line="240" w:lineRule="auto"/>
              <w:ind w:hanging="335"/>
              <w:rPr>
                <w:sz w:val="22"/>
                <w:lang w:val="es-ES_tradnl"/>
              </w:rPr>
            </w:pPr>
          </w:p>
          <w:p w14:paraId="207E45D7" w14:textId="77777777" w:rsidR="009E7741" w:rsidRPr="00BE6424" w:rsidRDefault="009E7741" w:rsidP="001947AB">
            <w:pPr>
              <w:pStyle w:val="enumlev2"/>
              <w:tabs>
                <w:tab w:val="clear" w:pos="794"/>
                <w:tab w:val="left" w:pos="870"/>
              </w:tabs>
              <w:spacing w:line="240" w:lineRule="auto"/>
              <w:ind w:hanging="335"/>
              <w:rPr>
                <w:sz w:val="22"/>
                <w:lang w:val="es-ES_tradnl"/>
              </w:rPr>
            </w:pPr>
          </w:p>
          <w:p w14:paraId="0AE81DB4" w14:textId="2629B63B" w:rsidR="009A0FCF" w:rsidRPr="00BE6424" w:rsidRDefault="009A0FCF" w:rsidP="00154EE3">
            <w:pPr>
              <w:pStyle w:val="Tabletext"/>
              <w:keepNext/>
              <w:tabs>
                <w:tab w:val="clear" w:pos="284"/>
                <w:tab w:val="clear" w:pos="567"/>
                <w:tab w:val="clear" w:pos="1134"/>
              </w:tabs>
              <w:ind w:left="851" w:hanging="851"/>
              <w:rPr>
                <w:sz w:val="22"/>
                <w:lang w:val="es-ES_tradnl"/>
              </w:rPr>
            </w:pPr>
            <w:r w:rsidRPr="00BE6424">
              <w:rPr>
                <w:sz w:val="22"/>
                <w:lang w:val="es-ES_tradnl"/>
              </w:rPr>
              <w:t>4</w:t>
            </w:r>
            <w:r w:rsidRPr="00BE6424">
              <w:rPr>
                <w:sz w:val="22"/>
                <w:lang w:val="es-ES_tradnl"/>
              </w:rPr>
              <w:tab/>
            </w:r>
            <w:bookmarkStart w:id="92" w:name="_Hlk24909044"/>
            <w:r w:rsidRPr="00BE6424">
              <w:rPr>
                <w:sz w:val="22"/>
                <w:lang w:val="es-ES_tradnl"/>
              </w:rPr>
              <w:t xml:space="preserve">Para las notificaciones completas con arreglo al § 6.1 </w:t>
            </w:r>
            <w:bookmarkEnd w:id="92"/>
            <w:r w:rsidRPr="00BE6424">
              <w:rPr>
                <w:sz w:val="22"/>
                <w:lang w:val="es-ES_tradnl"/>
              </w:rPr>
              <w:t>recibidas por la Oficina después del 22 de noviembre de</w:t>
            </w:r>
            <w:r w:rsidR="00C51AB2" w:rsidRPr="00BE6424">
              <w:rPr>
                <w:sz w:val="22"/>
                <w:lang w:val="es-ES_tradnl"/>
              </w:rPr>
              <w:t> </w:t>
            </w:r>
            <w:r w:rsidRPr="00BE6424">
              <w:rPr>
                <w:sz w:val="22"/>
                <w:lang w:val="es-ES_tradnl"/>
              </w:rPr>
              <w:t>2019:</w:t>
            </w:r>
          </w:p>
          <w:p w14:paraId="05C83C8A" w14:textId="77777777" w:rsidR="009A0FCF" w:rsidRPr="00BE6424" w:rsidRDefault="009A0FCF" w:rsidP="00154EE3">
            <w:pPr>
              <w:pStyle w:val="enumlev2"/>
              <w:keepNext/>
              <w:keepLines/>
              <w:tabs>
                <w:tab w:val="clear" w:pos="794"/>
                <w:tab w:val="left" w:pos="870"/>
              </w:tabs>
              <w:spacing w:line="240" w:lineRule="auto"/>
              <w:ind w:hanging="335"/>
              <w:rPr>
                <w:sz w:val="22"/>
                <w:lang w:val="es-ES_tradnl"/>
              </w:rPr>
            </w:pPr>
            <w:r w:rsidRPr="00BE6424">
              <w:rPr>
                <w:sz w:val="22"/>
                <w:lang w:val="es-ES_tradnl"/>
              </w:rPr>
              <w:t>a)</w:t>
            </w:r>
            <w:r w:rsidRPr="00BE6424">
              <w:rPr>
                <w:sz w:val="22"/>
                <w:lang w:val="es-ES_tradnl"/>
              </w:rPr>
              <w:tab/>
              <w:t>el Anexo 3 (Rev.CMR-19) en su examen en virtud del § 6.3 b);</w:t>
            </w:r>
          </w:p>
          <w:p w14:paraId="6DC7374F"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b)</w:t>
            </w:r>
            <w:r w:rsidRPr="00BE6424">
              <w:rPr>
                <w:sz w:val="22"/>
                <w:lang w:val="es-ES_tradnl"/>
              </w:rPr>
              <w:tab/>
              <w:t>el Anexo 4 (Rev.CMR-19) en su examen en virtud del § 6.5.</w:t>
            </w:r>
          </w:p>
          <w:p w14:paraId="0EA1CA99" w14:textId="32C78B5C" w:rsidR="009A0FCF" w:rsidRPr="00BE6424" w:rsidRDefault="009A0FCF" w:rsidP="00C51AB2">
            <w:pPr>
              <w:pStyle w:val="Tabletext"/>
              <w:tabs>
                <w:tab w:val="clear" w:pos="284"/>
                <w:tab w:val="clear" w:pos="567"/>
                <w:tab w:val="clear" w:pos="1134"/>
              </w:tabs>
              <w:ind w:left="851" w:hanging="851"/>
              <w:rPr>
                <w:sz w:val="22"/>
                <w:lang w:val="es-ES_tradnl"/>
              </w:rPr>
            </w:pPr>
            <w:r w:rsidRPr="00BE6424">
              <w:rPr>
                <w:sz w:val="22"/>
                <w:lang w:val="es-ES_tradnl"/>
              </w:rPr>
              <w:t>5</w:t>
            </w:r>
            <w:r w:rsidRPr="00BE6424">
              <w:rPr>
                <w:sz w:val="22"/>
                <w:lang w:val="es-ES_tradnl"/>
              </w:rPr>
              <w:tab/>
              <w:t>Para las notificaciones completas con arreglo al § 6.17 recibidas por la Oficina después del 22 de noviembre de 2019, relacionadas con las notificaciones completas con arreglo al § 6.1 recibidas por la Oficina después del</w:t>
            </w:r>
            <w:r w:rsidR="00C51AB2" w:rsidRPr="00BE6424">
              <w:rPr>
                <w:sz w:val="22"/>
                <w:lang w:val="es-ES_tradnl"/>
              </w:rPr>
              <w:t> </w:t>
            </w:r>
            <w:r w:rsidRPr="00BE6424">
              <w:rPr>
                <w:sz w:val="22"/>
                <w:lang w:val="es-ES_tradnl"/>
              </w:rPr>
              <w:t>22 de noviembre de 2019:</w:t>
            </w:r>
          </w:p>
          <w:p w14:paraId="6FE6193C"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a)</w:t>
            </w:r>
            <w:r w:rsidRPr="00BE6424">
              <w:rPr>
                <w:sz w:val="22"/>
                <w:lang w:val="es-ES_tradnl"/>
              </w:rPr>
              <w:tab/>
              <w:t>el Anexo 3 (Rev.CMR-19) en su examen en virtud del § 6.19 c);</w:t>
            </w:r>
          </w:p>
          <w:p w14:paraId="696301D7"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b)</w:t>
            </w:r>
            <w:r w:rsidRPr="00BE6424">
              <w:rPr>
                <w:sz w:val="22"/>
                <w:lang w:val="es-ES_tradnl"/>
              </w:rPr>
              <w:tab/>
              <w:t>el Anexo 4 (Rev.CMR-19) en su examen en virtud del § 6.21;</w:t>
            </w:r>
          </w:p>
          <w:p w14:paraId="41AE7EA7" w14:textId="18E0C836" w:rsidR="00D17E41"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c)</w:t>
            </w:r>
            <w:r w:rsidRPr="00BE6424">
              <w:rPr>
                <w:sz w:val="22"/>
                <w:lang w:val="es-ES_tradnl"/>
              </w:rPr>
              <w:tab/>
              <w:t>el Anexo 4 (Rev.CMR-19) en su examen en virtud del § 6.22.</w:t>
            </w:r>
          </w:p>
          <w:p w14:paraId="5E3DAFF2" w14:textId="20FC309C" w:rsidR="009A0FCF" w:rsidRPr="00BE6424" w:rsidRDefault="009A0FCF" w:rsidP="00C51AB2">
            <w:pPr>
              <w:pStyle w:val="Tabletext"/>
              <w:tabs>
                <w:tab w:val="clear" w:pos="284"/>
                <w:tab w:val="clear" w:pos="567"/>
                <w:tab w:val="clear" w:pos="1134"/>
              </w:tabs>
              <w:ind w:left="851" w:hanging="851"/>
              <w:rPr>
                <w:sz w:val="22"/>
                <w:lang w:val="es-ES_tradnl"/>
              </w:rPr>
            </w:pPr>
            <w:r w:rsidRPr="00BE6424">
              <w:rPr>
                <w:sz w:val="22"/>
                <w:lang w:val="es-ES_tradnl"/>
              </w:rPr>
              <w:t>6</w:t>
            </w:r>
            <w:r w:rsidRPr="00BE6424">
              <w:rPr>
                <w:sz w:val="22"/>
                <w:lang w:val="es-ES_tradnl"/>
              </w:rPr>
              <w:tab/>
              <w:t xml:space="preserve">Para las notificaciones completas con arreglo al § 6.1 en aplicación de la Resolución </w:t>
            </w:r>
            <w:r w:rsidRPr="00BE6424">
              <w:rPr>
                <w:b/>
                <w:bCs/>
                <w:sz w:val="22"/>
                <w:lang w:val="es-ES_tradnl"/>
              </w:rPr>
              <w:t>[A7(E)-AP30B] (CMR</w:t>
            </w:r>
            <w:r w:rsidR="00C51AB2" w:rsidRPr="00BE6424">
              <w:rPr>
                <w:b/>
                <w:bCs/>
                <w:sz w:val="22"/>
                <w:lang w:val="es-ES_tradnl"/>
              </w:rPr>
              <w:noBreakHyphen/>
            </w:r>
            <w:r w:rsidRPr="00BE6424">
              <w:rPr>
                <w:b/>
                <w:bCs/>
                <w:sz w:val="22"/>
                <w:lang w:val="es-ES_tradnl"/>
              </w:rPr>
              <w:t>19)</w:t>
            </w:r>
            <w:r w:rsidRPr="00BE6424">
              <w:rPr>
                <w:sz w:val="22"/>
                <w:lang w:val="es-ES_tradnl"/>
              </w:rPr>
              <w:t>:</w:t>
            </w:r>
          </w:p>
          <w:p w14:paraId="7F93CA9A"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a)</w:t>
            </w:r>
            <w:r w:rsidRPr="00BE6424">
              <w:rPr>
                <w:sz w:val="22"/>
                <w:lang w:val="es-ES_tradnl"/>
              </w:rPr>
              <w:tab/>
              <w:t>el Anexo 3 (Rev.CMR-19) en su examen en virtud del § 6.3 b);</w:t>
            </w:r>
          </w:p>
          <w:p w14:paraId="63D0612A" w14:textId="334F03F0" w:rsidR="009A0FCF" w:rsidRPr="00BE6424" w:rsidRDefault="009A0FCF" w:rsidP="00C51AB2">
            <w:pPr>
              <w:pStyle w:val="enumlev2"/>
              <w:tabs>
                <w:tab w:val="clear" w:pos="794"/>
                <w:tab w:val="left" w:pos="870"/>
              </w:tabs>
              <w:spacing w:line="240" w:lineRule="auto"/>
              <w:ind w:hanging="335"/>
              <w:rPr>
                <w:sz w:val="22"/>
                <w:lang w:val="es-ES_tradnl"/>
              </w:rPr>
            </w:pPr>
            <w:r w:rsidRPr="00BE6424">
              <w:rPr>
                <w:sz w:val="22"/>
                <w:lang w:val="es-ES_tradnl"/>
              </w:rPr>
              <w:t>b)</w:t>
            </w:r>
            <w:r w:rsidRPr="00BE6424">
              <w:rPr>
                <w:sz w:val="22"/>
                <w:lang w:val="es-ES_tradnl"/>
              </w:rPr>
              <w:tab/>
              <w:t>el Anexo 4 (Rev.CMR-19) y los nuevos criterios a los que se hace referencia en la Resolución</w:t>
            </w:r>
            <w:r w:rsidR="00E51EC7" w:rsidRPr="00BE6424">
              <w:rPr>
                <w:sz w:val="22"/>
                <w:lang w:val="es-ES_tradnl"/>
              </w:rPr>
              <w:t xml:space="preserve"> </w:t>
            </w:r>
            <w:r w:rsidRPr="00BE6424">
              <w:rPr>
                <w:b/>
                <w:bCs/>
                <w:sz w:val="22"/>
                <w:lang w:val="es-ES_tradnl"/>
              </w:rPr>
              <w:t>[A7(E)</w:t>
            </w:r>
            <w:r w:rsidRPr="00BE6424">
              <w:rPr>
                <w:b/>
                <w:bCs/>
                <w:sz w:val="22"/>
                <w:lang w:val="es-ES_tradnl"/>
              </w:rPr>
              <w:noBreakHyphen/>
              <w:t>AP30B] (CMR-19)</w:t>
            </w:r>
            <w:r w:rsidRPr="00BE6424">
              <w:rPr>
                <w:sz w:val="22"/>
                <w:lang w:val="es-ES_tradnl"/>
              </w:rPr>
              <w:t xml:space="preserve"> en su examen en virtud del § 6.5, según corresponda.</w:t>
            </w:r>
          </w:p>
          <w:p w14:paraId="4C2C85C3" w14:textId="77777777" w:rsidR="009A0FCF" w:rsidRPr="00BE6424" w:rsidRDefault="009A0FCF" w:rsidP="001947AB">
            <w:pPr>
              <w:pStyle w:val="enumlev2"/>
              <w:tabs>
                <w:tab w:val="clear" w:pos="794"/>
                <w:tab w:val="left" w:pos="870"/>
              </w:tabs>
              <w:spacing w:line="240" w:lineRule="auto"/>
              <w:ind w:hanging="335"/>
              <w:rPr>
                <w:sz w:val="22"/>
                <w:lang w:val="es-ES_tradnl"/>
              </w:rPr>
            </w:pPr>
            <w:r w:rsidRPr="00BE6424">
              <w:rPr>
                <w:sz w:val="22"/>
                <w:lang w:val="es-ES_tradnl"/>
              </w:rPr>
              <w:t>NOTA – Incluido el examen de las notificaciones en el marco del Tema E antes del examen de la última Parte A y/o Parte B normal recibidas antes del 23 de noviembre de 2019.</w:t>
            </w:r>
          </w:p>
          <w:p w14:paraId="63146D31" w14:textId="77777777" w:rsidR="009A0FCF" w:rsidRPr="00BE6424" w:rsidRDefault="009A0FCF" w:rsidP="00C51AB2">
            <w:pPr>
              <w:pStyle w:val="Tabletext"/>
              <w:tabs>
                <w:tab w:val="clear" w:pos="284"/>
                <w:tab w:val="clear" w:pos="567"/>
                <w:tab w:val="clear" w:pos="1134"/>
              </w:tabs>
              <w:ind w:left="851" w:hanging="851"/>
              <w:rPr>
                <w:sz w:val="22"/>
                <w:lang w:val="es-ES_tradnl"/>
              </w:rPr>
            </w:pPr>
            <w:r w:rsidRPr="00BE6424">
              <w:rPr>
                <w:sz w:val="22"/>
                <w:lang w:val="es-ES_tradnl"/>
              </w:rPr>
              <w:t>7</w:t>
            </w:r>
            <w:r w:rsidRPr="00BE6424">
              <w:rPr>
                <w:sz w:val="22"/>
                <w:lang w:val="es-ES_tradnl"/>
              </w:rPr>
              <w:tab/>
              <w:t xml:space="preserve">Para las notificaciones completas con arreglo al § 6.17 en aplicación de la Resolución </w:t>
            </w:r>
            <w:r w:rsidRPr="00BE6424">
              <w:rPr>
                <w:b/>
                <w:bCs/>
                <w:sz w:val="22"/>
                <w:lang w:val="es-ES_tradnl"/>
              </w:rPr>
              <w:t>[A7(E)-AP30B] (CMR-19)</w:t>
            </w:r>
            <w:r w:rsidRPr="00BE6424">
              <w:rPr>
                <w:sz w:val="22"/>
                <w:lang w:val="es-ES_tradnl"/>
              </w:rPr>
              <w:t>, la Oficina aplicará:</w:t>
            </w:r>
          </w:p>
          <w:p w14:paraId="21ADEB76" w14:textId="77777777" w:rsidR="009A0FCF" w:rsidRPr="00BE6424" w:rsidRDefault="009A0FCF" w:rsidP="00C51AB2">
            <w:pPr>
              <w:pStyle w:val="enumlev2"/>
              <w:tabs>
                <w:tab w:val="clear" w:pos="794"/>
                <w:tab w:val="left" w:pos="870"/>
              </w:tabs>
              <w:spacing w:line="240" w:lineRule="auto"/>
              <w:ind w:hanging="335"/>
              <w:rPr>
                <w:sz w:val="22"/>
                <w:lang w:val="es-ES_tradnl"/>
              </w:rPr>
            </w:pPr>
            <w:r w:rsidRPr="00BE6424">
              <w:rPr>
                <w:rFonts w:asciiTheme="minorHAnsi" w:hAnsiTheme="minorHAnsi" w:cstheme="minorHAnsi"/>
                <w:i/>
                <w:iCs/>
                <w:lang w:val="es-ES_tradnl"/>
              </w:rPr>
              <w:t>a</w:t>
            </w:r>
            <w:r w:rsidRPr="00BE6424">
              <w:rPr>
                <w:sz w:val="22"/>
                <w:lang w:val="es-ES_tradnl"/>
              </w:rPr>
              <w:t>)</w:t>
            </w:r>
            <w:r w:rsidRPr="00BE6424">
              <w:rPr>
                <w:sz w:val="22"/>
                <w:lang w:val="es-ES_tradnl"/>
              </w:rPr>
              <w:tab/>
              <w:t>el Anexo 3 (Rev.CMR-19) en su examen en virtud del § 6.19 c);</w:t>
            </w:r>
          </w:p>
          <w:p w14:paraId="282ECE9B" w14:textId="2A322376" w:rsidR="009A0FCF" w:rsidRPr="00BE6424" w:rsidRDefault="009A0FCF" w:rsidP="00C96E2D">
            <w:pPr>
              <w:pStyle w:val="enumlev2"/>
              <w:tabs>
                <w:tab w:val="clear" w:pos="794"/>
                <w:tab w:val="left" w:pos="870"/>
              </w:tabs>
              <w:spacing w:line="240" w:lineRule="auto"/>
              <w:ind w:hanging="335"/>
              <w:jc w:val="left"/>
              <w:rPr>
                <w:sz w:val="22"/>
                <w:lang w:val="es-ES_tradnl"/>
              </w:rPr>
            </w:pPr>
            <w:r w:rsidRPr="00BE6424">
              <w:rPr>
                <w:sz w:val="22"/>
                <w:lang w:val="es-ES_tradnl"/>
              </w:rPr>
              <w:t>b)</w:t>
            </w:r>
            <w:r w:rsidRPr="00BE6424">
              <w:rPr>
                <w:sz w:val="22"/>
                <w:lang w:val="es-ES_tradnl"/>
              </w:rPr>
              <w:tab/>
              <w:t>el Anexo 4 (Rev.CMR-19) y los nuevos criterios a los que se hace referencia en la Resolución</w:t>
            </w:r>
            <w:r w:rsidR="00C96E2D">
              <w:rPr>
                <w:sz w:val="22"/>
                <w:lang w:val="es-ES_tradnl"/>
              </w:rPr>
              <w:t> </w:t>
            </w:r>
            <w:r w:rsidRPr="00BE6424">
              <w:rPr>
                <w:b/>
                <w:bCs/>
                <w:sz w:val="22"/>
                <w:lang w:val="es-ES_tradnl"/>
              </w:rPr>
              <w:t>[A7(E)</w:t>
            </w:r>
            <w:r w:rsidRPr="00BE6424">
              <w:rPr>
                <w:b/>
                <w:bCs/>
                <w:sz w:val="22"/>
                <w:lang w:val="es-ES_tradnl"/>
              </w:rPr>
              <w:noBreakHyphen/>
              <w:t>AP30B] (CMR-19)</w:t>
            </w:r>
            <w:r w:rsidRPr="00BE6424">
              <w:rPr>
                <w:sz w:val="22"/>
                <w:lang w:val="es-ES_tradnl"/>
              </w:rPr>
              <w:t xml:space="preserve"> en su examen en virtud del § 6.21, según corresponda;</w:t>
            </w:r>
          </w:p>
          <w:p w14:paraId="26B8E7C0" w14:textId="3E6D6265" w:rsidR="009A0FCF" w:rsidRPr="00BE6424" w:rsidRDefault="009A0FCF" w:rsidP="00C96E2D">
            <w:pPr>
              <w:pStyle w:val="enumlev2"/>
              <w:tabs>
                <w:tab w:val="clear" w:pos="794"/>
                <w:tab w:val="left" w:pos="870"/>
              </w:tabs>
              <w:spacing w:line="240" w:lineRule="auto"/>
              <w:ind w:hanging="335"/>
              <w:jc w:val="left"/>
              <w:rPr>
                <w:sz w:val="22"/>
                <w:lang w:val="es-ES_tradnl"/>
              </w:rPr>
            </w:pPr>
            <w:r w:rsidRPr="00BE6424">
              <w:rPr>
                <w:sz w:val="22"/>
                <w:lang w:val="es-ES_tradnl"/>
              </w:rPr>
              <w:t>c)</w:t>
            </w:r>
            <w:r w:rsidRPr="00BE6424">
              <w:rPr>
                <w:sz w:val="22"/>
                <w:lang w:val="es-ES_tradnl"/>
              </w:rPr>
              <w:tab/>
              <w:t>el Anexo 4 (Rev.CMR-19) y los nuevos criterios a los que se hace referencia en la Resolución</w:t>
            </w:r>
            <w:r w:rsidR="00C96E2D">
              <w:rPr>
                <w:sz w:val="22"/>
                <w:lang w:val="es-ES_tradnl"/>
              </w:rPr>
              <w:t> </w:t>
            </w:r>
            <w:r w:rsidRPr="00BE6424">
              <w:rPr>
                <w:b/>
                <w:bCs/>
                <w:sz w:val="22"/>
                <w:lang w:val="es-ES_tradnl"/>
              </w:rPr>
              <w:t>[A7(E)</w:t>
            </w:r>
            <w:r w:rsidRPr="00BE6424">
              <w:rPr>
                <w:b/>
                <w:bCs/>
                <w:sz w:val="22"/>
                <w:lang w:val="es-ES_tradnl"/>
              </w:rPr>
              <w:noBreakHyphen/>
              <w:t>AP30B] (CMR-19)</w:t>
            </w:r>
            <w:r w:rsidRPr="00BE6424">
              <w:rPr>
                <w:sz w:val="22"/>
                <w:lang w:val="es-ES_tradnl"/>
              </w:rPr>
              <w:t xml:space="preserve"> en su examen adicional con arreglo a la nota YY al § 6.21 c), según corresponda;</w:t>
            </w:r>
          </w:p>
          <w:p w14:paraId="1E9F899E" w14:textId="7C940C3C" w:rsidR="009A0FCF" w:rsidRPr="00BE6424" w:rsidRDefault="009A0FCF" w:rsidP="00C96E2D">
            <w:pPr>
              <w:pStyle w:val="enumlev2"/>
              <w:tabs>
                <w:tab w:val="clear" w:pos="794"/>
                <w:tab w:val="left" w:pos="870"/>
              </w:tabs>
              <w:spacing w:line="240" w:lineRule="auto"/>
              <w:ind w:hanging="335"/>
              <w:jc w:val="left"/>
              <w:rPr>
                <w:sz w:val="22"/>
                <w:lang w:val="es-ES_tradnl"/>
              </w:rPr>
            </w:pPr>
            <w:r w:rsidRPr="00BE6424">
              <w:rPr>
                <w:sz w:val="22"/>
                <w:lang w:val="es-ES_tradnl"/>
              </w:rPr>
              <w:t>d)</w:t>
            </w:r>
            <w:r w:rsidRPr="00BE6424">
              <w:rPr>
                <w:sz w:val="22"/>
                <w:lang w:val="es-ES_tradnl"/>
              </w:rPr>
              <w:tab/>
              <w:t>el Anexo 4 (Rev.CMR-19) y los nuevos criterios a los que se hace referencia en la Resolución</w:t>
            </w:r>
            <w:r w:rsidR="00C96E2D">
              <w:rPr>
                <w:sz w:val="22"/>
                <w:lang w:val="es-ES_tradnl"/>
              </w:rPr>
              <w:t> </w:t>
            </w:r>
            <w:r w:rsidRPr="00BE6424">
              <w:rPr>
                <w:b/>
                <w:bCs/>
                <w:sz w:val="22"/>
                <w:lang w:val="es-ES_tradnl"/>
              </w:rPr>
              <w:t>[A7(E)</w:t>
            </w:r>
            <w:r w:rsidRPr="00BE6424">
              <w:rPr>
                <w:b/>
                <w:bCs/>
                <w:sz w:val="22"/>
                <w:lang w:val="es-ES_tradnl"/>
              </w:rPr>
              <w:noBreakHyphen/>
              <w:t>AP30B] (CMR-19)</w:t>
            </w:r>
            <w:r w:rsidRPr="00BE6424">
              <w:rPr>
                <w:sz w:val="22"/>
                <w:lang w:val="es-ES_tradnl"/>
              </w:rPr>
              <w:t xml:space="preserve"> en su examen en virtud del § 6.22, según corresponda.</w:t>
            </w:r>
          </w:p>
          <w:p w14:paraId="696F3635" w14:textId="77777777" w:rsidR="009A0FCF" w:rsidRPr="00BE6424" w:rsidRDefault="009A0FCF" w:rsidP="00B93689">
            <w:pPr>
              <w:pStyle w:val="Tabletext"/>
              <w:tabs>
                <w:tab w:val="clear" w:pos="1134"/>
                <w:tab w:val="clear" w:pos="2268"/>
              </w:tabs>
              <w:spacing w:before="80"/>
              <w:rPr>
                <w:sz w:val="22"/>
                <w:lang w:val="es-ES_tradnl"/>
              </w:rPr>
            </w:pPr>
            <w:r w:rsidRPr="00BE6424">
              <w:rPr>
                <w:sz w:val="22"/>
                <w:lang w:val="es-ES_tradnl"/>
              </w:rPr>
              <w:t>Aplicación del § 6.16:</w:t>
            </w:r>
          </w:p>
          <w:p w14:paraId="6A7F77DA" w14:textId="77777777" w:rsidR="009A0FCF" w:rsidRPr="00BE6424" w:rsidRDefault="009A0FCF" w:rsidP="00B93689">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Al excluir los territorios de las administraciones concernidas, la Oficina aplicará el Anexo 4 (Rev.CMR-07) hasta que haya sido examinada la última notificación completa con arreglo al § 6.1 o al § 6.17 recibida por la Oficina antes del 23 de noviembre de 2019, y después el Anexo 4 (Rev.CMR-19).</w:t>
            </w:r>
          </w:p>
          <w:p w14:paraId="3725D5EA" w14:textId="77777777" w:rsidR="009A0FCF" w:rsidRPr="00BE6424" w:rsidRDefault="009A0FCF" w:rsidP="00B93689">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Si se presenta la solicitud del § 6.16 a fin de que se tome en cuenta para el examen de una notificación completa con arreglo al § 6.17, al examinar dichas notificaciones, la Oficina aplicará el Anexo 4 apropiado utilizado en el examen con arreglo al § 6.21 y al § 6.22 según se indica más arriba.</w:t>
            </w:r>
          </w:p>
          <w:p w14:paraId="3D46C104" w14:textId="16A68FF1" w:rsidR="009A0FCF" w:rsidRPr="00BE6424" w:rsidRDefault="009A0FCF" w:rsidP="00B93689">
            <w:pPr>
              <w:pStyle w:val="Tabletext"/>
              <w:keepNext/>
              <w:tabs>
                <w:tab w:val="clear" w:pos="1134"/>
                <w:tab w:val="clear" w:pos="2268"/>
              </w:tabs>
              <w:spacing w:before="80"/>
              <w:rPr>
                <w:sz w:val="22"/>
                <w:lang w:val="es-ES_tradnl"/>
              </w:rPr>
            </w:pPr>
            <w:r w:rsidRPr="00BE6424">
              <w:rPr>
                <w:sz w:val="22"/>
                <w:lang w:val="es-ES_tradnl"/>
              </w:rPr>
              <w:t>Aplicación del § 6.27 al actualizar los criterios:</w:t>
            </w:r>
          </w:p>
          <w:p w14:paraId="5E677EFB" w14:textId="0592D308" w:rsidR="009A0FCF" w:rsidRPr="00BE6424" w:rsidRDefault="009A0FCF" w:rsidP="00B93689">
            <w:pPr>
              <w:pStyle w:val="Tabletext"/>
              <w:tabs>
                <w:tab w:val="clear" w:pos="1134"/>
                <w:tab w:val="clear" w:pos="2268"/>
              </w:tabs>
              <w:spacing w:before="80"/>
              <w:rPr>
                <w:sz w:val="22"/>
                <w:lang w:val="es-ES_tradnl"/>
              </w:rPr>
            </w:pPr>
            <w:r w:rsidRPr="00BE6424">
              <w:rPr>
                <w:sz w:val="22"/>
                <w:lang w:val="es-ES_tradnl"/>
              </w:rPr>
              <w:t>La Oficina aplicará el Anexo 4 (Rev.CMR-07) hasta que se haya examinado la última notificación completa con arreglo al § 6.1 o § 6.17 recibida por la Oficina antes del 23 de noviembre de 2019, y después el Anexo 4 (Rev.CMR-19).</w:t>
            </w:r>
          </w:p>
          <w:p w14:paraId="437F5CCB" w14:textId="77777777" w:rsidR="009A0FCF" w:rsidRPr="00BE6424" w:rsidRDefault="009A0FCF" w:rsidP="00B93689">
            <w:pPr>
              <w:pStyle w:val="Tabletext"/>
              <w:tabs>
                <w:tab w:val="clear" w:pos="1134"/>
                <w:tab w:val="clear" w:pos="2268"/>
              </w:tabs>
              <w:spacing w:before="80"/>
              <w:rPr>
                <w:sz w:val="22"/>
                <w:lang w:val="es-ES_tradnl"/>
              </w:rPr>
            </w:pPr>
            <w:r w:rsidRPr="00BE6424">
              <w:rPr>
                <w:sz w:val="22"/>
                <w:lang w:val="es-ES_tradnl"/>
              </w:rPr>
              <w:t>Aplicación del § 7.5:</w:t>
            </w:r>
          </w:p>
          <w:p w14:paraId="0817AA05" w14:textId="77777777" w:rsidR="009A0FCF" w:rsidRPr="00BE6424" w:rsidRDefault="009A0FCF" w:rsidP="00B93689">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Para una solicitud con arreglo al Artículo </w:t>
            </w:r>
            <w:r w:rsidRPr="00C96E2D">
              <w:rPr>
                <w:b/>
                <w:bCs/>
                <w:sz w:val="22"/>
                <w:lang w:val="es-ES_tradnl"/>
              </w:rPr>
              <w:t>7</w:t>
            </w:r>
            <w:r w:rsidRPr="00BE6424">
              <w:rPr>
                <w:sz w:val="22"/>
                <w:lang w:val="es-ES_tradnl"/>
              </w:rPr>
              <w:t xml:space="preserve"> recibida antes del 23 de noviembre de 2019, la Oficina aplicará el Anexo 3 (CMR-07) y el Anexo 4 (Rev.CMR-07).</w:t>
            </w:r>
          </w:p>
          <w:p w14:paraId="0EE2463B" w14:textId="77777777" w:rsidR="009A0FCF" w:rsidRPr="00BE6424" w:rsidRDefault="009A0FCF" w:rsidP="00B93689">
            <w:pPr>
              <w:pStyle w:val="Tabletext"/>
              <w:tabs>
                <w:tab w:val="clear" w:pos="284"/>
                <w:tab w:val="left" w:pos="495"/>
              </w:tabs>
              <w:spacing w:before="80"/>
              <w:ind w:left="408" w:hanging="408"/>
              <w:rPr>
                <w:sz w:val="22"/>
                <w:lang w:val="es-ES_tradnl"/>
              </w:rPr>
            </w:pPr>
            <w:r w:rsidRPr="00BE6424">
              <w:rPr>
                <w:sz w:val="22"/>
                <w:lang w:val="es-ES_tradnl"/>
              </w:rPr>
              <w:t>–</w:t>
            </w:r>
            <w:r w:rsidRPr="00BE6424">
              <w:rPr>
                <w:sz w:val="22"/>
                <w:lang w:val="es-ES_tradnl"/>
              </w:rPr>
              <w:tab/>
              <w:t>Para una solicitud con arreglo al Artículo </w:t>
            </w:r>
            <w:r w:rsidRPr="00C96E2D">
              <w:rPr>
                <w:b/>
                <w:bCs/>
                <w:sz w:val="22"/>
                <w:lang w:val="es-ES_tradnl"/>
              </w:rPr>
              <w:t xml:space="preserve">7 </w:t>
            </w:r>
            <w:r w:rsidRPr="00BE6424">
              <w:rPr>
                <w:sz w:val="22"/>
                <w:lang w:val="es-ES_tradnl"/>
              </w:rPr>
              <w:t>recibida después del 22 de noviembre de 2019, la Oficina aplicará el Anexo 3 (Rev.CMR-19) y el Anexo 4 (Rev.CMR-19).</w:t>
            </w:r>
          </w:p>
          <w:p w14:paraId="19ACF2B1" w14:textId="39F63E09" w:rsidR="009A0FCF" w:rsidRPr="00BE6424" w:rsidRDefault="009A0FCF" w:rsidP="00B93689">
            <w:pPr>
              <w:pStyle w:val="Tabletext"/>
              <w:tabs>
                <w:tab w:val="clear" w:pos="1134"/>
                <w:tab w:val="clear" w:pos="2268"/>
              </w:tabs>
              <w:spacing w:before="80"/>
              <w:rPr>
                <w:rFonts w:asciiTheme="minorHAnsi" w:hAnsiTheme="minorHAnsi" w:cstheme="minorHAnsi"/>
                <w:lang w:val="es-ES_tradnl"/>
              </w:rPr>
            </w:pPr>
            <w:r w:rsidRPr="00BE6424">
              <w:rPr>
                <w:sz w:val="22"/>
                <w:lang w:val="es-ES_tradnl"/>
              </w:rPr>
              <w:t>En su examen en virtud del 6.21 c), la Oficina también tendrá en cuenta las notificaciones completas con arreglo al</w:t>
            </w:r>
            <w:r w:rsidR="001947AB">
              <w:rPr>
                <w:sz w:val="22"/>
                <w:lang w:val="es-ES_tradnl"/>
              </w:rPr>
              <w:t> </w:t>
            </w:r>
            <w:r w:rsidRPr="00BE6424">
              <w:rPr>
                <w:sz w:val="22"/>
                <w:lang w:val="es-ES_tradnl"/>
              </w:rPr>
              <w:t xml:space="preserve">§ 6.1 en aplicación de la Resolución </w:t>
            </w:r>
            <w:r w:rsidRPr="00BE6424">
              <w:rPr>
                <w:b/>
                <w:bCs/>
                <w:sz w:val="22"/>
                <w:lang w:val="es-ES_tradnl"/>
              </w:rPr>
              <w:t>[A7(E)-AP30B] (CMR-19)</w:t>
            </w:r>
            <w:r w:rsidRPr="00BE6424">
              <w:rPr>
                <w:sz w:val="22"/>
                <w:lang w:val="es-ES_tradnl"/>
              </w:rPr>
              <w:t xml:space="preserve"> y la solicitud del Artículo </w:t>
            </w:r>
            <w:r w:rsidRPr="00C96E2D">
              <w:rPr>
                <w:sz w:val="22"/>
                <w:lang w:val="es-ES_tradnl"/>
              </w:rPr>
              <w:t>7</w:t>
            </w:r>
            <w:r w:rsidRPr="00BE6424">
              <w:rPr>
                <w:sz w:val="22"/>
                <w:lang w:val="es-ES_tradnl"/>
              </w:rPr>
              <w:t xml:space="preserve"> transferida al Artículo 6 con arreglo al § 7.7 que ha sido examinada antes de la fecha de recepción de la notificación examinada presentada con arreglo al § 6.1.</w:t>
            </w:r>
            <w:bookmarkEnd w:id="88"/>
          </w:p>
        </w:tc>
      </w:tr>
      <w:tr w:rsidR="009A0FCF" w:rsidRPr="00BE6424" w14:paraId="4D475A41" w14:textId="77777777" w:rsidTr="005321E9">
        <w:trPr>
          <w:trHeight w:val="1139"/>
        </w:trPr>
        <w:tc>
          <w:tcPr>
            <w:tcW w:w="1669" w:type="dxa"/>
          </w:tcPr>
          <w:p w14:paraId="346AABE4" w14:textId="79A7AF6D" w:rsidR="009A0FCF" w:rsidRPr="00BE6424" w:rsidRDefault="009A0FCF" w:rsidP="001311B8">
            <w:pPr>
              <w:pStyle w:val="Tablehead"/>
              <w:keepNext w:val="0"/>
              <w:rPr>
                <w:sz w:val="22"/>
                <w:lang w:val="es-ES_tradnl"/>
              </w:rPr>
            </w:pPr>
            <w:bookmarkStart w:id="93" w:name="lt_pId571"/>
            <w:r w:rsidRPr="00BE6424">
              <w:rPr>
                <w:sz w:val="22"/>
                <w:lang w:val="es-ES_tradnl"/>
              </w:rPr>
              <w:t xml:space="preserve">Documento </w:t>
            </w:r>
            <w:hyperlink r:id="rId44" w:history="1">
              <w:r w:rsidRPr="00124AA2">
                <w:rPr>
                  <w:rStyle w:val="Hyperlink"/>
                  <w:sz w:val="22"/>
                  <w:lang w:val="es-ES_tradnl"/>
                </w:rPr>
                <w:t>CMR19/572</w:t>
              </w:r>
            </w:hyperlink>
            <w:r w:rsidRPr="00BE6424">
              <w:rPr>
                <w:sz w:val="22"/>
                <w:lang w:val="es-ES_tradnl"/>
              </w:rPr>
              <w:t xml:space="preserve"> – Actas de la undécima Sesión Plenaria</w:t>
            </w:r>
            <w:bookmarkEnd w:id="93"/>
          </w:p>
        </w:tc>
        <w:tc>
          <w:tcPr>
            <w:tcW w:w="1881" w:type="dxa"/>
          </w:tcPr>
          <w:p w14:paraId="7B511F51" w14:textId="77777777" w:rsidR="009A0FCF" w:rsidRPr="00BE6424" w:rsidRDefault="009A0FCF" w:rsidP="001311B8">
            <w:pPr>
              <w:pStyle w:val="Tablehead"/>
              <w:keepNext w:val="0"/>
              <w:rPr>
                <w:sz w:val="22"/>
                <w:lang w:val="es-ES_tradnl"/>
              </w:rPr>
            </w:pPr>
            <w:bookmarkStart w:id="94" w:name="lt_pId572"/>
            <w:r w:rsidRPr="00BE6424">
              <w:rPr>
                <w:sz w:val="22"/>
                <w:lang w:val="es-ES_tradnl"/>
              </w:rPr>
              <w:t>§§ 1.7 a 1.10</w:t>
            </w:r>
            <w:bookmarkEnd w:id="94"/>
          </w:p>
          <w:p w14:paraId="722B704B" w14:textId="58C9034D" w:rsidR="009A0FCF" w:rsidRPr="00BE6424" w:rsidRDefault="009A0FCF" w:rsidP="001311B8">
            <w:pPr>
              <w:pStyle w:val="Tablehead"/>
              <w:keepNext w:val="0"/>
              <w:rPr>
                <w:sz w:val="22"/>
                <w:lang w:val="es-ES_tradnl"/>
              </w:rPr>
            </w:pPr>
            <w:bookmarkStart w:id="95" w:name="lt_pId573"/>
            <w:r w:rsidRPr="00BE6424">
              <w:rPr>
                <w:sz w:val="22"/>
                <w:lang w:val="es-ES_tradnl"/>
              </w:rPr>
              <w:t xml:space="preserve">Aprobación del documento </w:t>
            </w:r>
            <w:hyperlink r:id="rId45" w:history="1">
              <w:r w:rsidRPr="001C5E82">
                <w:rPr>
                  <w:rStyle w:val="Hyperlink"/>
                  <w:sz w:val="22"/>
                  <w:lang w:val="es-ES_tradnl"/>
                </w:rPr>
                <w:t>402</w:t>
              </w:r>
              <w:bookmarkEnd w:id="95"/>
            </w:hyperlink>
          </w:p>
        </w:tc>
        <w:tc>
          <w:tcPr>
            <w:tcW w:w="10762" w:type="dxa"/>
            <w:gridSpan w:val="2"/>
          </w:tcPr>
          <w:p w14:paraId="077FCF7B" w14:textId="77777777" w:rsidR="009A0FCF" w:rsidRPr="00BE6424" w:rsidRDefault="009A0FCF" w:rsidP="00B93689">
            <w:pPr>
              <w:pStyle w:val="Tabletext"/>
              <w:tabs>
                <w:tab w:val="clear" w:pos="1134"/>
                <w:tab w:val="clear" w:pos="2268"/>
              </w:tabs>
              <w:spacing w:before="80"/>
              <w:rPr>
                <w:rFonts w:asciiTheme="minorHAnsi" w:hAnsiTheme="minorHAnsi" w:cstheme="minorHAnsi"/>
                <w:lang w:val="es-ES_tradnl"/>
              </w:rPr>
            </w:pPr>
            <w:bookmarkStart w:id="96" w:name="lt_pId574"/>
            <w:r w:rsidRPr="00BE6424">
              <w:rPr>
                <w:sz w:val="22"/>
                <w:lang w:val="es-ES_tradnl"/>
              </w:rPr>
              <w:t xml:space="preserve">En lo que respecta a los radares meteorológicos, la revisión del resuelve 8 de la Resolución </w:t>
            </w:r>
            <w:r w:rsidRPr="00BE6424">
              <w:rPr>
                <w:b/>
                <w:bCs/>
                <w:sz w:val="22"/>
                <w:lang w:val="es-ES_tradnl"/>
              </w:rPr>
              <w:t>229 (Rev.CMR</w:t>
            </w:r>
            <w:r w:rsidRPr="00BE6424">
              <w:rPr>
                <w:b/>
                <w:bCs/>
                <w:sz w:val="22"/>
                <w:lang w:val="es-ES_tradnl"/>
              </w:rPr>
              <w:noBreakHyphen/>
              <w:t>19)</w:t>
            </w:r>
            <w:r w:rsidRPr="00BE6424">
              <w:rPr>
                <w:sz w:val="22"/>
                <w:lang w:val="es-ES_tradnl"/>
              </w:rPr>
              <w:t>, conforme a lo convenido en el punto 9.1 del orden del día (Tema 9.1.5) (CMR-19), se limita estrictamente a la especificación de los parámetros de la selección dinámica de frecuencias (DFS) con respecto a los cambios en los números 5.447F y 5.450A.</w:t>
            </w:r>
            <w:bookmarkEnd w:id="96"/>
          </w:p>
        </w:tc>
      </w:tr>
      <w:tr w:rsidR="009A0FCF" w:rsidRPr="00BE6424" w14:paraId="48CBB3C1" w14:textId="77777777" w:rsidTr="005321E9">
        <w:trPr>
          <w:trHeight w:val="685"/>
        </w:trPr>
        <w:tc>
          <w:tcPr>
            <w:tcW w:w="1669" w:type="dxa"/>
            <w:vMerge w:val="restart"/>
          </w:tcPr>
          <w:p w14:paraId="455E4EC6" w14:textId="6A3ACE71" w:rsidR="009A0FCF" w:rsidRPr="00BE6424" w:rsidRDefault="009A0FCF" w:rsidP="001311B8">
            <w:pPr>
              <w:pStyle w:val="Tablehead"/>
              <w:keepNext w:val="0"/>
              <w:rPr>
                <w:sz w:val="22"/>
                <w:lang w:val="es-ES_tradnl"/>
              </w:rPr>
            </w:pPr>
            <w:bookmarkStart w:id="97" w:name="lt_pId575"/>
            <w:r w:rsidRPr="00BE6424">
              <w:rPr>
                <w:sz w:val="22"/>
                <w:lang w:val="es-ES_tradnl"/>
              </w:rPr>
              <w:t xml:space="preserve">Documento </w:t>
            </w:r>
            <w:hyperlink r:id="rId46" w:history="1">
              <w:r w:rsidRPr="00124AA2">
                <w:rPr>
                  <w:rStyle w:val="Hyperlink"/>
                  <w:sz w:val="22"/>
                  <w:lang w:val="es-ES_tradnl"/>
                </w:rPr>
                <w:t>CMR19/573</w:t>
              </w:r>
            </w:hyperlink>
            <w:r w:rsidRPr="00BE6424">
              <w:rPr>
                <w:sz w:val="22"/>
                <w:lang w:val="es-ES_tradnl"/>
              </w:rPr>
              <w:t xml:space="preserve"> – Actas de la duodécima Sesión Plenaria</w:t>
            </w:r>
            <w:bookmarkEnd w:id="97"/>
          </w:p>
        </w:tc>
        <w:tc>
          <w:tcPr>
            <w:tcW w:w="1881" w:type="dxa"/>
          </w:tcPr>
          <w:p w14:paraId="4E00CFA1" w14:textId="77777777" w:rsidR="009A0FCF" w:rsidRPr="00BE6424" w:rsidRDefault="009A0FCF" w:rsidP="001311B8">
            <w:pPr>
              <w:pStyle w:val="Tablehead"/>
              <w:keepNext w:val="0"/>
              <w:rPr>
                <w:sz w:val="22"/>
                <w:lang w:val="es-ES_tradnl"/>
              </w:rPr>
            </w:pPr>
            <w:bookmarkStart w:id="98" w:name="lt_pId576"/>
            <w:r w:rsidRPr="00BE6424">
              <w:rPr>
                <w:sz w:val="22"/>
                <w:lang w:val="es-ES_tradnl"/>
              </w:rPr>
              <w:t>§§ 3.13 a 3.16</w:t>
            </w:r>
            <w:bookmarkEnd w:id="98"/>
          </w:p>
          <w:p w14:paraId="102A3B31" w14:textId="5DC8A5EF" w:rsidR="009A0FCF" w:rsidRPr="00BE6424" w:rsidRDefault="009A0FCF" w:rsidP="001311B8">
            <w:pPr>
              <w:pStyle w:val="Tablehead"/>
              <w:keepNext w:val="0"/>
              <w:rPr>
                <w:sz w:val="22"/>
                <w:lang w:val="es-ES_tradnl"/>
              </w:rPr>
            </w:pPr>
            <w:bookmarkStart w:id="99" w:name="lt_pId577"/>
            <w:r w:rsidRPr="00BE6424">
              <w:rPr>
                <w:sz w:val="22"/>
                <w:lang w:val="es-ES_tradnl"/>
              </w:rPr>
              <w:t xml:space="preserve">Aprobación del documento </w:t>
            </w:r>
            <w:hyperlink r:id="rId47" w:history="1">
              <w:r w:rsidRPr="001C5E82">
                <w:rPr>
                  <w:rStyle w:val="Hyperlink"/>
                  <w:sz w:val="22"/>
                  <w:lang w:val="es-ES_tradnl"/>
                </w:rPr>
                <w:t>518(Corr.1)</w:t>
              </w:r>
              <w:bookmarkEnd w:id="99"/>
            </w:hyperlink>
          </w:p>
        </w:tc>
        <w:tc>
          <w:tcPr>
            <w:tcW w:w="10762" w:type="dxa"/>
            <w:gridSpan w:val="2"/>
          </w:tcPr>
          <w:p w14:paraId="3F2D8943" w14:textId="77777777" w:rsidR="009A0FCF" w:rsidRPr="00BE6424" w:rsidRDefault="009A0FCF" w:rsidP="00B93689">
            <w:pPr>
              <w:pStyle w:val="Tabletext"/>
              <w:tabs>
                <w:tab w:val="clear" w:pos="1134"/>
                <w:tab w:val="clear" w:pos="2268"/>
              </w:tabs>
              <w:spacing w:before="80"/>
              <w:rPr>
                <w:b/>
                <w:bCs/>
                <w:sz w:val="22"/>
                <w:lang w:val="es-ES_tradnl"/>
              </w:rPr>
            </w:pPr>
            <w:bookmarkStart w:id="100" w:name="lt_pId578"/>
            <w:r w:rsidRPr="00BE6424">
              <w:rPr>
                <w:b/>
                <w:bCs/>
                <w:sz w:val="22"/>
                <w:lang w:val="es-ES_tradnl"/>
              </w:rPr>
              <w:t>Solicitud relativa a las redes de satélites MNG00000 y SANSAR-1 (113,6° E)</w:t>
            </w:r>
          </w:p>
          <w:p w14:paraId="50F7AD99" w14:textId="1EF7D327" w:rsidR="009A0FCF" w:rsidRPr="00BE6424" w:rsidRDefault="009A0FCF" w:rsidP="00B93689">
            <w:pPr>
              <w:pStyle w:val="Tabletext"/>
              <w:tabs>
                <w:tab w:val="clear" w:pos="1134"/>
                <w:tab w:val="clear" w:pos="2268"/>
              </w:tabs>
              <w:spacing w:before="80"/>
              <w:rPr>
                <w:sz w:val="22"/>
                <w:lang w:val="es-ES_tradnl"/>
              </w:rPr>
            </w:pPr>
            <w:r w:rsidRPr="00BE6424">
              <w:rPr>
                <w:sz w:val="22"/>
                <w:lang w:val="es-ES_tradnl"/>
              </w:rPr>
              <w:t xml:space="preserve">La CMR-19 consideró la solicitud específica formulada por Mongolia en el Documento 164 en relación con la situación de referencia del sistema satelital de Mongolia (113,6° E) en el Plan del SFS. La CMR-19 encarga a la Oficina de Radiocomunicaciones aplicar, en relación con las redes MNG00000 y SANSAR-1 de Mongolia, los criterios que figuran en el § 2.1 del Anexo </w:t>
            </w:r>
            <w:r w:rsidRPr="00BE6424">
              <w:rPr>
                <w:b/>
                <w:bCs/>
                <w:sz w:val="22"/>
                <w:lang w:val="es-ES_tradnl"/>
              </w:rPr>
              <w:t>4</w:t>
            </w:r>
            <w:r w:rsidRPr="00BE6424">
              <w:rPr>
                <w:sz w:val="22"/>
                <w:lang w:val="es-ES_tradnl"/>
              </w:rPr>
              <w:t xml:space="preserve"> del Apéndice </w:t>
            </w:r>
            <w:r w:rsidRPr="00BE6424">
              <w:rPr>
                <w:b/>
                <w:bCs/>
                <w:sz w:val="22"/>
                <w:lang w:val="es-ES_tradnl"/>
              </w:rPr>
              <w:t>30B</w:t>
            </w:r>
            <w:r w:rsidRPr="00BE6424">
              <w:rPr>
                <w:sz w:val="22"/>
                <w:lang w:val="es-ES_tradnl"/>
              </w:rPr>
              <w:t xml:space="preserve"> del RR (revisado por la CMR-19) al examinar las asignaciones presentadas en el marco del § 6.17 del Apéndice </w:t>
            </w:r>
            <w:r w:rsidRPr="00BE6424">
              <w:rPr>
                <w:b/>
                <w:bCs/>
                <w:sz w:val="22"/>
                <w:lang w:val="es-ES_tradnl"/>
              </w:rPr>
              <w:t>30B</w:t>
            </w:r>
            <w:r w:rsidRPr="00BE6424">
              <w:rPr>
                <w:sz w:val="22"/>
                <w:lang w:val="es-ES_tradnl"/>
              </w:rPr>
              <w:t xml:space="preserve"> del RR después del 22 de noviembre de 2019 y en relación con las asignaciones que se presentaron en el marco del § 6.1 del Apéndice </w:t>
            </w:r>
            <w:r w:rsidRPr="00BE6424">
              <w:rPr>
                <w:b/>
                <w:bCs/>
                <w:sz w:val="22"/>
                <w:lang w:val="es-ES_tradnl"/>
              </w:rPr>
              <w:t>30B</w:t>
            </w:r>
            <w:r w:rsidRPr="00BE6424">
              <w:rPr>
                <w:sz w:val="22"/>
                <w:lang w:val="es-ES_tradnl"/>
              </w:rPr>
              <w:t xml:space="preserve"> del RR antes del</w:t>
            </w:r>
            <w:r w:rsidR="00B93689" w:rsidRPr="00BE6424">
              <w:rPr>
                <w:sz w:val="22"/>
                <w:lang w:val="es-ES_tradnl"/>
              </w:rPr>
              <w:t> </w:t>
            </w:r>
            <w:r w:rsidRPr="00BE6424">
              <w:rPr>
                <w:sz w:val="22"/>
                <w:lang w:val="es-ES_tradnl"/>
              </w:rPr>
              <w:t>23</w:t>
            </w:r>
            <w:r w:rsidR="00B93689" w:rsidRPr="00BE6424">
              <w:rPr>
                <w:sz w:val="22"/>
                <w:lang w:val="es-ES_tradnl"/>
              </w:rPr>
              <w:t> </w:t>
            </w:r>
            <w:r w:rsidRPr="00BE6424">
              <w:rPr>
                <w:sz w:val="22"/>
                <w:lang w:val="es-ES_tradnl"/>
              </w:rPr>
              <w:t>de</w:t>
            </w:r>
            <w:r w:rsidR="00B93689" w:rsidRPr="00BE6424">
              <w:rPr>
                <w:sz w:val="22"/>
                <w:lang w:val="es-ES_tradnl"/>
              </w:rPr>
              <w:t> </w:t>
            </w:r>
            <w:r w:rsidRPr="00BE6424">
              <w:rPr>
                <w:sz w:val="22"/>
                <w:lang w:val="es-ES_tradnl"/>
              </w:rPr>
              <w:t>noviembre de 2019.</w:t>
            </w:r>
            <w:bookmarkEnd w:id="100"/>
          </w:p>
        </w:tc>
      </w:tr>
      <w:tr w:rsidR="009A0FCF" w:rsidRPr="00BE6424" w14:paraId="6FEDB063" w14:textId="77777777" w:rsidTr="005321E9">
        <w:trPr>
          <w:trHeight w:val="1139"/>
        </w:trPr>
        <w:tc>
          <w:tcPr>
            <w:tcW w:w="1669" w:type="dxa"/>
            <w:vMerge/>
          </w:tcPr>
          <w:p w14:paraId="49BBBF8A"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42AFF576" w14:textId="77777777" w:rsidR="009A0FCF" w:rsidRPr="00BE6424" w:rsidRDefault="009A0FCF" w:rsidP="001311B8">
            <w:pPr>
              <w:pStyle w:val="Tablehead"/>
              <w:keepNext w:val="0"/>
              <w:rPr>
                <w:sz w:val="22"/>
                <w:lang w:val="es-ES_tradnl"/>
              </w:rPr>
            </w:pPr>
            <w:bookmarkStart w:id="101" w:name="lt_pId581"/>
            <w:r w:rsidRPr="00BE6424">
              <w:rPr>
                <w:sz w:val="22"/>
                <w:lang w:val="es-ES_tradnl"/>
              </w:rPr>
              <w:t>§§ 3.17 a 3.20</w:t>
            </w:r>
            <w:bookmarkEnd w:id="101"/>
          </w:p>
          <w:p w14:paraId="73689205" w14:textId="6E4B96F5" w:rsidR="009A0FCF" w:rsidRPr="00BE6424" w:rsidRDefault="009A0FCF" w:rsidP="001311B8">
            <w:pPr>
              <w:pStyle w:val="Tablehead"/>
              <w:keepNext w:val="0"/>
              <w:rPr>
                <w:sz w:val="22"/>
                <w:lang w:val="es-ES_tradnl"/>
              </w:rPr>
            </w:pPr>
            <w:bookmarkStart w:id="102" w:name="lt_pId582"/>
            <w:r w:rsidRPr="00BE6424">
              <w:rPr>
                <w:sz w:val="22"/>
                <w:lang w:val="es-ES_tradnl"/>
              </w:rPr>
              <w:t xml:space="preserve">Aprobación del documento </w:t>
            </w:r>
            <w:hyperlink r:id="rId48" w:history="1">
              <w:r w:rsidRPr="001C5E82">
                <w:rPr>
                  <w:rStyle w:val="Hyperlink"/>
                  <w:sz w:val="22"/>
                  <w:lang w:val="es-ES_tradnl"/>
                </w:rPr>
                <w:t>518(Corr.2)</w:t>
              </w:r>
              <w:bookmarkEnd w:id="102"/>
            </w:hyperlink>
          </w:p>
        </w:tc>
        <w:tc>
          <w:tcPr>
            <w:tcW w:w="10762" w:type="dxa"/>
            <w:gridSpan w:val="2"/>
          </w:tcPr>
          <w:p w14:paraId="0DB6C813" w14:textId="77777777" w:rsidR="009A0FCF" w:rsidRPr="00BE6424" w:rsidRDefault="009A0FCF" w:rsidP="00B93689">
            <w:pPr>
              <w:pStyle w:val="Tabletext"/>
              <w:tabs>
                <w:tab w:val="clear" w:pos="1134"/>
                <w:tab w:val="clear" w:pos="2268"/>
              </w:tabs>
              <w:spacing w:before="80"/>
              <w:rPr>
                <w:b/>
                <w:bCs/>
                <w:sz w:val="22"/>
                <w:lang w:val="es-ES_tradnl"/>
              </w:rPr>
            </w:pPr>
            <w:bookmarkStart w:id="103" w:name="lt_pId583"/>
            <w:r w:rsidRPr="00BE6424">
              <w:rPr>
                <w:b/>
                <w:bCs/>
                <w:sz w:val="22"/>
                <w:lang w:val="es-ES_tradnl"/>
              </w:rPr>
              <w:t>Solicitud relativa a la red de satélites PSN-146E (146° E)</w:t>
            </w:r>
          </w:p>
          <w:p w14:paraId="382636ED" w14:textId="77777777" w:rsidR="009A0FCF" w:rsidRPr="00BE6424" w:rsidRDefault="009A0FCF" w:rsidP="00B93689">
            <w:pPr>
              <w:pStyle w:val="Tabletext"/>
              <w:tabs>
                <w:tab w:val="clear" w:pos="1134"/>
                <w:tab w:val="clear" w:pos="2268"/>
              </w:tabs>
              <w:spacing w:before="80"/>
              <w:rPr>
                <w:sz w:val="22"/>
                <w:lang w:val="es-ES_tradnl"/>
              </w:rPr>
            </w:pPr>
            <w:r w:rsidRPr="00BE6424">
              <w:rPr>
                <w:sz w:val="22"/>
                <w:lang w:val="es-ES_tradnl"/>
              </w:rPr>
              <w:t>La CMR-19 consideró la solicitud específica formulada por Indonesia en el Documento 35(Add.25) en relación con la prórroga del plazo reglamentario para la puesta en servicio de las asignaciones de frecuencias a la red de satélites PSN-146E (146° E) en las bandas de frecuencias 17,7-21,2 GHz y 27,0-31,0 GHz del 25 de octubre de 2019 al 31 de marzo de 2023. La CMR-19 accedió a conceder esta prórroga limitada tras confirmar que se había completado para esta red de satélites toda la coordinación de frecuencias solicitada por otras administraciones durante la CMR-19.</w:t>
            </w:r>
          </w:p>
          <w:p w14:paraId="2D15FA84" w14:textId="77777777" w:rsidR="009A0FCF" w:rsidRPr="00BE6424" w:rsidRDefault="009A0FCF" w:rsidP="00B93689">
            <w:pPr>
              <w:pStyle w:val="Tabletext"/>
              <w:tabs>
                <w:tab w:val="clear" w:pos="1134"/>
                <w:tab w:val="clear" w:pos="2268"/>
              </w:tabs>
              <w:spacing w:before="80"/>
              <w:rPr>
                <w:b/>
                <w:bCs/>
                <w:sz w:val="22"/>
                <w:lang w:val="es-ES_tradnl"/>
              </w:rPr>
            </w:pPr>
            <w:r w:rsidRPr="00BE6424">
              <w:rPr>
                <w:b/>
                <w:bCs/>
                <w:sz w:val="22"/>
                <w:lang w:val="es-ES_tradnl"/>
              </w:rPr>
              <w:t>Solicitud relativa a la red de satélites GARUDA-2 (123° E)</w:t>
            </w:r>
          </w:p>
          <w:p w14:paraId="3F385A51" w14:textId="77777777" w:rsidR="009A0FCF" w:rsidRPr="00BE6424" w:rsidRDefault="009A0FCF" w:rsidP="00B93689">
            <w:pPr>
              <w:pStyle w:val="Tabletext"/>
              <w:tabs>
                <w:tab w:val="clear" w:pos="1134"/>
                <w:tab w:val="clear" w:pos="2268"/>
              </w:tabs>
              <w:spacing w:before="80"/>
              <w:rPr>
                <w:rFonts w:asciiTheme="minorHAnsi" w:hAnsiTheme="minorHAnsi" w:cstheme="minorHAnsi"/>
                <w:lang w:val="es-ES_tradnl"/>
              </w:rPr>
            </w:pPr>
            <w:r w:rsidRPr="00BE6424">
              <w:rPr>
                <w:sz w:val="22"/>
                <w:lang w:val="es-ES_tradnl"/>
              </w:rPr>
              <w:t>La CMR-19 consideró la solicitud específica formulada por Indonesia en el Documento 35(Add.25) en relación con la prórroga del plazo reglamentario para la puesta en servicio de las asignaciones de frecuencias a la red de satélites GARUDA-2 (123° E) en las bandas de frecuencias 1 530</w:t>
            </w:r>
            <w:r w:rsidRPr="00BE6424">
              <w:rPr>
                <w:sz w:val="22"/>
                <w:lang w:val="es-ES_tradnl"/>
              </w:rPr>
              <w:noBreakHyphen/>
              <w:t>1 559 MHz, 1 626,5-1 660,5 MHz del 1 de noviembre de 2020 al 1 de noviembre de 2024. La CMR-19 accedió a conceder esta prórroga y la continuidad de la inclusión de las asignaciones de frecuencias de GARUDA-2 en el Registro. Ambas decisiones están condicionadas a la adhesión de Indonesia al acuerdo de coordinación alcanzado con los Emiratos Árabes Unidos. Además, la CMR-19 confirmó que se había completado para esta red de satélites toda la coordinación de frecuencias solicitada por otras administraciones durante la CMR-19.</w:t>
            </w:r>
            <w:bookmarkEnd w:id="103"/>
          </w:p>
        </w:tc>
      </w:tr>
      <w:tr w:rsidR="009A0FCF" w:rsidRPr="00BE6424" w14:paraId="15D6EEBD" w14:textId="77777777" w:rsidTr="005321E9">
        <w:trPr>
          <w:trHeight w:val="1139"/>
        </w:trPr>
        <w:tc>
          <w:tcPr>
            <w:tcW w:w="1669" w:type="dxa"/>
            <w:vMerge/>
          </w:tcPr>
          <w:p w14:paraId="0C94B370"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3FB491B3" w14:textId="77777777" w:rsidR="009A0FCF" w:rsidRPr="00BE6424" w:rsidRDefault="009A0FCF" w:rsidP="001311B8">
            <w:pPr>
              <w:pStyle w:val="Tablehead"/>
              <w:keepNext w:val="0"/>
              <w:rPr>
                <w:sz w:val="22"/>
                <w:lang w:val="es-ES_tradnl"/>
              </w:rPr>
            </w:pPr>
            <w:bookmarkStart w:id="104" w:name="lt_pId592"/>
            <w:r w:rsidRPr="00BE6424">
              <w:rPr>
                <w:sz w:val="22"/>
                <w:lang w:val="es-ES_tradnl"/>
              </w:rPr>
              <w:t>§§ 3.25 a 3.27</w:t>
            </w:r>
            <w:bookmarkEnd w:id="104"/>
          </w:p>
          <w:p w14:paraId="0D465AD8" w14:textId="5F7DA25F" w:rsidR="009A0FCF" w:rsidRPr="00BE6424" w:rsidRDefault="009A0FCF" w:rsidP="001311B8">
            <w:pPr>
              <w:pStyle w:val="Tablehead"/>
              <w:keepNext w:val="0"/>
              <w:rPr>
                <w:sz w:val="22"/>
                <w:lang w:val="es-ES_tradnl"/>
              </w:rPr>
            </w:pPr>
            <w:bookmarkStart w:id="105" w:name="lt_pId593"/>
            <w:r w:rsidRPr="00BE6424">
              <w:rPr>
                <w:sz w:val="22"/>
                <w:lang w:val="es-ES_tradnl"/>
              </w:rPr>
              <w:t xml:space="preserve">Aprobación del documento </w:t>
            </w:r>
            <w:hyperlink r:id="rId49" w:history="1">
              <w:r w:rsidRPr="001C5E82">
                <w:rPr>
                  <w:rStyle w:val="Hyperlink"/>
                  <w:sz w:val="22"/>
                  <w:lang w:val="es-ES_tradnl"/>
                </w:rPr>
                <w:t>550</w:t>
              </w:r>
              <w:bookmarkEnd w:id="105"/>
            </w:hyperlink>
          </w:p>
        </w:tc>
        <w:tc>
          <w:tcPr>
            <w:tcW w:w="10762" w:type="dxa"/>
            <w:gridSpan w:val="2"/>
          </w:tcPr>
          <w:p w14:paraId="5F17C9A3" w14:textId="77777777" w:rsidR="009A0FCF" w:rsidRPr="00643DE2" w:rsidRDefault="009A0FCF" w:rsidP="00643DE2">
            <w:pPr>
              <w:pStyle w:val="AnnexNoTitle"/>
              <w:keepNext w:val="0"/>
              <w:keepLines w:val="0"/>
              <w:spacing w:before="120" w:line="240" w:lineRule="auto"/>
              <w:rPr>
                <w:lang w:val="fr-FR"/>
              </w:rPr>
            </w:pPr>
            <w:bookmarkStart w:id="106" w:name="lt_pId594"/>
            <w:proofErr w:type="spellStart"/>
            <w:r w:rsidRPr="00643DE2">
              <w:rPr>
                <w:lang w:val="fr-FR"/>
              </w:rPr>
              <w:t>Verificación</w:t>
            </w:r>
            <w:proofErr w:type="spellEnd"/>
            <w:r w:rsidRPr="00643DE2">
              <w:rPr>
                <w:lang w:val="fr-FR"/>
              </w:rPr>
              <w:t xml:space="preserve"> </w:t>
            </w:r>
            <w:proofErr w:type="spellStart"/>
            <w:r w:rsidRPr="00643DE2">
              <w:rPr>
                <w:lang w:val="fr-FR"/>
              </w:rPr>
              <w:t>del</w:t>
            </w:r>
            <w:proofErr w:type="spellEnd"/>
            <w:r w:rsidRPr="00643DE2">
              <w:rPr>
                <w:lang w:val="fr-FR"/>
              </w:rPr>
              <w:t xml:space="preserve"> </w:t>
            </w:r>
            <w:proofErr w:type="spellStart"/>
            <w:r w:rsidRPr="00643DE2">
              <w:rPr>
                <w:lang w:val="fr-FR"/>
              </w:rPr>
              <w:t>número</w:t>
            </w:r>
            <w:proofErr w:type="spellEnd"/>
            <w:r w:rsidRPr="00643DE2">
              <w:rPr>
                <w:lang w:val="fr-FR"/>
              </w:rPr>
              <w:t xml:space="preserve"> 21.5 para la </w:t>
            </w:r>
            <w:proofErr w:type="spellStart"/>
            <w:r w:rsidRPr="00643DE2">
              <w:rPr>
                <w:lang w:val="fr-FR"/>
              </w:rPr>
              <w:t>notificación</w:t>
            </w:r>
            <w:proofErr w:type="spellEnd"/>
            <w:r w:rsidRPr="00643DE2">
              <w:rPr>
                <w:lang w:val="fr-FR"/>
              </w:rPr>
              <w:t xml:space="preserve"> de </w:t>
            </w:r>
            <w:proofErr w:type="spellStart"/>
            <w:r w:rsidRPr="00643DE2">
              <w:rPr>
                <w:lang w:val="fr-FR"/>
              </w:rPr>
              <w:t>estaciones</w:t>
            </w:r>
            <w:proofErr w:type="spellEnd"/>
            <w:r w:rsidRPr="00643DE2">
              <w:rPr>
                <w:lang w:val="fr-FR"/>
              </w:rPr>
              <w:t xml:space="preserve"> IMT que </w:t>
            </w:r>
            <w:proofErr w:type="spellStart"/>
            <w:r w:rsidRPr="00643DE2">
              <w:rPr>
                <w:lang w:val="fr-FR"/>
              </w:rPr>
              <w:t>funcionan</w:t>
            </w:r>
            <w:proofErr w:type="spellEnd"/>
            <w:r w:rsidRPr="00643DE2">
              <w:rPr>
                <w:lang w:val="fr-FR"/>
              </w:rPr>
              <w:t xml:space="preserve"> </w:t>
            </w:r>
            <w:r w:rsidRPr="00643DE2">
              <w:rPr>
                <w:lang w:val="fr-FR"/>
              </w:rPr>
              <w:br/>
              <w:t xml:space="preserve">en la banda de </w:t>
            </w:r>
            <w:proofErr w:type="spellStart"/>
            <w:r w:rsidRPr="00643DE2">
              <w:rPr>
                <w:lang w:val="fr-FR"/>
              </w:rPr>
              <w:t>frecuencias</w:t>
            </w:r>
            <w:proofErr w:type="spellEnd"/>
            <w:r w:rsidRPr="00643DE2">
              <w:rPr>
                <w:lang w:val="fr-FR"/>
              </w:rPr>
              <w:t xml:space="preserve"> de 24,45-27,5 GHz y </w:t>
            </w:r>
            <w:proofErr w:type="spellStart"/>
            <w:r w:rsidRPr="00643DE2">
              <w:rPr>
                <w:lang w:val="fr-FR"/>
              </w:rPr>
              <w:t>utilizan</w:t>
            </w:r>
            <w:proofErr w:type="spellEnd"/>
            <w:r w:rsidRPr="00643DE2">
              <w:rPr>
                <w:lang w:val="fr-FR"/>
              </w:rPr>
              <w:t xml:space="preserve"> </w:t>
            </w:r>
            <w:proofErr w:type="spellStart"/>
            <w:r w:rsidRPr="00643DE2">
              <w:rPr>
                <w:lang w:val="fr-FR"/>
              </w:rPr>
              <w:t>una</w:t>
            </w:r>
            <w:proofErr w:type="spellEnd"/>
            <w:r w:rsidRPr="00643DE2">
              <w:rPr>
                <w:lang w:val="fr-FR"/>
              </w:rPr>
              <w:t xml:space="preserve"> </w:t>
            </w:r>
            <w:proofErr w:type="spellStart"/>
            <w:r w:rsidRPr="00643DE2">
              <w:rPr>
                <w:lang w:val="fr-FR"/>
              </w:rPr>
              <w:t>antena</w:t>
            </w:r>
            <w:proofErr w:type="spellEnd"/>
            <w:r w:rsidRPr="00643DE2">
              <w:rPr>
                <w:lang w:val="fr-FR"/>
              </w:rPr>
              <w:t xml:space="preserve"> </w:t>
            </w:r>
            <w:proofErr w:type="spellStart"/>
            <w:r w:rsidRPr="00643DE2">
              <w:rPr>
                <w:lang w:val="fr-FR"/>
              </w:rPr>
              <w:t>integrada</w:t>
            </w:r>
            <w:proofErr w:type="spellEnd"/>
            <w:r w:rsidRPr="00643DE2">
              <w:rPr>
                <w:lang w:val="fr-FR"/>
              </w:rPr>
              <w:t xml:space="preserve"> </w:t>
            </w:r>
            <w:r w:rsidRPr="00643DE2">
              <w:rPr>
                <w:lang w:val="fr-FR"/>
              </w:rPr>
              <w:br/>
            </w:r>
            <w:proofErr w:type="spellStart"/>
            <w:r w:rsidRPr="00643DE2">
              <w:rPr>
                <w:lang w:val="fr-FR"/>
              </w:rPr>
              <w:t>por</w:t>
            </w:r>
            <w:proofErr w:type="spellEnd"/>
            <w:r w:rsidRPr="00643DE2">
              <w:rPr>
                <w:lang w:val="fr-FR"/>
              </w:rPr>
              <w:t xml:space="preserve"> un </w:t>
            </w:r>
            <w:proofErr w:type="spellStart"/>
            <w:r w:rsidRPr="00643DE2">
              <w:rPr>
                <w:lang w:val="fr-FR"/>
              </w:rPr>
              <w:t>sistema</w:t>
            </w:r>
            <w:proofErr w:type="spellEnd"/>
            <w:r w:rsidRPr="00643DE2">
              <w:rPr>
                <w:lang w:val="fr-FR"/>
              </w:rPr>
              <w:t xml:space="preserve"> de </w:t>
            </w:r>
            <w:proofErr w:type="spellStart"/>
            <w:r w:rsidRPr="00643DE2">
              <w:rPr>
                <w:lang w:val="fr-FR"/>
              </w:rPr>
              <w:t>elementos</w:t>
            </w:r>
            <w:proofErr w:type="spellEnd"/>
            <w:r w:rsidRPr="00643DE2">
              <w:rPr>
                <w:lang w:val="fr-FR"/>
              </w:rPr>
              <w:t xml:space="preserve"> </w:t>
            </w:r>
            <w:proofErr w:type="spellStart"/>
            <w:r w:rsidRPr="00643DE2">
              <w:rPr>
                <w:lang w:val="fr-FR"/>
              </w:rPr>
              <w:t>activos</w:t>
            </w:r>
            <w:proofErr w:type="spellEnd"/>
          </w:p>
          <w:p w14:paraId="2E9F62C2" w14:textId="77777777" w:rsidR="009A0FCF" w:rsidRPr="00BE6424" w:rsidRDefault="009A0FCF" w:rsidP="00B93689">
            <w:pPr>
              <w:pStyle w:val="Tabletext"/>
              <w:tabs>
                <w:tab w:val="clear" w:pos="1134"/>
                <w:tab w:val="clear" w:pos="2268"/>
              </w:tabs>
              <w:spacing w:before="80"/>
              <w:rPr>
                <w:sz w:val="22"/>
                <w:lang w:val="es-ES_tradnl"/>
              </w:rPr>
            </w:pPr>
            <w:r w:rsidRPr="00BE6424">
              <w:rPr>
                <w:sz w:val="22"/>
                <w:lang w:val="es-ES_tradnl"/>
              </w:rPr>
              <w:t xml:space="preserve">Se invita al UIT-R a estudiar, con carácter urgente, la aplicabilidad del límite establecido en el número </w:t>
            </w:r>
            <w:r w:rsidRPr="00BE6424">
              <w:rPr>
                <w:b/>
                <w:bCs/>
                <w:sz w:val="22"/>
                <w:lang w:val="es-ES_tradnl"/>
              </w:rPr>
              <w:t>21.5</w:t>
            </w:r>
            <w:r w:rsidRPr="00BE6424">
              <w:rPr>
                <w:sz w:val="22"/>
                <w:lang w:val="es-ES_tradnl"/>
              </w:rPr>
              <w:t xml:space="preserve"> del Reglamento de Radiocomunicaciones a las estaciones IMT que utilizan una antena integrada por un sistema de elementos activos, con objeto de formular una recomendación sobre las posibilidades existentes para su reemplazo o revisión para dichas estaciones, así como las actualizaciones necesarias del Cuadro </w:t>
            </w:r>
            <w:r w:rsidRPr="00BE6424">
              <w:rPr>
                <w:b/>
                <w:bCs/>
                <w:sz w:val="22"/>
                <w:lang w:val="es-ES_tradnl"/>
              </w:rPr>
              <w:t>21-2</w:t>
            </w:r>
            <w:r w:rsidRPr="00BE6424">
              <w:rPr>
                <w:sz w:val="22"/>
                <w:lang w:val="es-ES_tradnl"/>
              </w:rPr>
              <w:t xml:space="preserve"> en relación con los servicios terrenales y espaciales que comparten bandas de frecuencias.</w:t>
            </w:r>
          </w:p>
          <w:p w14:paraId="339C7F93" w14:textId="77777777" w:rsidR="009A0FCF" w:rsidRPr="00BE6424" w:rsidRDefault="009A0FCF" w:rsidP="00B93689">
            <w:pPr>
              <w:pStyle w:val="Tabletext"/>
              <w:tabs>
                <w:tab w:val="clear" w:pos="1134"/>
                <w:tab w:val="clear" w:pos="2268"/>
              </w:tabs>
              <w:spacing w:before="80"/>
              <w:rPr>
                <w:rFonts w:asciiTheme="minorHAnsi" w:hAnsiTheme="minorHAnsi" w:cstheme="minorHAnsi"/>
                <w:lang w:val="es-ES_tradnl"/>
              </w:rPr>
            </w:pPr>
            <w:r w:rsidRPr="00BE6424">
              <w:rPr>
                <w:sz w:val="22"/>
                <w:lang w:val="es-ES_tradnl"/>
              </w:rPr>
              <w:t xml:space="preserve">Se invita asimismo al UIT-R a estudiar, con carácter urgente, la verificación del número </w:t>
            </w:r>
            <w:r w:rsidRPr="00BE6424">
              <w:rPr>
                <w:b/>
                <w:bCs/>
                <w:sz w:val="22"/>
                <w:lang w:val="es-ES_tradnl"/>
              </w:rPr>
              <w:t>21.5</w:t>
            </w:r>
            <w:r w:rsidRPr="00BE6424">
              <w:rPr>
                <w:sz w:val="22"/>
                <w:lang w:val="es-ES_tradnl"/>
              </w:rPr>
              <w:t xml:space="preserve"> en relación con la notificación de las estaciones IMT que utilizan una antena integrada por un sistema de elementos activos, si procede.</w:t>
            </w:r>
            <w:bookmarkEnd w:id="106"/>
          </w:p>
        </w:tc>
      </w:tr>
      <w:tr w:rsidR="009A0FCF" w:rsidRPr="00BE6424" w14:paraId="4E971BFB" w14:textId="77777777" w:rsidTr="005321E9">
        <w:trPr>
          <w:trHeight w:val="1139"/>
        </w:trPr>
        <w:tc>
          <w:tcPr>
            <w:tcW w:w="1669" w:type="dxa"/>
            <w:vMerge/>
          </w:tcPr>
          <w:p w14:paraId="7191954F"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7919F0EE" w14:textId="77777777" w:rsidR="009A0FCF" w:rsidRPr="00BE6424" w:rsidRDefault="009A0FCF" w:rsidP="001311B8">
            <w:pPr>
              <w:pStyle w:val="Tablehead"/>
              <w:keepNext w:val="0"/>
              <w:rPr>
                <w:sz w:val="22"/>
                <w:lang w:val="es-ES_tradnl"/>
              </w:rPr>
            </w:pPr>
            <w:bookmarkStart w:id="107" w:name="lt_pId598"/>
            <w:r w:rsidRPr="00BE6424">
              <w:rPr>
                <w:sz w:val="22"/>
                <w:lang w:val="es-ES_tradnl"/>
              </w:rPr>
              <w:t>§§ 5.3 a 5.5</w:t>
            </w:r>
            <w:bookmarkEnd w:id="107"/>
          </w:p>
          <w:p w14:paraId="733CD6C4" w14:textId="782930D7" w:rsidR="009A0FCF" w:rsidRPr="00BE6424" w:rsidRDefault="009A0FCF" w:rsidP="001311B8">
            <w:pPr>
              <w:pStyle w:val="Tablehead"/>
              <w:keepNext w:val="0"/>
              <w:rPr>
                <w:sz w:val="22"/>
                <w:lang w:val="es-ES_tradnl"/>
              </w:rPr>
            </w:pPr>
            <w:bookmarkStart w:id="108" w:name="lt_pId599"/>
            <w:r w:rsidRPr="00BE6424">
              <w:rPr>
                <w:sz w:val="22"/>
                <w:lang w:val="es-ES_tradnl"/>
              </w:rPr>
              <w:t xml:space="preserve">Aprobación del documento </w:t>
            </w:r>
            <w:hyperlink r:id="rId50" w:history="1">
              <w:r w:rsidRPr="001C5E82">
                <w:rPr>
                  <w:rStyle w:val="Hyperlink"/>
                  <w:sz w:val="22"/>
                  <w:lang w:val="es-ES_tradnl"/>
                </w:rPr>
                <w:t>283</w:t>
              </w:r>
              <w:bookmarkEnd w:id="108"/>
            </w:hyperlink>
          </w:p>
        </w:tc>
        <w:tc>
          <w:tcPr>
            <w:tcW w:w="10762" w:type="dxa"/>
            <w:gridSpan w:val="2"/>
          </w:tcPr>
          <w:p w14:paraId="0008043C" w14:textId="77777777" w:rsidR="009A0FCF" w:rsidRPr="00BE6424" w:rsidRDefault="009A0FCF" w:rsidP="00B93689">
            <w:pPr>
              <w:pStyle w:val="Tabletext"/>
              <w:tabs>
                <w:tab w:val="clear" w:pos="1134"/>
                <w:tab w:val="clear" w:pos="2268"/>
              </w:tabs>
              <w:spacing w:before="80"/>
              <w:rPr>
                <w:sz w:val="22"/>
                <w:lang w:val="es-ES_tradnl"/>
              </w:rPr>
            </w:pPr>
            <w:bookmarkStart w:id="109" w:name="lt_pId600"/>
            <w:r w:rsidRPr="00BE6424">
              <w:rPr>
                <w:sz w:val="22"/>
                <w:lang w:val="es-ES_tradnl"/>
              </w:rPr>
              <w:t>Se invita a las administraciones de la Región 1 que deseen atribuir la banda de frecuencias 50</w:t>
            </w:r>
            <w:r w:rsidRPr="00BE6424">
              <w:rPr>
                <w:sz w:val="22"/>
                <w:lang w:val="es-ES_tradnl"/>
              </w:rPr>
              <w:noBreakHyphen/>
              <w:t xml:space="preserve">54 MHz, o partes de ella, al servicio de aficionados exclusivamente a título primario en futuras CMR, a que añadan su nombre al número </w:t>
            </w:r>
            <w:r w:rsidRPr="00BE6424">
              <w:rPr>
                <w:b/>
                <w:bCs/>
                <w:sz w:val="22"/>
                <w:lang w:val="es-ES_tradnl"/>
              </w:rPr>
              <w:t>5.169bis</w:t>
            </w:r>
            <w:r w:rsidRPr="00BE6424">
              <w:rPr>
                <w:sz w:val="22"/>
                <w:lang w:val="es-ES_tradnl"/>
              </w:rPr>
              <w:t xml:space="preserve"> del RR y no al número </w:t>
            </w:r>
            <w:r w:rsidRPr="00BE6424">
              <w:rPr>
                <w:b/>
                <w:bCs/>
                <w:sz w:val="22"/>
                <w:lang w:val="es-ES_tradnl"/>
              </w:rPr>
              <w:t>5.169</w:t>
            </w:r>
            <w:r w:rsidRPr="00BE6424">
              <w:rPr>
                <w:sz w:val="22"/>
                <w:lang w:val="es-ES_tradnl"/>
              </w:rPr>
              <w:t xml:space="preserve"> del RR, debido a su condición histórica especial. La BR adoptará todas las medidas necesarias para orientar a dichas administraciones para que propongan añadir su nombre únicamente al número </w:t>
            </w:r>
            <w:r w:rsidRPr="00BE6424">
              <w:rPr>
                <w:b/>
                <w:bCs/>
                <w:sz w:val="22"/>
                <w:lang w:val="es-ES_tradnl"/>
              </w:rPr>
              <w:t>5.169bis</w:t>
            </w:r>
            <w:r w:rsidRPr="00BE6424">
              <w:rPr>
                <w:sz w:val="22"/>
                <w:lang w:val="es-ES_tradnl"/>
              </w:rPr>
              <w:t xml:space="preserve"> del RR.</w:t>
            </w:r>
            <w:bookmarkEnd w:id="109"/>
          </w:p>
        </w:tc>
      </w:tr>
      <w:tr w:rsidR="009A0FCF" w:rsidRPr="00BE6424" w14:paraId="70F4C91F" w14:textId="77777777" w:rsidTr="005321E9">
        <w:trPr>
          <w:trHeight w:val="544"/>
        </w:trPr>
        <w:tc>
          <w:tcPr>
            <w:tcW w:w="1669" w:type="dxa"/>
            <w:vMerge/>
          </w:tcPr>
          <w:p w14:paraId="16195024"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64244207" w14:textId="77777777" w:rsidR="009A0FCF" w:rsidRPr="00BE6424" w:rsidRDefault="009A0FCF" w:rsidP="001311B8">
            <w:pPr>
              <w:pStyle w:val="Tablehead"/>
              <w:keepNext w:val="0"/>
              <w:rPr>
                <w:sz w:val="22"/>
                <w:lang w:val="es-ES_tradnl"/>
              </w:rPr>
            </w:pPr>
            <w:bookmarkStart w:id="110" w:name="lt_pId602"/>
            <w:r w:rsidRPr="00BE6424">
              <w:rPr>
                <w:sz w:val="22"/>
                <w:lang w:val="es-ES_tradnl"/>
              </w:rPr>
              <w:t>§§ 27.1 a 27.5</w:t>
            </w:r>
            <w:bookmarkEnd w:id="110"/>
          </w:p>
          <w:p w14:paraId="5E05F549" w14:textId="70CE2F99" w:rsidR="009A0FCF" w:rsidRPr="00BE6424" w:rsidRDefault="009A0FCF" w:rsidP="001311B8">
            <w:pPr>
              <w:pStyle w:val="Tablehead"/>
              <w:keepNext w:val="0"/>
              <w:rPr>
                <w:sz w:val="22"/>
                <w:lang w:val="es-ES_tradnl"/>
              </w:rPr>
            </w:pPr>
            <w:bookmarkStart w:id="111" w:name="lt_pId603"/>
            <w:r w:rsidRPr="00BE6424">
              <w:rPr>
                <w:sz w:val="22"/>
                <w:lang w:val="es-ES_tradnl"/>
              </w:rPr>
              <w:t xml:space="preserve">Aprobación del documento </w:t>
            </w:r>
            <w:hyperlink r:id="rId51" w:history="1">
              <w:r w:rsidRPr="001C5E82">
                <w:rPr>
                  <w:rStyle w:val="Hyperlink"/>
                  <w:sz w:val="22"/>
                  <w:lang w:val="es-ES_tradnl"/>
                </w:rPr>
                <w:t>563</w:t>
              </w:r>
              <w:bookmarkEnd w:id="111"/>
            </w:hyperlink>
          </w:p>
        </w:tc>
        <w:tc>
          <w:tcPr>
            <w:tcW w:w="10762" w:type="dxa"/>
            <w:gridSpan w:val="2"/>
          </w:tcPr>
          <w:p w14:paraId="259FDD32" w14:textId="31E558FD" w:rsidR="009A0FCF" w:rsidRPr="00BE6424" w:rsidRDefault="00E30B31" w:rsidP="00B93689">
            <w:pPr>
              <w:pStyle w:val="Tabletext"/>
              <w:tabs>
                <w:tab w:val="clear" w:pos="1134"/>
                <w:tab w:val="clear" w:pos="2268"/>
              </w:tabs>
              <w:spacing w:before="80"/>
              <w:rPr>
                <w:sz w:val="22"/>
                <w:lang w:val="es-ES_tradnl"/>
              </w:rPr>
            </w:pPr>
            <w:bookmarkStart w:id="112" w:name="lt_pId604"/>
            <w:r w:rsidRPr="00BE6424">
              <w:rPr>
                <w:sz w:val="22"/>
                <w:lang w:val="es-ES_tradnl"/>
              </w:rPr>
              <w:t>[</w:t>
            </w:r>
            <w:r w:rsidR="009A0FCF" w:rsidRPr="00BE6424">
              <w:rPr>
                <w:sz w:val="22"/>
                <w:lang w:val="es-ES_tradnl"/>
              </w:rPr>
              <w:t>…</w:t>
            </w:r>
            <w:r w:rsidRPr="00BE6424">
              <w:rPr>
                <w:sz w:val="22"/>
                <w:lang w:val="es-ES_tradnl"/>
              </w:rPr>
              <w:t>]</w:t>
            </w:r>
            <w:r w:rsidR="009A0FCF" w:rsidRPr="00BE6424">
              <w:rPr>
                <w:sz w:val="22"/>
                <w:lang w:val="es-ES_tradnl"/>
              </w:rPr>
              <w:t xml:space="preserve"> Se propone aprobar el siguiente texto, que figura en el documento, e incluir en las actas de la Sesión Plenaria para considerarlo como posible tema futuro al realizar los estudios en virtud del punto 7 del orden del día de la</w:t>
            </w:r>
            <w:r w:rsidR="00B93689" w:rsidRPr="00BE6424">
              <w:rPr>
                <w:sz w:val="22"/>
                <w:lang w:val="es-ES_tradnl"/>
              </w:rPr>
              <w:t> </w:t>
            </w:r>
            <w:r w:rsidR="009A0FCF" w:rsidRPr="00BE6424">
              <w:rPr>
                <w:sz w:val="22"/>
                <w:lang w:val="es-ES_tradnl"/>
              </w:rPr>
              <w:t>CMR-23:</w:t>
            </w:r>
          </w:p>
          <w:p w14:paraId="00F57B51" w14:textId="2943ACB4" w:rsidR="009A0FCF" w:rsidRPr="00BE6424" w:rsidRDefault="009A0FCF" w:rsidP="00B93689">
            <w:pPr>
              <w:pStyle w:val="Tabletext"/>
              <w:tabs>
                <w:tab w:val="clear" w:pos="1134"/>
                <w:tab w:val="clear" w:pos="2268"/>
              </w:tabs>
              <w:spacing w:before="80"/>
              <w:rPr>
                <w:sz w:val="22"/>
                <w:lang w:val="es-ES_tradnl"/>
              </w:rPr>
            </w:pPr>
            <w:r w:rsidRPr="00BE6424">
              <w:rPr>
                <w:sz w:val="22"/>
                <w:lang w:val="es-ES_tradnl"/>
              </w:rPr>
              <w:t>«Examinar la protección de las redes de satélites geoestacionarios del SMS que funcionan en las bandas 7/8 y</w:t>
            </w:r>
            <w:r w:rsidR="00B93689" w:rsidRPr="00BE6424">
              <w:rPr>
                <w:sz w:val="22"/>
                <w:lang w:val="es-ES_tradnl"/>
              </w:rPr>
              <w:t> </w:t>
            </w:r>
            <w:r w:rsidRPr="00BE6424">
              <w:rPr>
                <w:sz w:val="22"/>
                <w:lang w:val="es-ES_tradnl"/>
              </w:rPr>
              <w:t>20/30 GHz contra las emisiones de los sistemas de satélites no geoestacionarios que funcionan en las mismas bandas de frecuencias y en los mismos sentidos».</w:t>
            </w:r>
          </w:p>
          <w:p w14:paraId="64889616" w14:textId="77777777" w:rsidR="009A0FCF" w:rsidRPr="00BE6424" w:rsidRDefault="009A0FCF" w:rsidP="00B93689">
            <w:pPr>
              <w:pStyle w:val="Tabletext"/>
              <w:tabs>
                <w:tab w:val="clear" w:pos="1134"/>
                <w:tab w:val="clear" w:pos="2268"/>
              </w:tabs>
              <w:spacing w:before="80"/>
              <w:rPr>
                <w:sz w:val="22"/>
                <w:lang w:val="es-ES_tradnl"/>
              </w:rPr>
            </w:pPr>
            <w:r w:rsidRPr="00BE6424">
              <w:rPr>
                <w:sz w:val="22"/>
                <w:lang w:val="es-ES_tradnl"/>
              </w:rPr>
              <w:t>27.2</w:t>
            </w:r>
            <w:r w:rsidRPr="00BE6424">
              <w:rPr>
                <w:sz w:val="22"/>
                <w:lang w:val="es-ES_tradnl"/>
              </w:rPr>
              <w:tab/>
              <w:t xml:space="preserve">Así se </w:t>
            </w:r>
            <w:r w:rsidRPr="00BE6424">
              <w:rPr>
                <w:b/>
                <w:bCs/>
                <w:sz w:val="22"/>
                <w:lang w:val="es-ES_tradnl"/>
              </w:rPr>
              <w:t>acuerda</w:t>
            </w:r>
            <w:r w:rsidRPr="00BE6424">
              <w:rPr>
                <w:sz w:val="22"/>
                <w:lang w:val="es-ES_tradnl"/>
              </w:rPr>
              <w:t>.</w:t>
            </w:r>
            <w:bookmarkEnd w:id="112"/>
          </w:p>
          <w:p w14:paraId="66F2A4A8" w14:textId="77777777" w:rsidR="009A0FCF" w:rsidRPr="00BE6424" w:rsidRDefault="00E30B31" w:rsidP="00B93689">
            <w:pPr>
              <w:pStyle w:val="Tabletext"/>
              <w:tabs>
                <w:tab w:val="clear" w:pos="1134"/>
                <w:tab w:val="clear" w:pos="2268"/>
              </w:tabs>
              <w:spacing w:before="80"/>
              <w:rPr>
                <w:sz w:val="22"/>
                <w:lang w:val="es-ES_tradnl"/>
              </w:rPr>
            </w:pPr>
            <w:r w:rsidRPr="00BE6424">
              <w:rPr>
                <w:sz w:val="22"/>
                <w:lang w:val="es-ES_tradnl"/>
              </w:rPr>
              <w:t>[</w:t>
            </w:r>
            <w:r w:rsidR="009A0FCF" w:rsidRPr="00BE6424">
              <w:rPr>
                <w:sz w:val="22"/>
                <w:lang w:val="es-ES_tradnl"/>
              </w:rPr>
              <w:t>…</w:t>
            </w:r>
            <w:r w:rsidRPr="00BE6424">
              <w:rPr>
                <w:sz w:val="22"/>
                <w:lang w:val="es-ES_tradnl"/>
              </w:rPr>
              <w:t>]</w:t>
            </w:r>
          </w:p>
          <w:p w14:paraId="05A39E19" w14:textId="77777777" w:rsidR="009A0FCF" w:rsidRPr="00BE6424" w:rsidRDefault="009A0FCF" w:rsidP="00B93689">
            <w:pPr>
              <w:pStyle w:val="Tabletext"/>
              <w:tabs>
                <w:tab w:val="clear" w:pos="1134"/>
                <w:tab w:val="clear" w:pos="2268"/>
              </w:tabs>
              <w:spacing w:before="80"/>
              <w:rPr>
                <w:sz w:val="22"/>
                <w:lang w:val="es-ES_tradnl"/>
              </w:rPr>
            </w:pPr>
            <w:bookmarkStart w:id="113" w:name="lt_pId609"/>
            <w:r w:rsidRPr="00BE6424">
              <w:rPr>
                <w:sz w:val="22"/>
                <w:lang w:val="es-ES_tradnl"/>
              </w:rPr>
              <w:t>Por consiguiente, la CMR-19 encarga a la Oficina de Radiocomunicaciones que transmita esta declaración a la Comisión de Estudio del UIT-R pertinente para que adopte las medidas necesarias, según proceda.</w:t>
            </w:r>
            <w:bookmarkEnd w:id="113"/>
          </w:p>
        </w:tc>
      </w:tr>
      <w:tr w:rsidR="009A0FCF" w:rsidRPr="00BE6424" w14:paraId="6B42E86C" w14:textId="77777777" w:rsidTr="005321E9">
        <w:trPr>
          <w:trHeight w:val="1139"/>
        </w:trPr>
        <w:tc>
          <w:tcPr>
            <w:tcW w:w="1669" w:type="dxa"/>
            <w:vMerge/>
          </w:tcPr>
          <w:p w14:paraId="79D49242"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6AFBF2AC" w14:textId="77777777" w:rsidR="009A0FCF" w:rsidRPr="00BE6424" w:rsidRDefault="009A0FCF" w:rsidP="001311B8">
            <w:pPr>
              <w:pStyle w:val="Tablehead"/>
              <w:keepNext w:val="0"/>
              <w:rPr>
                <w:sz w:val="22"/>
                <w:lang w:val="es-ES_tradnl"/>
              </w:rPr>
            </w:pPr>
            <w:bookmarkStart w:id="114" w:name="lt_pId610"/>
            <w:r w:rsidRPr="00BE6424">
              <w:rPr>
                <w:sz w:val="22"/>
                <w:lang w:val="es-ES_tradnl"/>
              </w:rPr>
              <w:t>§§ 28.104 a 28.106</w:t>
            </w:r>
            <w:bookmarkEnd w:id="114"/>
          </w:p>
          <w:p w14:paraId="5E99A4B2" w14:textId="1D8D27AF" w:rsidR="009A0FCF" w:rsidRPr="00BE6424" w:rsidRDefault="009A0FCF" w:rsidP="001311B8">
            <w:pPr>
              <w:pStyle w:val="Tablehead"/>
              <w:keepNext w:val="0"/>
              <w:rPr>
                <w:sz w:val="22"/>
                <w:lang w:val="es-ES_tradnl"/>
              </w:rPr>
            </w:pPr>
            <w:bookmarkStart w:id="115" w:name="lt_pId611"/>
            <w:r w:rsidRPr="00BE6424">
              <w:rPr>
                <w:sz w:val="22"/>
                <w:lang w:val="es-ES_tradnl"/>
              </w:rPr>
              <w:t xml:space="preserve">Aprobación del documento </w:t>
            </w:r>
            <w:hyperlink r:id="rId52" w:history="1">
              <w:r w:rsidRPr="005321E9">
                <w:rPr>
                  <w:rStyle w:val="Hyperlink"/>
                  <w:sz w:val="22"/>
                  <w:lang w:val="es-ES_tradnl"/>
                </w:rPr>
                <w:t xml:space="preserve">554 y </w:t>
              </w:r>
              <w:proofErr w:type="spellStart"/>
              <w:r w:rsidRPr="005321E9">
                <w:rPr>
                  <w:rStyle w:val="Hyperlink"/>
                  <w:sz w:val="22"/>
                  <w:lang w:val="es-ES_tradnl"/>
                </w:rPr>
                <w:t>Corrig</w:t>
              </w:r>
              <w:r w:rsidR="001311B8" w:rsidRPr="005321E9">
                <w:rPr>
                  <w:rStyle w:val="Hyperlink"/>
                  <w:sz w:val="22"/>
                  <w:lang w:val="es-ES_tradnl"/>
                </w:rPr>
                <w:t>é</w:t>
              </w:r>
              <w:r w:rsidRPr="005321E9">
                <w:rPr>
                  <w:rStyle w:val="Hyperlink"/>
                  <w:sz w:val="22"/>
                  <w:lang w:val="es-ES_tradnl"/>
                </w:rPr>
                <w:t>ndum</w:t>
              </w:r>
              <w:proofErr w:type="spellEnd"/>
              <w:r w:rsidRPr="005321E9">
                <w:rPr>
                  <w:rStyle w:val="Hyperlink"/>
                  <w:sz w:val="22"/>
                  <w:lang w:val="es-ES_tradnl"/>
                </w:rPr>
                <w:t xml:space="preserve"> 1</w:t>
              </w:r>
              <w:bookmarkEnd w:id="115"/>
            </w:hyperlink>
          </w:p>
        </w:tc>
        <w:tc>
          <w:tcPr>
            <w:tcW w:w="10762" w:type="dxa"/>
            <w:gridSpan w:val="2"/>
          </w:tcPr>
          <w:p w14:paraId="47503660" w14:textId="1864CABD" w:rsidR="009A0FCF" w:rsidRPr="00BE6424" w:rsidRDefault="009A0FCF" w:rsidP="00B93689">
            <w:pPr>
              <w:pStyle w:val="Tabletext"/>
              <w:tabs>
                <w:tab w:val="clear" w:pos="1134"/>
                <w:tab w:val="clear" w:pos="2268"/>
              </w:tabs>
              <w:spacing w:before="80"/>
              <w:rPr>
                <w:sz w:val="22"/>
                <w:lang w:val="es-ES_tradnl"/>
              </w:rPr>
            </w:pPr>
            <w:bookmarkStart w:id="116" w:name="lt_pId612"/>
            <w:r w:rsidRPr="00BE6424">
              <w:rPr>
                <w:sz w:val="22"/>
                <w:lang w:val="es-ES_tradnl"/>
              </w:rPr>
              <w:t>En el marco del punto 9.1.x del orden del día, se invita al UIT-R a realizar estudios para identificar las bandas de frecuencias adecuadas para la utilización de las IMT para la banda ancha inalámbrica fija en las bandas de frecuencias atribuidas al servicio fijo a título primario. Por consiguiente, se incluirá en el orden del día de la</w:t>
            </w:r>
            <w:r w:rsidR="00BE6424" w:rsidRPr="00BE6424">
              <w:rPr>
                <w:sz w:val="22"/>
                <w:lang w:val="es-ES_tradnl"/>
              </w:rPr>
              <w:t> </w:t>
            </w:r>
            <w:r w:rsidRPr="00BE6424">
              <w:rPr>
                <w:sz w:val="22"/>
                <w:lang w:val="es-ES_tradnl"/>
              </w:rPr>
              <w:t>CMR</w:t>
            </w:r>
            <w:r w:rsidR="00BE6424" w:rsidRPr="00BE6424">
              <w:rPr>
                <w:sz w:val="22"/>
                <w:lang w:val="es-ES_tradnl"/>
              </w:rPr>
              <w:noBreakHyphen/>
            </w:r>
            <w:r w:rsidRPr="00BE6424">
              <w:rPr>
                <w:sz w:val="22"/>
                <w:lang w:val="es-ES_tradnl"/>
              </w:rPr>
              <w:t>27 un punto relativo al examen de estas bandas de frecuencias.</w:t>
            </w:r>
            <w:bookmarkEnd w:id="116"/>
          </w:p>
        </w:tc>
      </w:tr>
      <w:tr w:rsidR="009A0FCF" w:rsidRPr="00BE6424" w14:paraId="26DFD29B" w14:textId="77777777" w:rsidTr="005321E9">
        <w:trPr>
          <w:trHeight w:val="685"/>
        </w:trPr>
        <w:tc>
          <w:tcPr>
            <w:tcW w:w="1669" w:type="dxa"/>
            <w:vMerge/>
          </w:tcPr>
          <w:p w14:paraId="00DB787D" w14:textId="77777777" w:rsidR="009A0FCF" w:rsidRPr="00BE6424" w:rsidRDefault="009A0FCF" w:rsidP="00E51EC7">
            <w:pPr>
              <w:spacing w:before="40" w:afterLines="40" w:after="96" w:line="240" w:lineRule="auto"/>
              <w:jc w:val="left"/>
              <w:rPr>
                <w:rFonts w:asciiTheme="minorHAnsi" w:hAnsiTheme="minorHAnsi" w:cstheme="minorHAnsi"/>
                <w:b/>
                <w:lang w:val="es-ES_tradnl"/>
              </w:rPr>
            </w:pPr>
          </w:p>
        </w:tc>
        <w:tc>
          <w:tcPr>
            <w:tcW w:w="1881" w:type="dxa"/>
          </w:tcPr>
          <w:p w14:paraId="7EAA139F" w14:textId="77777777" w:rsidR="009A0FCF" w:rsidRPr="00BE6424" w:rsidRDefault="009A0FCF" w:rsidP="001311B8">
            <w:pPr>
              <w:pStyle w:val="Tablehead"/>
              <w:keepNext w:val="0"/>
              <w:rPr>
                <w:sz w:val="22"/>
                <w:lang w:val="es-ES_tradnl"/>
              </w:rPr>
            </w:pPr>
            <w:bookmarkStart w:id="117" w:name="lt_pId614"/>
            <w:r w:rsidRPr="00BE6424">
              <w:rPr>
                <w:sz w:val="22"/>
                <w:lang w:val="es-ES_tradnl"/>
              </w:rPr>
              <w:t>§§ 35.2 a 35.4</w:t>
            </w:r>
            <w:bookmarkEnd w:id="117"/>
          </w:p>
          <w:p w14:paraId="5DBFAE27" w14:textId="252EAF9E" w:rsidR="009A0FCF" w:rsidRPr="00BE6424" w:rsidRDefault="009A0FCF" w:rsidP="001311B8">
            <w:pPr>
              <w:pStyle w:val="Tablehead"/>
              <w:keepNext w:val="0"/>
              <w:rPr>
                <w:rFonts w:asciiTheme="minorHAnsi" w:hAnsiTheme="minorHAnsi" w:cstheme="minorHAnsi"/>
                <w:b w:val="0"/>
                <w:lang w:val="es-ES_tradnl"/>
              </w:rPr>
            </w:pPr>
            <w:bookmarkStart w:id="118" w:name="lt_pId615"/>
            <w:r w:rsidRPr="00BE6424">
              <w:rPr>
                <w:sz w:val="22"/>
                <w:lang w:val="es-ES_tradnl"/>
              </w:rPr>
              <w:t xml:space="preserve">Aprobación del documento </w:t>
            </w:r>
            <w:hyperlink r:id="rId53" w:history="1">
              <w:r w:rsidRPr="001C5E82">
                <w:rPr>
                  <w:rStyle w:val="Hyperlink"/>
                  <w:sz w:val="22"/>
                  <w:lang w:val="es-ES_tradnl"/>
                </w:rPr>
                <w:t>535</w:t>
              </w:r>
              <w:bookmarkEnd w:id="118"/>
            </w:hyperlink>
          </w:p>
        </w:tc>
        <w:tc>
          <w:tcPr>
            <w:tcW w:w="10762" w:type="dxa"/>
            <w:gridSpan w:val="2"/>
          </w:tcPr>
          <w:p w14:paraId="1D88E90F" w14:textId="77777777" w:rsidR="009A0FCF" w:rsidRPr="00BE6424" w:rsidRDefault="009A0FCF" w:rsidP="00B93689">
            <w:pPr>
              <w:pStyle w:val="Tabletext"/>
              <w:tabs>
                <w:tab w:val="clear" w:pos="1134"/>
                <w:tab w:val="clear" w:pos="2268"/>
              </w:tabs>
              <w:spacing w:before="80"/>
              <w:rPr>
                <w:rFonts w:asciiTheme="minorHAnsi" w:hAnsiTheme="minorHAnsi" w:cstheme="minorHAnsi"/>
                <w:lang w:val="es-ES_tradnl"/>
              </w:rPr>
            </w:pPr>
            <w:bookmarkStart w:id="119" w:name="lt_pId616"/>
            <w:r w:rsidRPr="00BE6424">
              <w:rPr>
                <w:b/>
                <w:bCs/>
                <w:sz w:val="22"/>
                <w:lang w:val="es-ES_tradnl"/>
              </w:rPr>
              <w:t>Aplicación de las Reglas de Procedimiento del número 9.11A del RR</w:t>
            </w:r>
          </w:p>
          <w:p w14:paraId="2861A497" w14:textId="77777777" w:rsidR="009A0FCF" w:rsidRPr="00BE6424" w:rsidRDefault="009A0FCF" w:rsidP="00BE6424">
            <w:pPr>
              <w:pStyle w:val="Tabletext"/>
              <w:tabs>
                <w:tab w:val="clear" w:pos="1134"/>
                <w:tab w:val="clear" w:pos="2268"/>
              </w:tabs>
              <w:spacing w:before="80"/>
              <w:rPr>
                <w:sz w:val="22"/>
                <w:lang w:val="es-ES_tradnl"/>
              </w:rPr>
            </w:pPr>
            <w:r w:rsidRPr="00BE6424">
              <w:rPr>
                <w:sz w:val="22"/>
                <w:lang w:val="es-ES_tradnl"/>
              </w:rPr>
              <w:t xml:space="preserve">Se propone que el número </w:t>
            </w:r>
            <w:r w:rsidRPr="00BE6424">
              <w:rPr>
                <w:b/>
                <w:bCs/>
                <w:sz w:val="22"/>
                <w:lang w:val="es-ES_tradnl"/>
              </w:rPr>
              <w:t>9.12</w:t>
            </w:r>
            <w:r w:rsidRPr="00BE6424">
              <w:rPr>
                <w:sz w:val="22"/>
                <w:lang w:val="es-ES_tradnl"/>
              </w:rPr>
              <w:t xml:space="preserve"> del RR no se aplique a las asignaciones de frecuencias a estaciones que funcionan en los servicios de investigación espacial y de exploración de la Tierra por satélite. Por consiguiente, se solicita a la Oficina en virtud de la Regla de Procedimiento sobre el número </w:t>
            </w:r>
            <w:r w:rsidRPr="00BE6424">
              <w:rPr>
                <w:b/>
                <w:bCs/>
                <w:sz w:val="22"/>
                <w:lang w:val="es-ES_tradnl"/>
              </w:rPr>
              <w:t>9.11A</w:t>
            </w:r>
            <w:r w:rsidRPr="00BE6424">
              <w:rPr>
                <w:sz w:val="22"/>
                <w:lang w:val="es-ES_tradnl"/>
              </w:rPr>
              <w:t xml:space="preserve"> que no aplique la coordinación con arreglo al número </w:t>
            </w:r>
            <w:r w:rsidRPr="00BE6424">
              <w:rPr>
                <w:b/>
                <w:bCs/>
                <w:sz w:val="22"/>
                <w:lang w:val="es-ES_tradnl"/>
              </w:rPr>
              <w:t>9.12</w:t>
            </w:r>
            <w:r w:rsidRPr="00BE6424">
              <w:rPr>
                <w:sz w:val="22"/>
                <w:lang w:val="es-ES_tradnl"/>
              </w:rPr>
              <w:t xml:space="preserve"> del RR a las asignaciones de frecuencias a estaciones que funcionen en los servicios de investigación espacial y de exploración de la Tierra por satélite en aplicación de los números </w:t>
            </w:r>
            <w:r w:rsidRPr="00BE6424">
              <w:rPr>
                <w:b/>
                <w:bCs/>
                <w:sz w:val="22"/>
                <w:lang w:val="es-ES_tradnl"/>
              </w:rPr>
              <w:t>5.A16</w:t>
            </w:r>
            <w:r w:rsidRPr="00BE6424">
              <w:rPr>
                <w:sz w:val="22"/>
                <w:lang w:val="es-ES_tradnl"/>
              </w:rPr>
              <w:t xml:space="preserve"> y </w:t>
            </w:r>
            <w:r w:rsidRPr="00BE6424">
              <w:rPr>
                <w:b/>
                <w:bCs/>
                <w:sz w:val="22"/>
                <w:lang w:val="es-ES_tradnl"/>
              </w:rPr>
              <w:t>5.B16</w:t>
            </w:r>
            <w:r w:rsidRPr="00BE6424">
              <w:rPr>
                <w:sz w:val="22"/>
                <w:lang w:val="es-ES_tradnl"/>
              </w:rPr>
              <w:t xml:space="preserve"> del RR.</w:t>
            </w:r>
          </w:p>
          <w:p w14:paraId="44F3FAEA" w14:textId="77777777" w:rsidR="009A0FCF" w:rsidRPr="00BE6424" w:rsidRDefault="009A0FCF" w:rsidP="00B93689">
            <w:pPr>
              <w:pStyle w:val="Tabletext"/>
              <w:tabs>
                <w:tab w:val="clear" w:pos="1134"/>
                <w:tab w:val="clear" w:pos="2268"/>
              </w:tabs>
              <w:spacing w:before="80"/>
              <w:rPr>
                <w:b/>
                <w:bCs/>
                <w:sz w:val="22"/>
                <w:lang w:val="es-ES_tradnl"/>
              </w:rPr>
            </w:pPr>
            <w:r w:rsidRPr="00BE6424">
              <w:rPr>
                <w:b/>
                <w:bCs/>
                <w:sz w:val="22"/>
                <w:lang w:val="es-ES_tradnl"/>
              </w:rPr>
              <w:t>Protección del SETS en la banda de frecuencias 36-37 GHz</w:t>
            </w:r>
          </w:p>
          <w:p w14:paraId="5EEDB67A" w14:textId="34F862ED" w:rsidR="009A0FCF" w:rsidRPr="00BE6424" w:rsidRDefault="009A0FCF" w:rsidP="00BE6424">
            <w:pPr>
              <w:pStyle w:val="Tabletext"/>
              <w:tabs>
                <w:tab w:val="clear" w:pos="1134"/>
                <w:tab w:val="clear" w:pos="2268"/>
              </w:tabs>
              <w:spacing w:before="80"/>
              <w:rPr>
                <w:sz w:val="22"/>
                <w:lang w:val="es-ES_tradnl"/>
              </w:rPr>
            </w:pPr>
            <w:r w:rsidRPr="00BE6424">
              <w:rPr>
                <w:sz w:val="22"/>
                <w:lang w:val="es-ES_tradnl"/>
              </w:rPr>
              <w:t xml:space="preserve">En el marco de los estudios considerados sobre el punto 1.6 del orden del día de la CMR-19, se presentó al UIT-R un estudio preliminar sobre la protección de los sensores del SETS (pasivo) que funcionan en la banda de frecuencias 36-37 GHz. Este estudio preliminar indicó que puede ser necesario no sobrepasar un valor de la </w:t>
            </w:r>
            <w:proofErr w:type="spellStart"/>
            <w:r w:rsidRPr="00BE6424">
              <w:rPr>
                <w:sz w:val="22"/>
                <w:lang w:val="es-ES_tradnl"/>
              </w:rPr>
              <w:t>p.i.r.e</w:t>
            </w:r>
            <w:proofErr w:type="spellEnd"/>
            <w:r w:rsidRPr="00BE6424">
              <w:rPr>
                <w:sz w:val="22"/>
                <w:lang w:val="es-ES_tradnl"/>
              </w:rPr>
              <w:t xml:space="preserve">. fuera de banda de –34 </w:t>
            </w:r>
            <w:proofErr w:type="spellStart"/>
            <w:r w:rsidRPr="00BE6424">
              <w:rPr>
                <w:sz w:val="22"/>
                <w:lang w:val="es-ES_tradnl"/>
              </w:rPr>
              <w:t>dBW</w:t>
            </w:r>
            <w:proofErr w:type="spellEnd"/>
            <w:r w:rsidRPr="00BE6424">
              <w:rPr>
                <w:sz w:val="22"/>
                <w:lang w:val="es-ES_tradnl"/>
              </w:rPr>
              <w:t>/100 MHz para todo ángulo superior a 71,4 grados desde el nadir, para estaciones espaciales no OSG del SFS que funcionen en la banda de frecuencias 37,5-38 GHz. Además, no se ha estudiado la interferencia sobre el canal de calibración fría del sensor del SETS (pasivo) en la banda de frecuencias 36</w:t>
            </w:r>
            <w:r w:rsidRPr="00BE6424">
              <w:rPr>
                <w:sz w:val="22"/>
                <w:lang w:val="es-ES_tradnl"/>
              </w:rPr>
              <w:noBreakHyphen/>
              <w:t>37 GHz.</w:t>
            </w:r>
          </w:p>
          <w:p w14:paraId="607E4D7F" w14:textId="77777777" w:rsidR="009A0FCF" w:rsidRPr="00BE6424" w:rsidRDefault="009A0FCF" w:rsidP="00BE6424">
            <w:pPr>
              <w:pStyle w:val="Tabletext"/>
              <w:tabs>
                <w:tab w:val="clear" w:pos="1134"/>
                <w:tab w:val="clear" w:pos="2268"/>
              </w:tabs>
              <w:spacing w:before="80"/>
              <w:rPr>
                <w:sz w:val="22"/>
                <w:lang w:val="es-ES_tradnl"/>
              </w:rPr>
            </w:pPr>
            <w:r w:rsidRPr="00BE6424">
              <w:rPr>
                <w:sz w:val="22"/>
                <w:lang w:val="es-ES_tradnl"/>
              </w:rPr>
              <w:t>La CMR-19 invita al UIT-R a que realice estudios adicionales sobre este asunto y elabore Recomendaciones y/o Informes, según convenga, y que informe a la CMR-23 a fin de adoptar medidas en caso de ser necesario.</w:t>
            </w:r>
          </w:p>
          <w:p w14:paraId="686FDF8B" w14:textId="77777777" w:rsidR="009A0FCF" w:rsidRPr="00BE6424" w:rsidRDefault="009A0FCF" w:rsidP="00BE6424">
            <w:pPr>
              <w:pStyle w:val="Tabletext"/>
              <w:tabs>
                <w:tab w:val="clear" w:pos="1134"/>
                <w:tab w:val="clear" w:pos="2268"/>
              </w:tabs>
              <w:spacing w:before="80"/>
              <w:rPr>
                <w:rFonts w:asciiTheme="minorHAnsi" w:hAnsiTheme="minorHAnsi" w:cstheme="minorHAnsi"/>
                <w:lang w:val="es-ES_tradnl"/>
              </w:rPr>
            </w:pPr>
            <w:r w:rsidRPr="00BE6424">
              <w:rPr>
                <w:sz w:val="22"/>
                <w:lang w:val="es-ES_tradnl"/>
              </w:rPr>
              <w:t xml:space="preserve">Además, la CMR-19 acordó que las modificaciones a la Resolución </w:t>
            </w:r>
            <w:r w:rsidRPr="00BE6424">
              <w:rPr>
                <w:b/>
                <w:bCs/>
                <w:sz w:val="22"/>
                <w:lang w:val="es-ES_tradnl"/>
              </w:rPr>
              <w:t>750 (Rev.CMR-19)</w:t>
            </w:r>
            <w:r w:rsidRPr="00BE6424">
              <w:rPr>
                <w:sz w:val="22"/>
                <w:lang w:val="es-ES_tradnl"/>
              </w:rPr>
              <w:t xml:space="preserve"> no deberían considerar esos estudios dado que en el número </w:t>
            </w:r>
            <w:r w:rsidRPr="00BE6424">
              <w:rPr>
                <w:b/>
                <w:bCs/>
                <w:sz w:val="22"/>
                <w:lang w:val="es-ES_tradnl"/>
              </w:rPr>
              <w:t>5.340</w:t>
            </w:r>
            <w:r w:rsidRPr="00BE6424">
              <w:rPr>
                <w:sz w:val="22"/>
                <w:lang w:val="es-ES_tradnl"/>
              </w:rPr>
              <w:t xml:space="preserve"> no se hace referencia a la banda de frecuencias 36-37 GHz.</w:t>
            </w:r>
            <w:bookmarkEnd w:id="119"/>
          </w:p>
        </w:tc>
      </w:tr>
      <w:tr w:rsidR="009A0FCF" w:rsidRPr="00BE6424" w14:paraId="7EC4BDF8" w14:textId="77777777" w:rsidTr="005321E9">
        <w:trPr>
          <w:trHeight w:val="1139"/>
        </w:trPr>
        <w:tc>
          <w:tcPr>
            <w:tcW w:w="1669" w:type="dxa"/>
          </w:tcPr>
          <w:p w14:paraId="739F487E" w14:textId="30E6F1C5" w:rsidR="009A0FCF" w:rsidRPr="00BE6424" w:rsidRDefault="009A0FCF" w:rsidP="001311B8">
            <w:pPr>
              <w:pStyle w:val="Tablehead"/>
              <w:keepNext w:val="0"/>
              <w:rPr>
                <w:sz w:val="22"/>
                <w:lang w:val="es-ES_tradnl"/>
              </w:rPr>
            </w:pPr>
            <w:bookmarkStart w:id="120" w:name="lt_pId625"/>
            <w:r w:rsidRPr="00BE6424">
              <w:rPr>
                <w:sz w:val="22"/>
                <w:lang w:val="es-ES_tradnl"/>
              </w:rPr>
              <w:t xml:space="preserve">Documento </w:t>
            </w:r>
            <w:hyperlink r:id="rId54" w:history="1">
              <w:r w:rsidRPr="00124AA2">
                <w:rPr>
                  <w:rStyle w:val="Hyperlink"/>
                  <w:sz w:val="22"/>
                  <w:lang w:val="es-ES_tradnl"/>
                </w:rPr>
                <w:t>CMR19/575</w:t>
              </w:r>
            </w:hyperlink>
            <w:r w:rsidRPr="00BE6424">
              <w:rPr>
                <w:sz w:val="22"/>
                <w:lang w:val="es-ES_tradnl"/>
              </w:rPr>
              <w:t xml:space="preserve"> – Actas de la decimocuarta Sesión Plenaria</w:t>
            </w:r>
            <w:bookmarkEnd w:id="120"/>
          </w:p>
        </w:tc>
        <w:tc>
          <w:tcPr>
            <w:tcW w:w="1881" w:type="dxa"/>
          </w:tcPr>
          <w:p w14:paraId="40ACEEDA" w14:textId="77777777" w:rsidR="009A0FCF" w:rsidRPr="00BE6424" w:rsidRDefault="009A0FCF" w:rsidP="001311B8">
            <w:pPr>
              <w:pStyle w:val="Tablehead"/>
              <w:keepNext w:val="0"/>
              <w:rPr>
                <w:sz w:val="22"/>
                <w:lang w:val="es-ES_tradnl"/>
              </w:rPr>
            </w:pPr>
            <w:bookmarkStart w:id="121" w:name="lt_pId626"/>
            <w:r w:rsidRPr="00BE6424">
              <w:rPr>
                <w:sz w:val="22"/>
                <w:lang w:val="es-ES_tradnl"/>
              </w:rPr>
              <w:t>§§ 3.1 a 3.7</w:t>
            </w:r>
            <w:bookmarkEnd w:id="121"/>
          </w:p>
          <w:p w14:paraId="4553FC62" w14:textId="65998057" w:rsidR="009A0FCF" w:rsidRPr="00BE6424" w:rsidRDefault="009A0FCF" w:rsidP="001311B8">
            <w:pPr>
              <w:pStyle w:val="Tablehead"/>
              <w:keepNext w:val="0"/>
              <w:rPr>
                <w:sz w:val="22"/>
                <w:lang w:val="es-ES_tradnl"/>
              </w:rPr>
            </w:pPr>
            <w:bookmarkStart w:id="122" w:name="lt_pId627"/>
            <w:r w:rsidRPr="00BE6424">
              <w:rPr>
                <w:sz w:val="22"/>
                <w:lang w:val="es-ES_tradnl"/>
              </w:rPr>
              <w:t xml:space="preserve">Aprobación del documento </w:t>
            </w:r>
            <w:hyperlink r:id="rId55" w:history="1">
              <w:r w:rsidRPr="001C5E82">
                <w:rPr>
                  <w:rStyle w:val="Hyperlink"/>
                  <w:sz w:val="22"/>
                  <w:lang w:val="es-ES_tradnl"/>
                </w:rPr>
                <w:t>566</w:t>
              </w:r>
              <w:bookmarkEnd w:id="122"/>
            </w:hyperlink>
          </w:p>
        </w:tc>
        <w:tc>
          <w:tcPr>
            <w:tcW w:w="10762" w:type="dxa"/>
            <w:gridSpan w:val="2"/>
          </w:tcPr>
          <w:p w14:paraId="4206179D" w14:textId="2F2FC105" w:rsidR="009A0FCF" w:rsidRPr="00BE6424" w:rsidRDefault="009A0FCF" w:rsidP="00BE6424">
            <w:pPr>
              <w:pStyle w:val="Tabletext"/>
              <w:tabs>
                <w:tab w:val="clear" w:pos="1134"/>
                <w:tab w:val="clear" w:pos="2268"/>
              </w:tabs>
              <w:spacing w:before="80"/>
              <w:rPr>
                <w:sz w:val="22"/>
                <w:lang w:val="es-ES_tradnl"/>
              </w:rPr>
            </w:pPr>
            <w:bookmarkStart w:id="123" w:name="lt_pId628"/>
            <w:r w:rsidRPr="00BE6424">
              <w:rPr>
                <w:sz w:val="22"/>
                <w:lang w:val="es-ES_tradnl"/>
              </w:rPr>
              <w:t xml:space="preserve">El </w:t>
            </w:r>
            <w:r w:rsidRPr="00BE6424">
              <w:rPr>
                <w:b/>
                <w:bCs/>
                <w:sz w:val="22"/>
                <w:lang w:val="es-ES_tradnl"/>
              </w:rPr>
              <w:t>Presidente</w:t>
            </w:r>
            <w:r w:rsidRPr="00BE6424">
              <w:rPr>
                <w:sz w:val="22"/>
                <w:lang w:val="es-ES_tradnl"/>
              </w:rPr>
              <w:t xml:space="preserve"> asume que los presentes desean autorizar al Director de la BR a que proceda a incluir las correcciones señaladas en los Documentos 203, 212, 336, 340 y 456 en la próxima edición del Reglamento de Radiocomunicaciones, de conformidad con el procedimiento descrito en el Documento 566.</w:t>
            </w:r>
            <w:bookmarkEnd w:id="123"/>
          </w:p>
        </w:tc>
      </w:tr>
      <w:bookmarkEnd w:id="1"/>
    </w:tbl>
    <w:p w14:paraId="5CB8CE6D" w14:textId="77777777" w:rsidR="009A0FCF" w:rsidRPr="00BE6424" w:rsidRDefault="009A0FCF" w:rsidP="00213721">
      <w:pPr>
        <w:pStyle w:val="Reasons"/>
        <w:rPr>
          <w:lang w:val="es-ES_tradnl"/>
        </w:rPr>
      </w:pPr>
    </w:p>
    <w:p w14:paraId="38D404D7" w14:textId="77777777" w:rsidR="009A0FCF" w:rsidRPr="00BE6424" w:rsidRDefault="009A0FCF">
      <w:pPr>
        <w:jc w:val="center"/>
        <w:rPr>
          <w:lang w:val="es-ES_tradnl"/>
        </w:rPr>
      </w:pPr>
      <w:r w:rsidRPr="00BE6424">
        <w:rPr>
          <w:lang w:val="es-ES_tradnl"/>
        </w:rPr>
        <w:t>______________</w:t>
      </w:r>
    </w:p>
    <w:sectPr w:rsidR="009A0FCF" w:rsidRPr="00BE6424" w:rsidSect="009A0FCF">
      <w:headerReference w:type="even" r:id="rId56"/>
      <w:headerReference w:type="default" r:id="rId57"/>
      <w:footerReference w:type="even" r:id="rId58"/>
      <w:footerReference w:type="default" r:id="rId59"/>
      <w:headerReference w:type="first" r:id="rId60"/>
      <w:footerReference w:type="first" r:id="rId61"/>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49A06" w14:textId="77777777" w:rsidR="00C51AB2" w:rsidRDefault="00C51AB2">
      <w:r>
        <w:separator/>
      </w:r>
    </w:p>
  </w:endnote>
  <w:endnote w:type="continuationSeparator" w:id="0">
    <w:p w14:paraId="5B41DF2E" w14:textId="77777777" w:rsidR="00C51AB2" w:rsidRDefault="00C5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DCAC" w14:textId="77777777" w:rsidR="00C51AB2" w:rsidRPr="00213721" w:rsidRDefault="00C51AB2" w:rsidP="00213721">
    <w:pPr>
      <w:pStyle w:val="FirstFooter"/>
      <w:spacing w:line="240" w:lineRule="auto"/>
      <w:ind w:left="-397" w:right="-397"/>
      <w:jc w:val="center"/>
      <w:rPr>
        <w:sz w:val="18"/>
        <w:szCs w:val="18"/>
        <w:lang w:val="es-ES_tradnl"/>
      </w:rPr>
    </w:pPr>
    <w:r w:rsidRPr="00345938">
      <w:rPr>
        <w:sz w:val="18"/>
        <w:szCs w:val="18"/>
        <w:lang w:val="es-ES_tradnl"/>
      </w:rPr>
      <w:t xml:space="preserve">Unión Internacional de Telecomunicaciones • Place des </w:t>
    </w:r>
    <w:proofErr w:type="spellStart"/>
    <w:r w:rsidRPr="00345938">
      <w:rPr>
        <w:sz w:val="18"/>
        <w:szCs w:val="18"/>
        <w:lang w:val="es-ES_tradnl"/>
      </w:rPr>
      <w:t>Nations</w:t>
    </w:r>
    <w:proofErr w:type="spellEnd"/>
    <w:r w:rsidRPr="00345938">
      <w:rPr>
        <w:sz w:val="18"/>
        <w:szCs w:val="18"/>
        <w:lang w:val="es-ES_tradnl"/>
      </w:rPr>
      <w:t xml:space="preserve"> • CH</w:t>
    </w:r>
    <w:r w:rsidRPr="00345938">
      <w:rPr>
        <w:sz w:val="18"/>
        <w:szCs w:val="18"/>
        <w:lang w:val="es-ES_tradnl"/>
      </w:rPr>
      <w:noBreakHyphen/>
      <w:t>1211 Ginebra 20 • Suiza</w:t>
    </w:r>
    <w:r w:rsidRPr="00345938">
      <w:rPr>
        <w:sz w:val="18"/>
        <w:szCs w:val="18"/>
        <w:lang w:val="es-ES_tradnl"/>
      </w:rPr>
      <w:br/>
      <w:t>Tel</w:t>
    </w:r>
    <w:r>
      <w:rPr>
        <w:sz w:val="18"/>
        <w:szCs w:val="18"/>
        <w:lang w:val="es-ES_tradnl"/>
      </w:rPr>
      <w:t>.</w:t>
    </w:r>
    <w:r w:rsidRPr="00345938">
      <w:rPr>
        <w:sz w:val="18"/>
        <w:szCs w:val="18"/>
        <w:lang w:val="es-ES_tradnl"/>
      </w:rPr>
      <w:t xml:space="preserve">: +41 22 730 5111 • Correo-e: </w:t>
    </w:r>
    <w:hyperlink r:id="rId1" w:history="1">
      <w:r w:rsidRPr="00345938">
        <w:rPr>
          <w:rStyle w:val="Hyperlink"/>
          <w:sz w:val="18"/>
          <w:szCs w:val="18"/>
          <w:lang w:val="es-ES_tradnl"/>
        </w:rPr>
        <w:t>itumail@itu.int</w:t>
      </w:r>
    </w:hyperlink>
    <w:r w:rsidRPr="00345938">
      <w:rPr>
        <w:sz w:val="18"/>
        <w:szCs w:val="18"/>
        <w:lang w:val="es-ES_tradnl"/>
      </w:rPr>
      <w:t xml:space="preserve"> • </w:t>
    </w:r>
    <w:r w:rsidRPr="00733C6D">
      <w:rPr>
        <w:color w:val="3E8EDE"/>
        <w:sz w:val="18"/>
        <w:szCs w:val="18"/>
        <w:lang w:val="es-ES"/>
      </w:rPr>
      <w:t xml:space="preserve">Fax: +41 22 733 7256 </w:t>
    </w:r>
    <w:hyperlink r:id="rId2" w:history="1">
      <w:r w:rsidRPr="00345938">
        <w:rPr>
          <w:rStyle w:val="Hyperlink"/>
          <w:sz w:val="18"/>
          <w:szCs w:val="18"/>
          <w:lang w:val="es-ES_tradnl"/>
        </w:rPr>
        <w:t>www.itu.int</w:t>
      </w:r>
    </w:hyperlink>
    <w:r w:rsidRPr="00345938">
      <w:rPr>
        <w:sz w:val="18"/>
        <w:szCs w:val="18"/>
        <w:lang w:val="es-ES_trad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E0CA" w14:textId="0A5A3BAF" w:rsidR="00C51AB2" w:rsidRPr="00213721" w:rsidRDefault="00C51AB2" w:rsidP="0058757D">
    <w:pPr>
      <w:pStyle w:val="Footer"/>
      <w:overflowPunct/>
      <w:autoSpaceDE/>
      <w:autoSpaceDN/>
      <w:adjustRightInd/>
      <w:spacing w:before="40" w:after="120" w:line="240" w:lineRule="auto"/>
      <w:ind w:left="-397" w:right="-397"/>
      <w:jc w:val="left"/>
      <w:textAlignment w:val="auto"/>
      <w:rPr>
        <w:sz w:val="16"/>
        <w:szCs w:val="16"/>
        <w:lang w:val="es-ES_tradnl"/>
      </w:rPr>
    </w:pPr>
    <w:r w:rsidRPr="00213721">
      <w:rPr>
        <w:noProof/>
        <w:sz w:val="16"/>
        <w:szCs w:val="16"/>
      </w:rPr>
      <w:fldChar w:fldCharType="begin"/>
    </w:r>
    <w:r w:rsidRPr="00213721">
      <w:rPr>
        <w:noProof/>
        <w:sz w:val="16"/>
        <w:szCs w:val="16"/>
        <w:lang w:val="es-ES_tradnl"/>
      </w:rPr>
      <w:instrText xml:space="preserve"> FILENAME \p  \* MERGEFORMAT </w:instrText>
    </w:r>
    <w:r w:rsidRPr="00213721">
      <w:rPr>
        <w:noProof/>
        <w:sz w:val="16"/>
        <w:szCs w:val="16"/>
      </w:rPr>
      <w:fldChar w:fldCharType="separate"/>
    </w:r>
    <w:r w:rsidR="009E7741">
      <w:rPr>
        <w:noProof/>
        <w:sz w:val="16"/>
        <w:szCs w:val="16"/>
        <w:lang w:val="es-ES_tradnl"/>
      </w:rPr>
      <w:t>P:\ESP\ITU-R\BR\DIR\CR\400\456S.docx</w:t>
    </w:r>
    <w:r w:rsidRPr="00213721">
      <w:rPr>
        <w:noProof/>
        <w:sz w:val="16"/>
        <w:szCs w:val="16"/>
      </w:rPr>
      <w:fldChar w:fldCharType="end"/>
    </w:r>
    <w:r w:rsidRPr="00213721">
      <w:rPr>
        <w:noProof/>
        <w:sz w:val="16"/>
        <w:szCs w:val="16"/>
        <w:lang w:val="es-ES_tradnl"/>
      </w:rPr>
      <w:t xml:space="preserve"> (468863)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8A7AD" w14:textId="02B9D10C" w:rsidR="00C51AB2" w:rsidRPr="00213721" w:rsidRDefault="00C51AB2" w:rsidP="0058757D">
    <w:pPr>
      <w:pStyle w:val="Footer"/>
      <w:overflowPunct/>
      <w:autoSpaceDE/>
      <w:autoSpaceDN/>
      <w:adjustRightInd/>
      <w:spacing w:before="40" w:after="120" w:line="240" w:lineRule="auto"/>
      <w:ind w:left="-397" w:right="-397"/>
      <w:jc w:val="left"/>
      <w:textAlignment w:val="auto"/>
      <w:rPr>
        <w:sz w:val="16"/>
        <w:szCs w:val="16"/>
        <w:lang w:val="es-ES_tradnl"/>
      </w:rPr>
    </w:pPr>
    <w:r w:rsidRPr="00213721">
      <w:rPr>
        <w:noProof/>
        <w:sz w:val="16"/>
        <w:szCs w:val="16"/>
      </w:rPr>
      <w:fldChar w:fldCharType="begin"/>
    </w:r>
    <w:r w:rsidRPr="00213721">
      <w:rPr>
        <w:noProof/>
        <w:sz w:val="16"/>
        <w:szCs w:val="16"/>
        <w:lang w:val="es-ES_tradnl"/>
      </w:rPr>
      <w:instrText xml:space="preserve"> FILENAME \p  \* MERGEFORMAT </w:instrText>
    </w:r>
    <w:r w:rsidRPr="00213721">
      <w:rPr>
        <w:noProof/>
        <w:sz w:val="16"/>
        <w:szCs w:val="16"/>
      </w:rPr>
      <w:fldChar w:fldCharType="separate"/>
    </w:r>
    <w:r w:rsidR="009E7741">
      <w:rPr>
        <w:noProof/>
        <w:sz w:val="16"/>
        <w:szCs w:val="16"/>
        <w:lang w:val="es-ES_tradnl"/>
      </w:rPr>
      <w:t>P:\ESP\ITU-R\BR\DIR\CR\400\456S.docx</w:t>
    </w:r>
    <w:r w:rsidRPr="00213721">
      <w:rPr>
        <w:noProof/>
        <w:sz w:val="16"/>
        <w:szCs w:val="16"/>
      </w:rPr>
      <w:fldChar w:fldCharType="end"/>
    </w:r>
    <w:r w:rsidRPr="00213721">
      <w:rPr>
        <w:noProof/>
        <w:sz w:val="16"/>
        <w:szCs w:val="16"/>
        <w:lang w:val="es-ES_tradnl"/>
      </w:rPr>
      <w:t xml:space="preserve"> (468863)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52E79" w14:textId="55C29ED7" w:rsidR="00C51AB2" w:rsidRPr="00257BE7" w:rsidRDefault="00C51AB2" w:rsidP="0058757D">
    <w:pPr>
      <w:pStyle w:val="FirstFooter"/>
      <w:spacing w:after="120" w:line="240" w:lineRule="auto"/>
      <w:ind w:left="-397" w:right="-397"/>
      <w:rPr>
        <w:sz w:val="18"/>
        <w:szCs w:val="18"/>
        <w:lang w:val="es-ES"/>
      </w:rPr>
    </w:pPr>
    <w:r w:rsidRPr="00213721">
      <w:rPr>
        <w:noProof/>
        <w:szCs w:val="16"/>
      </w:rPr>
      <w:fldChar w:fldCharType="begin"/>
    </w:r>
    <w:r w:rsidRPr="00213721">
      <w:rPr>
        <w:noProof/>
        <w:szCs w:val="16"/>
        <w:lang w:val="es-ES_tradnl"/>
      </w:rPr>
      <w:instrText xml:space="preserve"> FILENAME \p  \* MERGEFORMAT </w:instrText>
    </w:r>
    <w:r w:rsidRPr="00213721">
      <w:rPr>
        <w:noProof/>
        <w:szCs w:val="16"/>
      </w:rPr>
      <w:fldChar w:fldCharType="separate"/>
    </w:r>
    <w:r w:rsidR="009E7741">
      <w:rPr>
        <w:noProof/>
        <w:szCs w:val="16"/>
        <w:lang w:val="es-ES_tradnl"/>
      </w:rPr>
      <w:t>P:\ESP\ITU-R\BR\DIR\CR\400\456S.docx</w:t>
    </w:r>
    <w:r w:rsidRPr="00213721">
      <w:rPr>
        <w:noProof/>
        <w:szCs w:val="16"/>
      </w:rPr>
      <w:fldChar w:fldCharType="end"/>
    </w:r>
    <w:r w:rsidRPr="00213721">
      <w:rPr>
        <w:noProof/>
        <w:szCs w:val="16"/>
        <w:lang w:val="es-ES_tradnl"/>
      </w:rPr>
      <w:t xml:space="preserve"> (468863)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188F" w14:textId="77777777" w:rsidR="00C51AB2" w:rsidRDefault="00C51AB2">
      <w:r>
        <w:t>____________________</w:t>
      </w:r>
    </w:p>
  </w:footnote>
  <w:footnote w:type="continuationSeparator" w:id="0">
    <w:p w14:paraId="33236213" w14:textId="77777777" w:rsidR="00C51AB2" w:rsidRDefault="00C51AB2">
      <w:r>
        <w:continuationSeparator/>
      </w:r>
    </w:p>
  </w:footnote>
  <w:footnote w:id="1">
    <w:p w14:paraId="05E54D7D" w14:textId="6ACA3ACA" w:rsidR="00C51AB2" w:rsidRPr="009A0FCF" w:rsidRDefault="00C51AB2" w:rsidP="00213721">
      <w:pPr>
        <w:pStyle w:val="FootnoteText"/>
        <w:rPr>
          <w:rFonts w:asciiTheme="minorHAnsi" w:hAnsiTheme="minorHAnsi" w:cstheme="minorHAnsi"/>
          <w:i/>
          <w:iCs/>
          <w:szCs w:val="20"/>
          <w:lang w:val="es-ES_tradnl"/>
        </w:rPr>
      </w:pPr>
      <w:r w:rsidRPr="005A4528">
        <w:rPr>
          <w:rStyle w:val="FootnoteReference"/>
        </w:rPr>
        <w:footnoteRef/>
      </w:r>
      <w:bookmarkStart w:id="17" w:name="lt_pId629"/>
      <w:r w:rsidR="00083A51">
        <w:rPr>
          <w:lang w:val="es-ES_tradnl"/>
        </w:rPr>
        <w:tab/>
      </w:r>
      <w:r w:rsidRPr="005A4528">
        <w:rPr>
          <w:i/>
          <w:iCs/>
          <w:lang w:val="es-ES_tradnl"/>
        </w:rPr>
        <w:t>Nota de la BR:</w:t>
      </w:r>
      <w:bookmarkEnd w:id="17"/>
      <w:r w:rsidRPr="005A4528">
        <w:rPr>
          <w:i/>
          <w:iCs/>
          <w:lang w:val="es-ES_tradnl"/>
        </w:rPr>
        <w:t xml:space="preserve"> </w:t>
      </w:r>
      <w:bookmarkStart w:id="18" w:name="lt_pId630"/>
      <w:r w:rsidRPr="005A4528">
        <w:rPr>
          <w:i/>
          <w:iCs/>
          <w:lang w:val="es-ES_tradnl"/>
        </w:rPr>
        <w:t>esta banda de frecuencia</w:t>
      </w:r>
      <w:r w:rsidR="00384EC0">
        <w:rPr>
          <w:i/>
          <w:iCs/>
          <w:lang w:val="es-ES_tradnl"/>
        </w:rPr>
        <w:t>s</w:t>
      </w:r>
      <w:r w:rsidRPr="005A4528">
        <w:rPr>
          <w:i/>
          <w:iCs/>
          <w:lang w:val="es-ES_tradnl"/>
        </w:rPr>
        <w:t xml:space="preserve"> ya no está sujeta a lo dispuesto en el número </w:t>
      </w:r>
      <w:r w:rsidRPr="005A4528">
        <w:rPr>
          <w:b/>
          <w:bCs/>
          <w:i/>
          <w:iCs/>
          <w:lang w:val="es-ES_tradnl"/>
        </w:rPr>
        <w:t>9.19</w:t>
      </w:r>
      <w:r w:rsidRPr="005A4528">
        <w:rPr>
          <w:i/>
          <w:iCs/>
          <w:lang w:val="es-ES_tradnl"/>
        </w:rPr>
        <w:t xml:space="preserve">, al haberse suprimido el número </w:t>
      </w:r>
      <w:r w:rsidRPr="005A4528">
        <w:rPr>
          <w:b/>
          <w:bCs/>
          <w:i/>
          <w:iCs/>
          <w:lang w:val="es-ES_tradnl"/>
        </w:rPr>
        <w:t>5.311A</w:t>
      </w:r>
      <w:r w:rsidRPr="005A4528">
        <w:rPr>
          <w:i/>
          <w:iCs/>
          <w:lang w:val="es-ES_tradnl"/>
        </w:rPr>
        <w:t xml:space="preserve"> y la Resolución </w:t>
      </w:r>
      <w:r w:rsidRPr="005A4528">
        <w:rPr>
          <w:rFonts w:asciiTheme="minorHAnsi" w:hAnsiTheme="minorHAnsi" w:cstheme="minorHAnsi"/>
          <w:b/>
          <w:bCs/>
          <w:i/>
          <w:iCs/>
          <w:szCs w:val="20"/>
          <w:lang w:val="es-ES_tradnl" w:eastAsia="zh-CN"/>
        </w:rPr>
        <w:t>549 (CMR-07)</w:t>
      </w:r>
      <w:bookmarkEnd w:id="18"/>
      <w:r w:rsidR="00384EC0">
        <w:rPr>
          <w:rFonts w:asciiTheme="minorHAnsi" w:hAnsiTheme="minorHAnsi" w:cstheme="minorHAnsi"/>
          <w:b/>
          <w:bCs/>
          <w:i/>
          <w:iCs/>
          <w:szCs w:val="20"/>
          <w:lang w:val="es-ES_tradnl" w:eastAsia="zh-CN"/>
        </w:rPr>
        <w:t>.</w:t>
      </w:r>
    </w:p>
  </w:footnote>
  <w:footnote w:id="2">
    <w:p w14:paraId="0EAAEACB" w14:textId="06644BED" w:rsidR="00C51AB2" w:rsidRPr="00DB171A" w:rsidRDefault="00C51AB2">
      <w:pPr>
        <w:pStyle w:val="FootnoteText"/>
        <w:rPr>
          <w:i/>
          <w:iCs/>
          <w:lang w:val="es-ES_tradnl"/>
        </w:rPr>
      </w:pPr>
      <w:r>
        <w:rPr>
          <w:rStyle w:val="FootnoteReference"/>
        </w:rPr>
        <w:footnoteRef/>
      </w:r>
      <w:r w:rsidR="00DB171A" w:rsidRPr="00DB171A">
        <w:rPr>
          <w:lang w:val="es-ES"/>
        </w:rPr>
        <w:tab/>
      </w:r>
      <w:r w:rsidRPr="00DB171A">
        <w:rPr>
          <w:i/>
          <w:iCs/>
          <w:lang w:val="es-ES_tradnl"/>
        </w:rPr>
        <w:t>Not</w:t>
      </w:r>
      <w:r w:rsidR="00DB171A" w:rsidRPr="00DB171A">
        <w:rPr>
          <w:i/>
          <w:iCs/>
          <w:lang w:val="es-ES_tradnl"/>
        </w:rPr>
        <w:t>a</w:t>
      </w:r>
      <w:r w:rsidRPr="00DB171A">
        <w:rPr>
          <w:i/>
          <w:iCs/>
          <w:lang w:val="es-ES_tradnl"/>
        </w:rPr>
        <w:t xml:space="preserve"> </w:t>
      </w:r>
      <w:r w:rsidR="00DB171A" w:rsidRPr="00DB171A">
        <w:rPr>
          <w:i/>
          <w:iCs/>
          <w:lang w:val="es-ES_tradnl"/>
        </w:rPr>
        <w:t>de la</w:t>
      </w:r>
      <w:r w:rsidRPr="00DB171A">
        <w:rPr>
          <w:i/>
          <w:iCs/>
          <w:lang w:val="es-ES_tradnl"/>
        </w:rPr>
        <w:t xml:space="preserve"> BR:</w:t>
      </w:r>
      <w:r w:rsidR="00592E45">
        <w:rPr>
          <w:i/>
          <w:iCs/>
          <w:lang w:val="es-ES_tradnl"/>
        </w:rPr>
        <w:t xml:space="preserve"> Los</w:t>
      </w:r>
      <w:r w:rsidRPr="00DB171A">
        <w:rPr>
          <w:i/>
          <w:iCs/>
          <w:lang w:val="es-ES_tradnl"/>
        </w:rPr>
        <w:t xml:space="preserve"> Document</w:t>
      </w:r>
      <w:r w:rsidR="00DB171A" w:rsidRPr="00DB171A">
        <w:rPr>
          <w:i/>
          <w:iCs/>
          <w:lang w:val="es-ES_tradnl"/>
        </w:rPr>
        <w:t>o</w:t>
      </w:r>
      <w:r w:rsidRPr="00DB171A">
        <w:rPr>
          <w:i/>
          <w:iCs/>
          <w:lang w:val="es-ES_tradnl"/>
        </w:rPr>
        <w:t xml:space="preserve">s CMR19/518 </w:t>
      </w:r>
      <w:r w:rsidR="00DB171A" w:rsidRPr="00DB171A">
        <w:rPr>
          <w:i/>
          <w:iCs/>
          <w:lang w:val="es-ES_tradnl"/>
        </w:rPr>
        <w:t>y</w:t>
      </w:r>
      <w:r w:rsidRPr="00DB171A">
        <w:rPr>
          <w:i/>
          <w:iCs/>
          <w:lang w:val="es-ES_tradnl"/>
        </w:rPr>
        <w:t xml:space="preserve"> CMR19/571 conti</w:t>
      </w:r>
      <w:r w:rsidR="00DB171A" w:rsidRPr="00DB171A">
        <w:rPr>
          <w:i/>
          <w:iCs/>
          <w:lang w:val="es-ES_tradnl"/>
        </w:rPr>
        <w:t>ene</w:t>
      </w:r>
      <w:r w:rsidRPr="00DB171A">
        <w:rPr>
          <w:i/>
          <w:iCs/>
          <w:lang w:val="es-ES_tradnl"/>
        </w:rPr>
        <w:t xml:space="preserve">n </w:t>
      </w:r>
      <w:r w:rsidR="00DB171A" w:rsidRPr="00DB171A">
        <w:rPr>
          <w:i/>
          <w:iCs/>
          <w:lang w:val="es-ES_tradnl"/>
        </w:rPr>
        <w:t>un error tipográfic</w:t>
      </w:r>
      <w:r w:rsidR="00DB171A">
        <w:rPr>
          <w:i/>
          <w:iCs/>
          <w:lang w:val="es-ES_tradnl"/>
        </w:rPr>
        <w:t xml:space="preserve">o relativo a este valor, que debería ser de </w:t>
      </w:r>
      <w:r w:rsidRPr="00DB171A">
        <w:rPr>
          <w:i/>
          <w:iCs/>
          <w:lang w:val="es-ES"/>
        </w:rPr>
        <w:t>35</w:t>
      </w:r>
      <w:r w:rsidR="00DB171A">
        <w:rPr>
          <w:i/>
          <w:iCs/>
          <w:lang w:val="es-ES"/>
        </w:rPr>
        <w:t>,</w:t>
      </w:r>
      <w:r w:rsidRPr="00DB171A">
        <w:rPr>
          <w:i/>
          <w:iCs/>
          <w:lang w:val="es-ES"/>
        </w:rPr>
        <w:t xml:space="preserve">5 dBi </w:t>
      </w:r>
      <w:r w:rsidR="00DB171A">
        <w:rPr>
          <w:i/>
          <w:iCs/>
          <w:lang w:val="es-ES"/>
        </w:rPr>
        <w:t>en lugar de</w:t>
      </w:r>
      <w:r w:rsidRPr="00DB171A">
        <w:rPr>
          <w:i/>
          <w:iCs/>
          <w:lang w:val="es-ES"/>
        </w:rPr>
        <w:t xml:space="preserve"> 33</w:t>
      </w:r>
      <w:r w:rsidR="00DB171A">
        <w:rPr>
          <w:i/>
          <w:iCs/>
          <w:lang w:val="es-ES"/>
        </w:rPr>
        <w:t>,</w:t>
      </w:r>
      <w:r w:rsidRPr="00DB171A">
        <w:rPr>
          <w:i/>
          <w:iCs/>
          <w:lang w:val="es-ES"/>
        </w:rPr>
        <w:t xml:space="preserve">5 dBi </w:t>
      </w:r>
      <w:r w:rsidR="00DB171A">
        <w:rPr>
          <w:i/>
          <w:iCs/>
          <w:lang w:val="es-ES"/>
        </w:rPr>
        <w:t>dado que el diámetro de la antena es de</w:t>
      </w:r>
      <w:r w:rsidRPr="00DB171A">
        <w:rPr>
          <w:i/>
          <w:iCs/>
          <w:lang w:val="es-ES"/>
        </w:rPr>
        <w:t xml:space="preserve"> 0</w:t>
      </w:r>
      <w:r w:rsidR="00DB171A">
        <w:rPr>
          <w:i/>
          <w:iCs/>
          <w:lang w:val="es-ES"/>
        </w:rPr>
        <w:t>,</w:t>
      </w:r>
      <w:r w:rsidRPr="00DB171A">
        <w:rPr>
          <w:i/>
          <w:iCs/>
          <w:lang w:val="es-ES"/>
        </w:rPr>
        <w:t>6 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25BD" w14:textId="77777777" w:rsidR="00C51AB2" w:rsidRPr="00733C6D" w:rsidRDefault="00C51AB2" w:rsidP="00213721">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6</w:t>
    </w:r>
    <w:r w:rsidRPr="000D79FA">
      <w:rPr>
        <w:sz w:val="18"/>
        <w:szCs w:val="18"/>
      </w:rPr>
      <w:fldChar w:fldCharType="end"/>
    </w:r>
    <w:r w:rsidRPr="000D79FA">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D76" w14:textId="77777777" w:rsidR="00C51AB2" w:rsidRPr="000D79FA" w:rsidRDefault="00C51AB2" w:rsidP="00213721">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21</w:t>
    </w:r>
    <w:r w:rsidRPr="000D79FA">
      <w:rPr>
        <w:sz w:val="18"/>
        <w:szCs w:val="18"/>
      </w:rPr>
      <w:fldChar w:fldCharType="end"/>
    </w:r>
    <w:r w:rsidRPr="000D79FA">
      <w:rPr>
        <w:sz w:val="18"/>
        <w:szCs w:val="18"/>
      </w:rPr>
      <w:t xml:space="preserve"> -</w:t>
    </w:r>
  </w:p>
  <w:p w14:paraId="5BCF501A" w14:textId="77777777" w:rsidR="00C51AB2" w:rsidRDefault="00C51A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C51AB2" w:rsidRPr="00733C6D" w14:paraId="1B67C5E8" w14:textId="77777777" w:rsidTr="00213721">
      <w:tc>
        <w:tcPr>
          <w:tcW w:w="9955" w:type="dxa"/>
          <w:noWrap/>
          <w:tcMar>
            <w:left w:w="0" w:type="dxa"/>
          </w:tcMar>
        </w:tcPr>
        <w:p w14:paraId="4379315E" w14:textId="77777777" w:rsidR="00C51AB2" w:rsidRPr="00733C6D" w:rsidRDefault="00C51AB2" w:rsidP="00213721">
          <w:pPr>
            <w:tabs>
              <w:tab w:val="clear" w:pos="1191"/>
              <w:tab w:val="clear" w:pos="1588"/>
              <w:tab w:val="clear" w:pos="1985"/>
              <w:tab w:val="center" w:pos="4820"/>
              <w:tab w:val="center" w:pos="9639"/>
            </w:tabs>
            <w:spacing w:before="120" w:line="360" w:lineRule="auto"/>
            <w:jc w:val="center"/>
            <w:rPr>
              <w:sz w:val="22"/>
            </w:rPr>
          </w:pPr>
          <w:r w:rsidRPr="00733C6D">
            <w:rPr>
              <w:noProof/>
              <w:color w:val="3399FF"/>
              <w:sz w:val="22"/>
              <w:lang w:val="en-GB" w:eastAsia="zh-CN"/>
            </w:rPr>
            <w:drawing>
              <wp:inline distT="0" distB="0" distL="0" distR="0" wp14:anchorId="6F27E4C1" wp14:editId="687FB23A">
                <wp:extent cx="838200" cy="838200"/>
                <wp:effectExtent l="0" t="0" r="0" b="0"/>
                <wp:docPr id="21" name="Picture 2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6539"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bl>
  <w:p w14:paraId="77201830" w14:textId="77777777" w:rsidR="00C51AB2" w:rsidRPr="00EA15B3" w:rsidRDefault="00C51AB2" w:rsidP="00213721">
    <w:pPr>
      <w:pStyle w:val="Header"/>
      <w:spacing w:line="36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D118" w14:textId="77777777" w:rsidR="00C51AB2" w:rsidRPr="00D239B4" w:rsidRDefault="00C51AB2" w:rsidP="009A0FCF">
    <w:pPr>
      <w:pStyle w:val="Header"/>
      <w:jc w:val="center"/>
      <w:rPr>
        <w:sz w:val="18"/>
        <w:szCs w:val="16"/>
      </w:rPr>
    </w:pPr>
    <w:r w:rsidRPr="009A0FCF">
      <w:rPr>
        <w:sz w:val="18"/>
        <w:szCs w:val="16"/>
      </w:rPr>
      <w:t xml:space="preserve">- </w:t>
    </w:r>
    <w:r w:rsidRPr="009A0FCF">
      <w:rPr>
        <w:sz w:val="18"/>
        <w:szCs w:val="16"/>
      </w:rPr>
      <w:fldChar w:fldCharType="begin"/>
    </w:r>
    <w:r w:rsidRPr="009A0FCF">
      <w:rPr>
        <w:sz w:val="18"/>
        <w:szCs w:val="16"/>
      </w:rPr>
      <w:instrText xml:space="preserve"> PAGE  \* MERGEFORMAT </w:instrText>
    </w:r>
    <w:r w:rsidRPr="009A0FCF">
      <w:rPr>
        <w:sz w:val="18"/>
        <w:szCs w:val="16"/>
      </w:rPr>
      <w:fldChar w:fldCharType="separate"/>
    </w:r>
    <w:r w:rsidRPr="009A0FCF">
      <w:rPr>
        <w:sz w:val="18"/>
        <w:szCs w:val="16"/>
      </w:rPr>
      <w:t>3</w:t>
    </w:r>
    <w:r w:rsidRPr="009A0FCF">
      <w:rPr>
        <w:sz w:val="18"/>
        <w:szCs w:val="16"/>
      </w:rPr>
      <w:fldChar w:fldCharType="end"/>
    </w:r>
    <w:r w:rsidRPr="009A0FCF">
      <w:rPr>
        <w:sz w:val="18"/>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2303" w14:textId="77777777" w:rsidR="00C51AB2" w:rsidRPr="009A0FCF" w:rsidRDefault="00C51AB2" w:rsidP="009A0FCF">
    <w:pPr>
      <w:pStyle w:val="Header"/>
      <w:jc w:val="center"/>
      <w:rPr>
        <w:iCs/>
        <w:sz w:val="18"/>
        <w:szCs w:val="18"/>
      </w:rPr>
    </w:pPr>
    <w:r w:rsidRPr="009A0FCF">
      <w:rPr>
        <w:iCs/>
        <w:sz w:val="18"/>
        <w:szCs w:val="18"/>
      </w:rPr>
      <w:t xml:space="preserve">- </w:t>
    </w:r>
    <w:r w:rsidRPr="009A0FCF">
      <w:rPr>
        <w:iCs/>
        <w:sz w:val="18"/>
        <w:szCs w:val="18"/>
      </w:rPr>
      <w:fldChar w:fldCharType="begin"/>
    </w:r>
    <w:r w:rsidRPr="009A0FCF">
      <w:rPr>
        <w:iCs/>
        <w:sz w:val="18"/>
        <w:szCs w:val="18"/>
      </w:rPr>
      <w:instrText xml:space="preserve"> PAGE  \* MERGEFORMAT </w:instrText>
    </w:r>
    <w:r w:rsidRPr="009A0FCF">
      <w:rPr>
        <w:iCs/>
        <w:sz w:val="18"/>
        <w:szCs w:val="18"/>
      </w:rPr>
      <w:fldChar w:fldCharType="separate"/>
    </w:r>
    <w:r w:rsidRPr="009A0FCF">
      <w:rPr>
        <w:iCs/>
        <w:sz w:val="18"/>
        <w:szCs w:val="18"/>
      </w:rPr>
      <w:t>3</w:t>
    </w:r>
    <w:r w:rsidRPr="009A0FCF">
      <w:rPr>
        <w:iCs/>
        <w:sz w:val="18"/>
        <w:szCs w:val="18"/>
      </w:rPr>
      <w:fldChar w:fldCharType="end"/>
    </w:r>
    <w:r w:rsidRPr="009A0FCF">
      <w:rPr>
        <w:iCs/>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399166420"/>
      <w:docPartObj>
        <w:docPartGallery w:val="Page Numbers (Top of Page)"/>
        <w:docPartUnique/>
      </w:docPartObj>
    </w:sdtPr>
    <w:sdtEndPr>
      <w:rPr>
        <w:noProof/>
      </w:rPr>
    </w:sdtEndPr>
    <w:sdtContent>
      <w:p w14:paraId="2D3E1E5E" w14:textId="77777777" w:rsidR="00C51AB2" w:rsidRPr="009A0FCF" w:rsidRDefault="00C51AB2">
        <w:pPr>
          <w:pStyle w:val="Header"/>
          <w:jc w:val="center"/>
          <w:rPr>
            <w:sz w:val="18"/>
            <w:szCs w:val="18"/>
          </w:rPr>
        </w:pPr>
        <w:r w:rsidRPr="009A0FCF">
          <w:rPr>
            <w:sz w:val="18"/>
            <w:szCs w:val="18"/>
          </w:rPr>
          <w:t xml:space="preserve">- </w:t>
        </w:r>
        <w:r w:rsidRPr="009A0FCF">
          <w:rPr>
            <w:sz w:val="18"/>
            <w:szCs w:val="18"/>
          </w:rPr>
          <w:fldChar w:fldCharType="begin"/>
        </w:r>
        <w:r w:rsidRPr="009A0FCF">
          <w:rPr>
            <w:sz w:val="18"/>
            <w:szCs w:val="18"/>
          </w:rPr>
          <w:instrText xml:space="preserve"> PAGE  \* MERGEFORMAT </w:instrText>
        </w:r>
        <w:r w:rsidRPr="009A0FCF">
          <w:rPr>
            <w:sz w:val="18"/>
            <w:szCs w:val="18"/>
          </w:rPr>
          <w:fldChar w:fldCharType="separate"/>
        </w:r>
        <w:r w:rsidRPr="009A0FCF">
          <w:rPr>
            <w:sz w:val="18"/>
            <w:szCs w:val="18"/>
          </w:rPr>
          <w:t>3</w:t>
        </w:r>
        <w:r w:rsidRPr="009A0FCF">
          <w:rPr>
            <w:sz w:val="18"/>
            <w:szCs w:val="18"/>
          </w:rPr>
          <w:fldChar w:fldCharType="end"/>
        </w:r>
        <w:r w:rsidRPr="009A0FCF">
          <w:rPr>
            <w:sz w:val="18"/>
            <w:szCs w:val="18"/>
          </w:rPr>
          <w:t xml:space="preserve"> -</w:t>
        </w:r>
      </w:p>
    </w:sdtContent>
  </w:sdt>
  <w:p w14:paraId="431FD3F7" w14:textId="77777777" w:rsidR="00C51AB2" w:rsidRPr="009A0FCF" w:rsidRDefault="00C51AB2" w:rsidP="001B3D4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BF28E3D0">
      <w:start w:val="1"/>
      <w:numFmt w:val="decimal"/>
      <w:lvlText w:val="%1"/>
      <w:lvlJc w:val="left"/>
      <w:pPr>
        <w:ind w:left="720" w:hanging="360"/>
      </w:pPr>
      <w:rPr>
        <w:rFonts w:hint="default"/>
      </w:rPr>
    </w:lvl>
    <w:lvl w:ilvl="1" w:tplc="3C1C8FFA" w:tentative="1">
      <w:start w:val="1"/>
      <w:numFmt w:val="lowerLetter"/>
      <w:lvlText w:val="%2."/>
      <w:lvlJc w:val="left"/>
      <w:pPr>
        <w:ind w:left="1440" w:hanging="360"/>
      </w:pPr>
    </w:lvl>
    <w:lvl w:ilvl="2" w:tplc="EB2EFB36" w:tentative="1">
      <w:start w:val="1"/>
      <w:numFmt w:val="lowerRoman"/>
      <w:lvlText w:val="%3."/>
      <w:lvlJc w:val="right"/>
      <w:pPr>
        <w:ind w:left="2160" w:hanging="180"/>
      </w:pPr>
    </w:lvl>
    <w:lvl w:ilvl="3" w:tplc="E1864F82" w:tentative="1">
      <w:start w:val="1"/>
      <w:numFmt w:val="decimal"/>
      <w:lvlText w:val="%4."/>
      <w:lvlJc w:val="left"/>
      <w:pPr>
        <w:ind w:left="2880" w:hanging="360"/>
      </w:pPr>
    </w:lvl>
    <w:lvl w:ilvl="4" w:tplc="C2D62B42" w:tentative="1">
      <w:start w:val="1"/>
      <w:numFmt w:val="lowerLetter"/>
      <w:lvlText w:val="%5."/>
      <w:lvlJc w:val="left"/>
      <w:pPr>
        <w:ind w:left="3600" w:hanging="360"/>
      </w:pPr>
    </w:lvl>
    <w:lvl w:ilvl="5" w:tplc="E91C5E04" w:tentative="1">
      <w:start w:val="1"/>
      <w:numFmt w:val="lowerRoman"/>
      <w:lvlText w:val="%6."/>
      <w:lvlJc w:val="right"/>
      <w:pPr>
        <w:ind w:left="4320" w:hanging="180"/>
      </w:pPr>
    </w:lvl>
    <w:lvl w:ilvl="6" w:tplc="38DA8AD6" w:tentative="1">
      <w:start w:val="1"/>
      <w:numFmt w:val="decimal"/>
      <w:lvlText w:val="%7."/>
      <w:lvlJc w:val="left"/>
      <w:pPr>
        <w:ind w:left="5040" w:hanging="360"/>
      </w:pPr>
    </w:lvl>
    <w:lvl w:ilvl="7" w:tplc="BAC483B0" w:tentative="1">
      <w:start w:val="1"/>
      <w:numFmt w:val="lowerLetter"/>
      <w:lvlText w:val="%8."/>
      <w:lvlJc w:val="left"/>
      <w:pPr>
        <w:ind w:left="5760" w:hanging="360"/>
      </w:pPr>
    </w:lvl>
    <w:lvl w:ilvl="8" w:tplc="9A5E6EE0" w:tentative="1">
      <w:start w:val="1"/>
      <w:numFmt w:val="lowerRoman"/>
      <w:lvlText w:val="%9."/>
      <w:lvlJc w:val="right"/>
      <w:pPr>
        <w:ind w:left="6480" w:hanging="180"/>
      </w:pPr>
    </w:lvl>
  </w:abstractNum>
  <w:abstractNum w:abstractNumId="5" w15:restartNumberingAfterBreak="0">
    <w:nsid w:val="05AC3ECA"/>
    <w:multiLevelType w:val="hybridMultilevel"/>
    <w:tmpl w:val="782489BE"/>
    <w:lvl w:ilvl="0" w:tplc="31DE5B3C">
      <w:numFmt w:val="bullet"/>
      <w:lvlText w:val="-"/>
      <w:lvlJc w:val="left"/>
      <w:pPr>
        <w:ind w:left="720" w:hanging="360"/>
      </w:pPr>
      <w:rPr>
        <w:rFonts w:ascii="Calibri" w:eastAsiaTheme="minorEastAsia" w:hAnsi="Calibri" w:cs="Calibri" w:hint="default"/>
      </w:rPr>
    </w:lvl>
    <w:lvl w:ilvl="1" w:tplc="920AFF08" w:tentative="1">
      <w:start w:val="1"/>
      <w:numFmt w:val="bullet"/>
      <w:lvlText w:val="o"/>
      <w:lvlJc w:val="left"/>
      <w:pPr>
        <w:ind w:left="1440" w:hanging="360"/>
      </w:pPr>
      <w:rPr>
        <w:rFonts w:ascii="Courier New" w:hAnsi="Courier New" w:cs="Courier New" w:hint="default"/>
      </w:rPr>
    </w:lvl>
    <w:lvl w:ilvl="2" w:tplc="873C9B16" w:tentative="1">
      <w:start w:val="1"/>
      <w:numFmt w:val="bullet"/>
      <w:lvlText w:val=""/>
      <w:lvlJc w:val="left"/>
      <w:pPr>
        <w:ind w:left="2160" w:hanging="360"/>
      </w:pPr>
      <w:rPr>
        <w:rFonts w:ascii="Wingdings" w:hAnsi="Wingdings" w:hint="default"/>
      </w:rPr>
    </w:lvl>
    <w:lvl w:ilvl="3" w:tplc="174E5794" w:tentative="1">
      <w:start w:val="1"/>
      <w:numFmt w:val="bullet"/>
      <w:lvlText w:val=""/>
      <w:lvlJc w:val="left"/>
      <w:pPr>
        <w:ind w:left="2880" w:hanging="360"/>
      </w:pPr>
      <w:rPr>
        <w:rFonts w:ascii="Symbol" w:hAnsi="Symbol" w:hint="default"/>
      </w:rPr>
    </w:lvl>
    <w:lvl w:ilvl="4" w:tplc="5C72F3E2" w:tentative="1">
      <w:start w:val="1"/>
      <w:numFmt w:val="bullet"/>
      <w:lvlText w:val="o"/>
      <w:lvlJc w:val="left"/>
      <w:pPr>
        <w:ind w:left="3600" w:hanging="360"/>
      </w:pPr>
      <w:rPr>
        <w:rFonts w:ascii="Courier New" w:hAnsi="Courier New" w:cs="Courier New" w:hint="default"/>
      </w:rPr>
    </w:lvl>
    <w:lvl w:ilvl="5" w:tplc="DA6289B4" w:tentative="1">
      <w:start w:val="1"/>
      <w:numFmt w:val="bullet"/>
      <w:lvlText w:val=""/>
      <w:lvlJc w:val="left"/>
      <w:pPr>
        <w:ind w:left="4320" w:hanging="360"/>
      </w:pPr>
      <w:rPr>
        <w:rFonts w:ascii="Wingdings" w:hAnsi="Wingdings" w:hint="default"/>
      </w:rPr>
    </w:lvl>
    <w:lvl w:ilvl="6" w:tplc="29E6C770" w:tentative="1">
      <w:start w:val="1"/>
      <w:numFmt w:val="bullet"/>
      <w:lvlText w:val=""/>
      <w:lvlJc w:val="left"/>
      <w:pPr>
        <w:ind w:left="5040" w:hanging="360"/>
      </w:pPr>
      <w:rPr>
        <w:rFonts w:ascii="Symbol" w:hAnsi="Symbol" w:hint="default"/>
      </w:rPr>
    </w:lvl>
    <w:lvl w:ilvl="7" w:tplc="9826782E" w:tentative="1">
      <w:start w:val="1"/>
      <w:numFmt w:val="bullet"/>
      <w:lvlText w:val="o"/>
      <w:lvlJc w:val="left"/>
      <w:pPr>
        <w:ind w:left="5760" w:hanging="360"/>
      </w:pPr>
      <w:rPr>
        <w:rFonts w:ascii="Courier New" w:hAnsi="Courier New" w:cs="Courier New" w:hint="default"/>
      </w:rPr>
    </w:lvl>
    <w:lvl w:ilvl="8" w:tplc="0A942BA4" w:tentative="1">
      <w:start w:val="1"/>
      <w:numFmt w:val="bullet"/>
      <w:lvlText w:val=""/>
      <w:lvlJc w:val="left"/>
      <w:pPr>
        <w:ind w:left="6480" w:hanging="360"/>
      </w:pPr>
      <w:rPr>
        <w:rFonts w:ascii="Wingdings" w:hAnsi="Wingdings" w:hint="default"/>
      </w:rPr>
    </w:lvl>
  </w:abstractNum>
  <w:abstractNum w:abstractNumId="6" w15:restartNumberingAfterBreak="0">
    <w:nsid w:val="0F1E2B4B"/>
    <w:multiLevelType w:val="hybridMultilevel"/>
    <w:tmpl w:val="CAA0E348"/>
    <w:lvl w:ilvl="0" w:tplc="427C123C">
      <w:start w:val="1"/>
      <w:numFmt w:val="decimal"/>
      <w:lvlText w:val="%1)"/>
      <w:lvlJc w:val="left"/>
      <w:pPr>
        <w:ind w:left="720" w:hanging="360"/>
      </w:pPr>
      <w:rPr>
        <w:rFonts w:hint="default"/>
      </w:rPr>
    </w:lvl>
    <w:lvl w:ilvl="1" w:tplc="C9E26B78" w:tentative="1">
      <w:start w:val="1"/>
      <w:numFmt w:val="lowerLetter"/>
      <w:lvlText w:val="%2."/>
      <w:lvlJc w:val="left"/>
      <w:pPr>
        <w:ind w:left="1440" w:hanging="360"/>
      </w:pPr>
    </w:lvl>
    <w:lvl w:ilvl="2" w:tplc="7722F8E4" w:tentative="1">
      <w:start w:val="1"/>
      <w:numFmt w:val="lowerRoman"/>
      <w:lvlText w:val="%3."/>
      <w:lvlJc w:val="right"/>
      <w:pPr>
        <w:ind w:left="2160" w:hanging="180"/>
      </w:pPr>
    </w:lvl>
    <w:lvl w:ilvl="3" w:tplc="07441376" w:tentative="1">
      <w:start w:val="1"/>
      <w:numFmt w:val="decimal"/>
      <w:lvlText w:val="%4."/>
      <w:lvlJc w:val="left"/>
      <w:pPr>
        <w:ind w:left="2880" w:hanging="360"/>
      </w:pPr>
    </w:lvl>
    <w:lvl w:ilvl="4" w:tplc="0178942E" w:tentative="1">
      <w:start w:val="1"/>
      <w:numFmt w:val="lowerLetter"/>
      <w:lvlText w:val="%5."/>
      <w:lvlJc w:val="left"/>
      <w:pPr>
        <w:ind w:left="3600" w:hanging="360"/>
      </w:pPr>
    </w:lvl>
    <w:lvl w:ilvl="5" w:tplc="183C1F7A" w:tentative="1">
      <w:start w:val="1"/>
      <w:numFmt w:val="lowerRoman"/>
      <w:lvlText w:val="%6."/>
      <w:lvlJc w:val="right"/>
      <w:pPr>
        <w:ind w:left="4320" w:hanging="180"/>
      </w:pPr>
    </w:lvl>
    <w:lvl w:ilvl="6" w:tplc="127EC006" w:tentative="1">
      <w:start w:val="1"/>
      <w:numFmt w:val="decimal"/>
      <w:lvlText w:val="%7."/>
      <w:lvlJc w:val="left"/>
      <w:pPr>
        <w:ind w:left="5040" w:hanging="360"/>
      </w:pPr>
    </w:lvl>
    <w:lvl w:ilvl="7" w:tplc="2B64FEDC" w:tentative="1">
      <w:start w:val="1"/>
      <w:numFmt w:val="lowerLetter"/>
      <w:lvlText w:val="%8."/>
      <w:lvlJc w:val="left"/>
      <w:pPr>
        <w:ind w:left="5760" w:hanging="360"/>
      </w:pPr>
    </w:lvl>
    <w:lvl w:ilvl="8" w:tplc="F38A87CA" w:tentative="1">
      <w:start w:val="1"/>
      <w:numFmt w:val="lowerRoman"/>
      <w:lvlText w:val="%9."/>
      <w:lvlJc w:val="right"/>
      <w:pPr>
        <w:ind w:left="6480" w:hanging="180"/>
      </w:pPr>
    </w:lvl>
  </w:abstractNum>
  <w:abstractNum w:abstractNumId="7" w15:restartNumberingAfterBreak="0">
    <w:nsid w:val="25113D01"/>
    <w:multiLevelType w:val="hybridMultilevel"/>
    <w:tmpl w:val="E95ADFB0"/>
    <w:lvl w:ilvl="0" w:tplc="97120E72">
      <w:numFmt w:val="bullet"/>
      <w:lvlText w:val="-"/>
      <w:lvlJc w:val="left"/>
      <w:pPr>
        <w:ind w:left="720" w:hanging="360"/>
      </w:pPr>
      <w:rPr>
        <w:rFonts w:ascii="Calibri" w:eastAsia="Times New Roman" w:hAnsi="Calibri" w:cs="Calibri" w:hint="default"/>
      </w:rPr>
    </w:lvl>
    <w:lvl w:ilvl="1" w:tplc="6E4CB986" w:tentative="1">
      <w:start w:val="1"/>
      <w:numFmt w:val="bullet"/>
      <w:lvlText w:val="o"/>
      <w:lvlJc w:val="left"/>
      <w:pPr>
        <w:ind w:left="1440" w:hanging="360"/>
      </w:pPr>
      <w:rPr>
        <w:rFonts w:ascii="Courier New" w:hAnsi="Courier New" w:cs="Courier New" w:hint="default"/>
      </w:rPr>
    </w:lvl>
    <w:lvl w:ilvl="2" w:tplc="01BA9BEC" w:tentative="1">
      <w:start w:val="1"/>
      <w:numFmt w:val="bullet"/>
      <w:lvlText w:val=""/>
      <w:lvlJc w:val="left"/>
      <w:pPr>
        <w:ind w:left="2160" w:hanging="360"/>
      </w:pPr>
      <w:rPr>
        <w:rFonts w:ascii="Wingdings" w:hAnsi="Wingdings" w:hint="default"/>
      </w:rPr>
    </w:lvl>
    <w:lvl w:ilvl="3" w:tplc="18E8C6CE" w:tentative="1">
      <w:start w:val="1"/>
      <w:numFmt w:val="bullet"/>
      <w:lvlText w:val=""/>
      <w:lvlJc w:val="left"/>
      <w:pPr>
        <w:ind w:left="2880" w:hanging="360"/>
      </w:pPr>
      <w:rPr>
        <w:rFonts w:ascii="Symbol" w:hAnsi="Symbol" w:hint="default"/>
      </w:rPr>
    </w:lvl>
    <w:lvl w:ilvl="4" w:tplc="42F6674A" w:tentative="1">
      <w:start w:val="1"/>
      <w:numFmt w:val="bullet"/>
      <w:lvlText w:val="o"/>
      <w:lvlJc w:val="left"/>
      <w:pPr>
        <w:ind w:left="3600" w:hanging="360"/>
      </w:pPr>
      <w:rPr>
        <w:rFonts w:ascii="Courier New" w:hAnsi="Courier New" w:cs="Courier New" w:hint="default"/>
      </w:rPr>
    </w:lvl>
    <w:lvl w:ilvl="5" w:tplc="D966CE5C" w:tentative="1">
      <w:start w:val="1"/>
      <w:numFmt w:val="bullet"/>
      <w:lvlText w:val=""/>
      <w:lvlJc w:val="left"/>
      <w:pPr>
        <w:ind w:left="4320" w:hanging="360"/>
      </w:pPr>
      <w:rPr>
        <w:rFonts w:ascii="Wingdings" w:hAnsi="Wingdings" w:hint="default"/>
      </w:rPr>
    </w:lvl>
    <w:lvl w:ilvl="6" w:tplc="1B18B340" w:tentative="1">
      <w:start w:val="1"/>
      <w:numFmt w:val="bullet"/>
      <w:lvlText w:val=""/>
      <w:lvlJc w:val="left"/>
      <w:pPr>
        <w:ind w:left="5040" w:hanging="360"/>
      </w:pPr>
      <w:rPr>
        <w:rFonts w:ascii="Symbol" w:hAnsi="Symbol" w:hint="default"/>
      </w:rPr>
    </w:lvl>
    <w:lvl w:ilvl="7" w:tplc="18D069A6" w:tentative="1">
      <w:start w:val="1"/>
      <w:numFmt w:val="bullet"/>
      <w:lvlText w:val="o"/>
      <w:lvlJc w:val="left"/>
      <w:pPr>
        <w:ind w:left="5760" w:hanging="360"/>
      </w:pPr>
      <w:rPr>
        <w:rFonts w:ascii="Courier New" w:hAnsi="Courier New" w:cs="Courier New" w:hint="default"/>
      </w:rPr>
    </w:lvl>
    <w:lvl w:ilvl="8" w:tplc="5B5C70A2" w:tentative="1">
      <w:start w:val="1"/>
      <w:numFmt w:val="bullet"/>
      <w:lvlText w:val=""/>
      <w:lvlJc w:val="left"/>
      <w:pPr>
        <w:ind w:left="6480" w:hanging="360"/>
      </w:pPr>
      <w:rPr>
        <w:rFonts w:ascii="Wingdings" w:hAnsi="Wingdings" w:hint="default"/>
      </w:rPr>
    </w:lvl>
  </w:abstractNum>
  <w:abstractNum w:abstractNumId="8" w15:restartNumberingAfterBreak="0">
    <w:nsid w:val="3215106E"/>
    <w:multiLevelType w:val="hybridMultilevel"/>
    <w:tmpl w:val="9D16FCA8"/>
    <w:lvl w:ilvl="0" w:tplc="BDE815A4">
      <w:start w:val="1"/>
      <w:numFmt w:val="decimal"/>
      <w:lvlText w:val="%1)"/>
      <w:lvlJc w:val="left"/>
      <w:pPr>
        <w:ind w:left="780" w:hanging="420"/>
      </w:pPr>
      <w:rPr>
        <w:rFonts w:hint="default"/>
      </w:rPr>
    </w:lvl>
    <w:lvl w:ilvl="1" w:tplc="B85C4F1C" w:tentative="1">
      <w:start w:val="1"/>
      <w:numFmt w:val="lowerLetter"/>
      <w:lvlText w:val="%2."/>
      <w:lvlJc w:val="left"/>
      <w:pPr>
        <w:ind w:left="1440" w:hanging="360"/>
      </w:pPr>
    </w:lvl>
    <w:lvl w:ilvl="2" w:tplc="5C94F308" w:tentative="1">
      <w:start w:val="1"/>
      <w:numFmt w:val="lowerRoman"/>
      <w:lvlText w:val="%3."/>
      <w:lvlJc w:val="right"/>
      <w:pPr>
        <w:ind w:left="2160" w:hanging="180"/>
      </w:pPr>
    </w:lvl>
    <w:lvl w:ilvl="3" w:tplc="2150421E" w:tentative="1">
      <w:start w:val="1"/>
      <w:numFmt w:val="decimal"/>
      <w:lvlText w:val="%4."/>
      <w:lvlJc w:val="left"/>
      <w:pPr>
        <w:ind w:left="2880" w:hanging="360"/>
      </w:pPr>
    </w:lvl>
    <w:lvl w:ilvl="4" w:tplc="0352DA4C" w:tentative="1">
      <w:start w:val="1"/>
      <w:numFmt w:val="lowerLetter"/>
      <w:lvlText w:val="%5."/>
      <w:lvlJc w:val="left"/>
      <w:pPr>
        <w:ind w:left="3600" w:hanging="360"/>
      </w:pPr>
    </w:lvl>
    <w:lvl w:ilvl="5" w:tplc="42EEF110" w:tentative="1">
      <w:start w:val="1"/>
      <w:numFmt w:val="lowerRoman"/>
      <w:lvlText w:val="%6."/>
      <w:lvlJc w:val="right"/>
      <w:pPr>
        <w:ind w:left="4320" w:hanging="180"/>
      </w:pPr>
    </w:lvl>
    <w:lvl w:ilvl="6" w:tplc="8F926532" w:tentative="1">
      <w:start w:val="1"/>
      <w:numFmt w:val="decimal"/>
      <w:lvlText w:val="%7."/>
      <w:lvlJc w:val="left"/>
      <w:pPr>
        <w:ind w:left="5040" w:hanging="360"/>
      </w:pPr>
    </w:lvl>
    <w:lvl w:ilvl="7" w:tplc="CDACD872" w:tentative="1">
      <w:start w:val="1"/>
      <w:numFmt w:val="lowerLetter"/>
      <w:lvlText w:val="%8."/>
      <w:lvlJc w:val="left"/>
      <w:pPr>
        <w:ind w:left="5760" w:hanging="360"/>
      </w:pPr>
    </w:lvl>
    <w:lvl w:ilvl="8" w:tplc="2834CA6E" w:tentative="1">
      <w:start w:val="1"/>
      <w:numFmt w:val="lowerRoman"/>
      <w:lvlText w:val="%9."/>
      <w:lvlJc w:val="right"/>
      <w:pPr>
        <w:ind w:left="6480" w:hanging="180"/>
      </w:pPr>
    </w:lvl>
  </w:abstractNum>
  <w:abstractNum w:abstractNumId="9" w15:restartNumberingAfterBreak="0">
    <w:nsid w:val="342D4E55"/>
    <w:multiLevelType w:val="hybridMultilevel"/>
    <w:tmpl w:val="EADC9596"/>
    <w:lvl w:ilvl="0" w:tplc="8C96C5A2">
      <w:start w:val="2"/>
      <w:numFmt w:val="bullet"/>
      <w:lvlText w:val="-"/>
      <w:lvlJc w:val="left"/>
      <w:pPr>
        <w:ind w:left="720" w:hanging="360"/>
      </w:pPr>
      <w:rPr>
        <w:rFonts w:ascii="Calibri" w:eastAsia="SimSun" w:hAnsi="Calibri" w:cs="Calibri" w:hint="default"/>
      </w:rPr>
    </w:lvl>
    <w:lvl w:ilvl="1" w:tplc="7D245A16" w:tentative="1">
      <w:start w:val="1"/>
      <w:numFmt w:val="bullet"/>
      <w:lvlText w:val="o"/>
      <w:lvlJc w:val="left"/>
      <w:pPr>
        <w:ind w:left="1440" w:hanging="360"/>
      </w:pPr>
      <w:rPr>
        <w:rFonts w:ascii="Courier New" w:hAnsi="Courier New" w:cs="Courier New" w:hint="default"/>
      </w:rPr>
    </w:lvl>
    <w:lvl w:ilvl="2" w:tplc="55D8C6D0" w:tentative="1">
      <w:start w:val="1"/>
      <w:numFmt w:val="bullet"/>
      <w:lvlText w:val=""/>
      <w:lvlJc w:val="left"/>
      <w:pPr>
        <w:ind w:left="2160" w:hanging="360"/>
      </w:pPr>
      <w:rPr>
        <w:rFonts w:ascii="Wingdings" w:hAnsi="Wingdings" w:hint="default"/>
      </w:rPr>
    </w:lvl>
    <w:lvl w:ilvl="3" w:tplc="B8067216" w:tentative="1">
      <w:start w:val="1"/>
      <w:numFmt w:val="bullet"/>
      <w:lvlText w:val=""/>
      <w:lvlJc w:val="left"/>
      <w:pPr>
        <w:ind w:left="2880" w:hanging="360"/>
      </w:pPr>
      <w:rPr>
        <w:rFonts w:ascii="Symbol" w:hAnsi="Symbol" w:hint="default"/>
      </w:rPr>
    </w:lvl>
    <w:lvl w:ilvl="4" w:tplc="173CC3D0" w:tentative="1">
      <w:start w:val="1"/>
      <w:numFmt w:val="bullet"/>
      <w:lvlText w:val="o"/>
      <w:lvlJc w:val="left"/>
      <w:pPr>
        <w:ind w:left="3600" w:hanging="360"/>
      </w:pPr>
      <w:rPr>
        <w:rFonts w:ascii="Courier New" w:hAnsi="Courier New" w:cs="Courier New" w:hint="default"/>
      </w:rPr>
    </w:lvl>
    <w:lvl w:ilvl="5" w:tplc="79FAC688" w:tentative="1">
      <w:start w:val="1"/>
      <w:numFmt w:val="bullet"/>
      <w:lvlText w:val=""/>
      <w:lvlJc w:val="left"/>
      <w:pPr>
        <w:ind w:left="4320" w:hanging="360"/>
      </w:pPr>
      <w:rPr>
        <w:rFonts w:ascii="Wingdings" w:hAnsi="Wingdings" w:hint="default"/>
      </w:rPr>
    </w:lvl>
    <w:lvl w:ilvl="6" w:tplc="FFBEA670" w:tentative="1">
      <w:start w:val="1"/>
      <w:numFmt w:val="bullet"/>
      <w:lvlText w:val=""/>
      <w:lvlJc w:val="left"/>
      <w:pPr>
        <w:ind w:left="5040" w:hanging="360"/>
      </w:pPr>
      <w:rPr>
        <w:rFonts w:ascii="Symbol" w:hAnsi="Symbol" w:hint="default"/>
      </w:rPr>
    </w:lvl>
    <w:lvl w:ilvl="7" w:tplc="80129062" w:tentative="1">
      <w:start w:val="1"/>
      <w:numFmt w:val="bullet"/>
      <w:lvlText w:val="o"/>
      <w:lvlJc w:val="left"/>
      <w:pPr>
        <w:ind w:left="5760" w:hanging="360"/>
      </w:pPr>
      <w:rPr>
        <w:rFonts w:ascii="Courier New" w:hAnsi="Courier New" w:cs="Courier New" w:hint="default"/>
      </w:rPr>
    </w:lvl>
    <w:lvl w:ilvl="8" w:tplc="71F67FE8" w:tentative="1">
      <w:start w:val="1"/>
      <w:numFmt w:val="bullet"/>
      <w:lvlText w:val=""/>
      <w:lvlJc w:val="left"/>
      <w:pPr>
        <w:ind w:left="6480" w:hanging="360"/>
      </w:pPr>
      <w:rPr>
        <w:rFonts w:ascii="Wingdings" w:hAnsi="Wingdings" w:hint="default"/>
      </w:rPr>
    </w:lvl>
  </w:abstractNum>
  <w:abstractNum w:abstractNumId="10" w15:restartNumberingAfterBreak="0">
    <w:nsid w:val="3FF5492E"/>
    <w:multiLevelType w:val="hybridMultilevel"/>
    <w:tmpl w:val="867CE624"/>
    <w:lvl w:ilvl="0" w:tplc="42563164">
      <w:numFmt w:val="bullet"/>
      <w:lvlText w:val="-"/>
      <w:lvlJc w:val="left"/>
      <w:pPr>
        <w:ind w:left="720" w:hanging="360"/>
      </w:pPr>
      <w:rPr>
        <w:rFonts w:ascii="Calibri" w:eastAsiaTheme="minorEastAsia" w:hAnsi="Calibri" w:cs="Calibri" w:hint="default"/>
      </w:rPr>
    </w:lvl>
    <w:lvl w:ilvl="1" w:tplc="264A62C4" w:tentative="1">
      <w:start w:val="1"/>
      <w:numFmt w:val="bullet"/>
      <w:lvlText w:val="o"/>
      <w:lvlJc w:val="left"/>
      <w:pPr>
        <w:ind w:left="1440" w:hanging="360"/>
      </w:pPr>
      <w:rPr>
        <w:rFonts w:ascii="Courier New" w:hAnsi="Courier New" w:cs="Courier New" w:hint="default"/>
      </w:rPr>
    </w:lvl>
    <w:lvl w:ilvl="2" w:tplc="4DCAA30E" w:tentative="1">
      <w:start w:val="1"/>
      <w:numFmt w:val="bullet"/>
      <w:lvlText w:val=""/>
      <w:lvlJc w:val="left"/>
      <w:pPr>
        <w:ind w:left="2160" w:hanging="360"/>
      </w:pPr>
      <w:rPr>
        <w:rFonts w:ascii="Wingdings" w:hAnsi="Wingdings" w:hint="default"/>
      </w:rPr>
    </w:lvl>
    <w:lvl w:ilvl="3" w:tplc="D17AC292" w:tentative="1">
      <w:start w:val="1"/>
      <w:numFmt w:val="bullet"/>
      <w:lvlText w:val=""/>
      <w:lvlJc w:val="left"/>
      <w:pPr>
        <w:ind w:left="2880" w:hanging="360"/>
      </w:pPr>
      <w:rPr>
        <w:rFonts w:ascii="Symbol" w:hAnsi="Symbol" w:hint="default"/>
      </w:rPr>
    </w:lvl>
    <w:lvl w:ilvl="4" w:tplc="EFEA9700" w:tentative="1">
      <w:start w:val="1"/>
      <w:numFmt w:val="bullet"/>
      <w:lvlText w:val="o"/>
      <w:lvlJc w:val="left"/>
      <w:pPr>
        <w:ind w:left="3600" w:hanging="360"/>
      </w:pPr>
      <w:rPr>
        <w:rFonts w:ascii="Courier New" w:hAnsi="Courier New" w:cs="Courier New" w:hint="default"/>
      </w:rPr>
    </w:lvl>
    <w:lvl w:ilvl="5" w:tplc="847E3C46" w:tentative="1">
      <w:start w:val="1"/>
      <w:numFmt w:val="bullet"/>
      <w:lvlText w:val=""/>
      <w:lvlJc w:val="left"/>
      <w:pPr>
        <w:ind w:left="4320" w:hanging="360"/>
      </w:pPr>
      <w:rPr>
        <w:rFonts w:ascii="Wingdings" w:hAnsi="Wingdings" w:hint="default"/>
      </w:rPr>
    </w:lvl>
    <w:lvl w:ilvl="6" w:tplc="D1DC8230" w:tentative="1">
      <w:start w:val="1"/>
      <w:numFmt w:val="bullet"/>
      <w:lvlText w:val=""/>
      <w:lvlJc w:val="left"/>
      <w:pPr>
        <w:ind w:left="5040" w:hanging="360"/>
      </w:pPr>
      <w:rPr>
        <w:rFonts w:ascii="Symbol" w:hAnsi="Symbol" w:hint="default"/>
      </w:rPr>
    </w:lvl>
    <w:lvl w:ilvl="7" w:tplc="EE84BFD8" w:tentative="1">
      <w:start w:val="1"/>
      <w:numFmt w:val="bullet"/>
      <w:lvlText w:val="o"/>
      <w:lvlJc w:val="left"/>
      <w:pPr>
        <w:ind w:left="5760" w:hanging="360"/>
      </w:pPr>
      <w:rPr>
        <w:rFonts w:ascii="Courier New" w:hAnsi="Courier New" w:cs="Courier New" w:hint="default"/>
      </w:rPr>
    </w:lvl>
    <w:lvl w:ilvl="8" w:tplc="7824A39C" w:tentative="1">
      <w:start w:val="1"/>
      <w:numFmt w:val="bullet"/>
      <w:lvlText w:val=""/>
      <w:lvlJc w:val="left"/>
      <w:pPr>
        <w:ind w:left="6480" w:hanging="360"/>
      </w:pPr>
      <w:rPr>
        <w:rFonts w:ascii="Wingdings" w:hAnsi="Wingdings" w:hint="default"/>
      </w:rPr>
    </w:lvl>
  </w:abstractNum>
  <w:abstractNum w:abstractNumId="11" w15:restartNumberingAfterBreak="0">
    <w:nsid w:val="428B0086"/>
    <w:multiLevelType w:val="hybridMultilevel"/>
    <w:tmpl w:val="721AD356"/>
    <w:lvl w:ilvl="0" w:tplc="4A6C8B5A">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3"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4CF92693"/>
    <w:multiLevelType w:val="hybridMultilevel"/>
    <w:tmpl w:val="F24E5124"/>
    <w:lvl w:ilvl="0" w:tplc="04709E4A">
      <w:start w:val="20"/>
      <w:numFmt w:val="bullet"/>
      <w:lvlText w:val="-"/>
      <w:lvlJc w:val="left"/>
      <w:pPr>
        <w:ind w:left="720" w:hanging="360"/>
      </w:pPr>
      <w:rPr>
        <w:rFonts w:ascii="Calibri" w:eastAsiaTheme="minorEastAsia" w:hAnsi="Calibri" w:cs="Calibri" w:hint="default"/>
      </w:rPr>
    </w:lvl>
    <w:lvl w:ilvl="1" w:tplc="E34C91E6" w:tentative="1">
      <w:start w:val="1"/>
      <w:numFmt w:val="bullet"/>
      <w:lvlText w:val="o"/>
      <w:lvlJc w:val="left"/>
      <w:pPr>
        <w:ind w:left="1440" w:hanging="360"/>
      </w:pPr>
      <w:rPr>
        <w:rFonts w:ascii="Courier New" w:hAnsi="Courier New" w:cs="Courier New" w:hint="default"/>
      </w:rPr>
    </w:lvl>
    <w:lvl w:ilvl="2" w:tplc="C37CF450" w:tentative="1">
      <w:start w:val="1"/>
      <w:numFmt w:val="bullet"/>
      <w:lvlText w:val=""/>
      <w:lvlJc w:val="left"/>
      <w:pPr>
        <w:ind w:left="2160" w:hanging="360"/>
      </w:pPr>
      <w:rPr>
        <w:rFonts w:ascii="Wingdings" w:hAnsi="Wingdings" w:hint="default"/>
      </w:rPr>
    </w:lvl>
    <w:lvl w:ilvl="3" w:tplc="3F725C7C" w:tentative="1">
      <w:start w:val="1"/>
      <w:numFmt w:val="bullet"/>
      <w:lvlText w:val=""/>
      <w:lvlJc w:val="left"/>
      <w:pPr>
        <w:ind w:left="2880" w:hanging="360"/>
      </w:pPr>
      <w:rPr>
        <w:rFonts w:ascii="Symbol" w:hAnsi="Symbol" w:hint="default"/>
      </w:rPr>
    </w:lvl>
    <w:lvl w:ilvl="4" w:tplc="703056B2" w:tentative="1">
      <w:start w:val="1"/>
      <w:numFmt w:val="bullet"/>
      <w:lvlText w:val="o"/>
      <w:lvlJc w:val="left"/>
      <w:pPr>
        <w:ind w:left="3600" w:hanging="360"/>
      </w:pPr>
      <w:rPr>
        <w:rFonts w:ascii="Courier New" w:hAnsi="Courier New" w:cs="Courier New" w:hint="default"/>
      </w:rPr>
    </w:lvl>
    <w:lvl w:ilvl="5" w:tplc="4CE67D5A" w:tentative="1">
      <w:start w:val="1"/>
      <w:numFmt w:val="bullet"/>
      <w:lvlText w:val=""/>
      <w:lvlJc w:val="left"/>
      <w:pPr>
        <w:ind w:left="4320" w:hanging="360"/>
      </w:pPr>
      <w:rPr>
        <w:rFonts w:ascii="Wingdings" w:hAnsi="Wingdings" w:hint="default"/>
      </w:rPr>
    </w:lvl>
    <w:lvl w:ilvl="6" w:tplc="62F0089C" w:tentative="1">
      <w:start w:val="1"/>
      <w:numFmt w:val="bullet"/>
      <w:lvlText w:val=""/>
      <w:lvlJc w:val="left"/>
      <w:pPr>
        <w:ind w:left="5040" w:hanging="360"/>
      </w:pPr>
      <w:rPr>
        <w:rFonts w:ascii="Symbol" w:hAnsi="Symbol" w:hint="default"/>
      </w:rPr>
    </w:lvl>
    <w:lvl w:ilvl="7" w:tplc="AD308EEE" w:tentative="1">
      <w:start w:val="1"/>
      <w:numFmt w:val="bullet"/>
      <w:lvlText w:val="o"/>
      <w:lvlJc w:val="left"/>
      <w:pPr>
        <w:ind w:left="5760" w:hanging="360"/>
      </w:pPr>
      <w:rPr>
        <w:rFonts w:ascii="Courier New" w:hAnsi="Courier New" w:cs="Courier New" w:hint="default"/>
      </w:rPr>
    </w:lvl>
    <w:lvl w:ilvl="8" w:tplc="B6B6D644" w:tentative="1">
      <w:start w:val="1"/>
      <w:numFmt w:val="bullet"/>
      <w:lvlText w:val=""/>
      <w:lvlJc w:val="left"/>
      <w:pPr>
        <w:ind w:left="6480" w:hanging="360"/>
      </w:pPr>
      <w:rPr>
        <w:rFonts w:ascii="Wingdings" w:hAnsi="Wingdings" w:hint="default"/>
      </w:rPr>
    </w:lvl>
  </w:abstractNum>
  <w:abstractNum w:abstractNumId="15" w15:restartNumberingAfterBreak="0">
    <w:nsid w:val="538018F2"/>
    <w:multiLevelType w:val="hybridMultilevel"/>
    <w:tmpl w:val="5F2EC17E"/>
    <w:lvl w:ilvl="0" w:tplc="02582DAE">
      <w:start w:val="20"/>
      <w:numFmt w:val="bullet"/>
      <w:lvlText w:val="-"/>
      <w:lvlJc w:val="left"/>
      <w:pPr>
        <w:ind w:left="1080" w:hanging="360"/>
      </w:pPr>
      <w:rPr>
        <w:rFonts w:ascii="Calibri" w:eastAsiaTheme="minorEastAsia" w:hAnsi="Calibri" w:cs="Calibri" w:hint="default"/>
      </w:rPr>
    </w:lvl>
    <w:lvl w:ilvl="1" w:tplc="C33EC5F4" w:tentative="1">
      <w:start w:val="1"/>
      <w:numFmt w:val="bullet"/>
      <w:lvlText w:val="o"/>
      <w:lvlJc w:val="left"/>
      <w:pPr>
        <w:ind w:left="1800" w:hanging="360"/>
      </w:pPr>
      <w:rPr>
        <w:rFonts w:ascii="Courier New" w:hAnsi="Courier New" w:cs="Courier New" w:hint="default"/>
      </w:rPr>
    </w:lvl>
    <w:lvl w:ilvl="2" w:tplc="A2F871FE" w:tentative="1">
      <w:start w:val="1"/>
      <w:numFmt w:val="bullet"/>
      <w:lvlText w:val=""/>
      <w:lvlJc w:val="left"/>
      <w:pPr>
        <w:ind w:left="2520" w:hanging="360"/>
      </w:pPr>
      <w:rPr>
        <w:rFonts w:ascii="Wingdings" w:hAnsi="Wingdings" w:hint="default"/>
      </w:rPr>
    </w:lvl>
    <w:lvl w:ilvl="3" w:tplc="9666609E" w:tentative="1">
      <w:start w:val="1"/>
      <w:numFmt w:val="bullet"/>
      <w:lvlText w:val=""/>
      <w:lvlJc w:val="left"/>
      <w:pPr>
        <w:ind w:left="3240" w:hanging="360"/>
      </w:pPr>
      <w:rPr>
        <w:rFonts w:ascii="Symbol" w:hAnsi="Symbol" w:hint="default"/>
      </w:rPr>
    </w:lvl>
    <w:lvl w:ilvl="4" w:tplc="0B5ACCA6" w:tentative="1">
      <w:start w:val="1"/>
      <w:numFmt w:val="bullet"/>
      <w:lvlText w:val="o"/>
      <w:lvlJc w:val="left"/>
      <w:pPr>
        <w:ind w:left="3960" w:hanging="360"/>
      </w:pPr>
      <w:rPr>
        <w:rFonts w:ascii="Courier New" w:hAnsi="Courier New" w:cs="Courier New" w:hint="default"/>
      </w:rPr>
    </w:lvl>
    <w:lvl w:ilvl="5" w:tplc="B15A608C" w:tentative="1">
      <w:start w:val="1"/>
      <w:numFmt w:val="bullet"/>
      <w:lvlText w:val=""/>
      <w:lvlJc w:val="left"/>
      <w:pPr>
        <w:ind w:left="4680" w:hanging="360"/>
      </w:pPr>
      <w:rPr>
        <w:rFonts w:ascii="Wingdings" w:hAnsi="Wingdings" w:hint="default"/>
      </w:rPr>
    </w:lvl>
    <w:lvl w:ilvl="6" w:tplc="66621764" w:tentative="1">
      <w:start w:val="1"/>
      <w:numFmt w:val="bullet"/>
      <w:lvlText w:val=""/>
      <w:lvlJc w:val="left"/>
      <w:pPr>
        <w:ind w:left="5400" w:hanging="360"/>
      </w:pPr>
      <w:rPr>
        <w:rFonts w:ascii="Symbol" w:hAnsi="Symbol" w:hint="default"/>
      </w:rPr>
    </w:lvl>
    <w:lvl w:ilvl="7" w:tplc="D2A45D44" w:tentative="1">
      <w:start w:val="1"/>
      <w:numFmt w:val="bullet"/>
      <w:lvlText w:val="o"/>
      <w:lvlJc w:val="left"/>
      <w:pPr>
        <w:ind w:left="6120" w:hanging="360"/>
      </w:pPr>
      <w:rPr>
        <w:rFonts w:ascii="Courier New" w:hAnsi="Courier New" w:cs="Courier New" w:hint="default"/>
      </w:rPr>
    </w:lvl>
    <w:lvl w:ilvl="8" w:tplc="8EEC8F58" w:tentative="1">
      <w:start w:val="1"/>
      <w:numFmt w:val="bullet"/>
      <w:lvlText w:val=""/>
      <w:lvlJc w:val="left"/>
      <w:pPr>
        <w:ind w:left="6840" w:hanging="360"/>
      </w:pPr>
      <w:rPr>
        <w:rFonts w:ascii="Wingdings" w:hAnsi="Wingdings" w:hint="default"/>
      </w:rPr>
    </w:lvl>
  </w:abstractNum>
  <w:abstractNum w:abstractNumId="16"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10000"/>
    <w:multiLevelType w:val="hybridMultilevel"/>
    <w:tmpl w:val="2D22F5D4"/>
    <w:lvl w:ilvl="0" w:tplc="7CF8AA6C">
      <w:start w:val="1"/>
      <w:numFmt w:val="decimal"/>
      <w:lvlText w:val="(%1)"/>
      <w:lvlJc w:val="left"/>
      <w:pPr>
        <w:ind w:left="720" w:hanging="360"/>
      </w:pPr>
      <w:rPr>
        <w:rFonts w:hint="default"/>
      </w:rPr>
    </w:lvl>
    <w:lvl w:ilvl="1" w:tplc="9D78A64C" w:tentative="1">
      <w:start w:val="1"/>
      <w:numFmt w:val="lowerLetter"/>
      <w:lvlText w:val="%2."/>
      <w:lvlJc w:val="left"/>
      <w:pPr>
        <w:ind w:left="1440" w:hanging="360"/>
      </w:pPr>
    </w:lvl>
    <w:lvl w:ilvl="2" w:tplc="37A87F30" w:tentative="1">
      <w:start w:val="1"/>
      <w:numFmt w:val="lowerRoman"/>
      <w:lvlText w:val="%3."/>
      <w:lvlJc w:val="right"/>
      <w:pPr>
        <w:ind w:left="2160" w:hanging="180"/>
      </w:pPr>
    </w:lvl>
    <w:lvl w:ilvl="3" w:tplc="E18A11F8" w:tentative="1">
      <w:start w:val="1"/>
      <w:numFmt w:val="decimal"/>
      <w:lvlText w:val="%4."/>
      <w:lvlJc w:val="left"/>
      <w:pPr>
        <w:ind w:left="2880" w:hanging="360"/>
      </w:pPr>
    </w:lvl>
    <w:lvl w:ilvl="4" w:tplc="B4EE864A" w:tentative="1">
      <w:start w:val="1"/>
      <w:numFmt w:val="lowerLetter"/>
      <w:lvlText w:val="%5."/>
      <w:lvlJc w:val="left"/>
      <w:pPr>
        <w:ind w:left="3600" w:hanging="360"/>
      </w:pPr>
    </w:lvl>
    <w:lvl w:ilvl="5" w:tplc="6BEA57E2" w:tentative="1">
      <w:start w:val="1"/>
      <w:numFmt w:val="lowerRoman"/>
      <w:lvlText w:val="%6."/>
      <w:lvlJc w:val="right"/>
      <w:pPr>
        <w:ind w:left="4320" w:hanging="180"/>
      </w:pPr>
    </w:lvl>
    <w:lvl w:ilvl="6" w:tplc="E744AAD4" w:tentative="1">
      <w:start w:val="1"/>
      <w:numFmt w:val="decimal"/>
      <w:lvlText w:val="%7."/>
      <w:lvlJc w:val="left"/>
      <w:pPr>
        <w:ind w:left="5040" w:hanging="360"/>
      </w:pPr>
    </w:lvl>
    <w:lvl w:ilvl="7" w:tplc="12DE455C" w:tentative="1">
      <w:start w:val="1"/>
      <w:numFmt w:val="lowerLetter"/>
      <w:lvlText w:val="%8."/>
      <w:lvlJc w:val="left"/>
      <w:pPr>
        <w:ind w:left="5760" w:hanging="360"/>
      </w:pPr>
    </w:lvl>
    <w:lvl w:ilvl="8" w:tplc="41389084" w:tentative="1">
      <w:start w:val="1"/>
      <w:numFmt w:val="lowerRoman"/>
      <w:lvlText w:val="%9."/>
      <w:lvlJc w:val="right"/>
      <w:pPr>
        <w:ind w:left="6480" w:hanging="180"/>
      </w:pPr>
    </w:lvl>
  </w:abstractNum>
  <w:abstractNum w:abstractNumId="18" w15:restartNumberingAfterBreak="0">
    <w:nsid w:val="64EB4F0E"/>
    <w:multiLevelType w:val="hybridMultilevel"/>
    <w:tmpl w:val="126C2152"/>
    <w:lvl w:ilvl="0" w:tplc="F86879AC">
      <w:start w:val="1"/>
      <w:numFmt w:val="bullet"/>
      <w:lvlText w:val=""/>
      <w:lvlJc w:val="left"/>
      <w:pPr>
        <w:ind w:left="720" w:hanging="360"/>
      </w:pPr>
      <w:rPr>
        <w:rFonts w:ascii="Symbol" w:hAnsi="Symbol" w:hint="default"/>
      </w:rPr>
    </w:lvl>
    <w:lvl w:ilvl="1" w:tplc="21D8D626" w:tentative="1">
      <w:start w:val="1"/>
      <w:numFmt w:val="bullet"/>
      <w:lvlText w:val="o"/>
      <w:lvlJc w:val="left"/>
      <w:pPr>
        <w:ind w:left="1440" w:hanging="360"/>
      </w:pPr>
      <w:rPr>
        <w:rFonts w:ascii="Courier New" w:hAnsi="Courier New" w:cs="Courier New" w:hint="default"/>
      </w:rPr>
    </w:lvl>
    <w:lvl w:ilvl="2" w:tplc="206C3AA4" w:tentative="1">
      <w:start w:val="1"/>
      <w:numFmt w:val="bullet"/>
      <w:lvlText w:val=""/>
      <w:lvlJc w:val="left"/>
      <w:pPr>
        <w:ind w:left="2160" w:hanging="360"/>
      </w:pPr>
      <w:rPr>
        <w:rFonts w:ascii="Wingdings" w:hAnsi="Wingdings" w:hint="default"/>
      </w:rPr>
    </w:lvl>
    <w:lvl w:ilvl="3" w:tplc="307C60AA" w:tentative="1">
      <w:start w:val="1"/>
      <w:numFmt w:val="bullet"/>
      <w:lvlText w:val=""/>
      <w:lvlJc w:val="left"/>
      <w:pPr>
        <w:ind w:left="2880" w:hanging="360"/>
      </w:pPr>
      <w:rPr>
        <w:rFonts w:ascii="Symbol" w:hAnsi="Symbol" w:hint="default"/>
      </w:rPr>
    </w:lvl>
    <w:lvl w:ilvl="4" w:tplc="D9DC86DE" w:tentative="1">
      <w:start w:val="1"/>
      <w:numFmt w:val="bullet"/>
      <w:lvlText w:val="o"/>
      <w:lvlJc w:val="left"/>
      <w:pPr>
        <w:ind w:left="3600" w:hanging="360"/>
      </w:pPr>
      <w:rPr>
        <w:rFonts w:ascii="Courier New" w:hAnsi="Courier New" w:cs="Courier New" w:hint="default"/>
      </w:rPr>
    </w:lvl>
    <w:lvl w:ilvl="5" w:tplc="5A2EE7FA" w:tentative="1">
      <w:start w:val="1"/>
      <w:numFmt w:val="bullet"/>
      <w:lvlText w:val=""/>
      <w:lvlJc w:val="left"/>
      <w:pPr>
        <w:ind w:left="4320" w:hanging="360"/>
      </w:pPr>
      <w:rPr>
        <w:rFonts w:ascii="Wingdings" w:hAnsi="Wingdings" w:hint="default"/>
      </w:rPr>
    </w:lvl>
    <w:lvl w:ilvl="6" w:tplc="2818A060" w:tentative="1">
      <w:start w:val="1"/>
      <w:numFmt w:val="bullet"/>
      <w:lvlText w:val=""/>
      <w:lvlJc w:val="left"/>
      <w:pPr>
        <w:ind w:left="5040" w:hanging="360"/>
      </w:pPr>
      <w:rPr>
        <w:rFonts w:ascii="Symbol" w:hAnsi="Symbol" w:hint="default"/>
      </w:rPr>
    </w:lvl>
    <w:lvl w:ilvl="7" w:tplc="2784463A" w:tentative="1">
      <w:start w:val="1"/>
      <w:numFmt w:val="bullet"/>
      <w:lvlText w:val="o"/>
      <w:lvlJc w:val="left"/>
      <w:pPr>
        <w:ind w:left="5760" w:hanging="360"/>
      </w:pPr>
      <w:rPr>
        <w:rFonts w:ascii="Courier New" w:hAnsi="Courier New" w:cs="Courier New" w:hint="default"/>
      </w:rPr>
    </w:lvl>
    <w:lvl w:ilvl="8" w:tplc="9FE0EF6A" w:tentative="1">
      <w:start w:val="1"/>
      <w:numFmt w:val="bullet"/>
      <w:lvlText w:val=""/>
      <w:lvlJc w:val="left"/>
      <w:pPr>
        <w:ind w:left="6480" w:hanging="360"/>
      </w:pPr>
      <w:rPr>
        <w:rFonts w:ascii="Wingdings" w:hAnsi="Wingdings" w:hint="default"/>
      </w:rPr>
    </w:lvl>
  </w:abstractNum>
  <w:abstractNum w:abstractNumId="19" w15:restartNumberingAfterBreak="0">
    <w:nsid w:val="6B172598"/>
    <w:multiLevelType w:val="hybridMultilevel"/>
    <w:tmpl w:val="44DABA12"/>
    <w:lvl w:ilvl="0" w:tplc="6D6070C4">
      <w:start w:val="1"/>
      <w:numFmt w:val="decimal"/>
      <w:lvlText w:val="%1."/>
      <w:lvlJc w:val="left"/>
      <w:pPr>
        <w:ind w:left="1429" w:hanging="360"/>
      </w:pPr>
      <w:rPr>
        <w:sz w:val="24"/>
        <w:szCs w:val="24"/>
      </w:rPr>
    </w:lvl>
    <w:lvl w:ilvl="1" w:tplc="8A46479A" w:tentative="1">
      <w:start w:val="1"/>
      <w:numFmt w:val="lowerLetter"/>
      <w:lvlText w:val="%2."/>
      <w:lvlJc w:val="left"/>
      <w:pPr>
        <w:ind w:left="2149" w:hanging="360"/>
      </w:pPr>
    </w:lvl>
    <w:lvl w:ilvl="2" w:tplc="551C8F64" w:tentative="1">
      <w:start w:val="1"/>
      <w:numFmt w:val="lowerRoman"/>
      <w:lvlText w:val="%3."/>
      <w:lvlJc w:val="right"/>
      <w:pPr>
        <w:ind w:left="2869" w:hanging="180"/>
      </w:pPr>
    </w:lvl>
    <w:lvl w:ilvl="3" w:tplc="986A9AE2" w:tentative="1">
      <w:start w:val="1"/>
      <w:numFmt w:val="decimal"/>
      <w:lvlText w:val="%4."/>
      <w:lvlJc w:val="left"/>
      <w:pPr>
        <w:ind w:left="3589" w:hanging="360"/>
      </w:pPr>
    </w:lvl>
    <w:lvl w:ilvl="4" w:tplc="5BF67A66" w:tentative="1">
      <w:start w:val="1"/>
      <w:numFmt w:val="lowerLetter"/>
      <w:lvlText w:val="%5."/>
      <w:lvlJc w:val="left"/>
      <w:pPr>
        <w:ind w:left="4309" w:hanging="360"/>
      </w:pPr>
    </w:lvl>
    <w:lvl w:ilvl="5" w:tplc="F836F800" w:tentative="1">
      <w:start w:val="1"/>
      <w:numFmt w:val="lowerRoman"/>
      <w:lvlText w:val="%6."/>
      <w:lvlJc w:val="right"/>
      <w:pPr>
        <w:ind w:left="5029" w:hanging="180"/>
      </w:pPr>
    </w:lvl>
    <w:lvl w:ilvl="6" w:tplc="E36C601C" w:tentative="1">
      <w:start w:val="1"/>
      <w:numFmt w:val="decimal"/>
      <w:lvlText w:val="%7."/>
      <w:lvlJc w:val="left"/>
      <w:pPr>
        <w:ind w:left="5749" w:hanging="360"/>
      </w:pPr>
    </w:lvl>
    <w:lvl w:ilvl="7" w:tplc="A45AA138" w:tentative="1">
      <w:start w:val="1"/>
      <w:numFmt w:val="lowerLetter"/>
      <w:lvlText w:val="%8."/>
      <w:lvlJc w:val="left"/>
      <w:pPr>
        <w:ind w:left="6469" w:hanging="360"/>
      </w:pPr>
    </w:lvl>
    <w:lvl w:ilvl="8" w:tplc="8A5A4694" w:tentative="1">
      <w:start w:val="1"/>
      <w:numFmt w:val="lowerRoman"/>
      <w:lvlText w:val="%9."/>
      <w:lvlJc w:val="right"/>
      <w:pPr>
        <w:ind w:left="7189" w:hanging="180"/>
      </w:pPr>
    </w:lvl>
  </w:abstractNum>
  <w:abstractNum w:abstractNumId="20" w15:restartNumberingAfterBreak="0">
    <w:nsid w:val="7DD93989"/>
    <w:multiLevelType w:val="hybridMultilevel"/>
    <w:tmpl w:val="B90EE466"/>
    <w:lvl w:ilvl="0" w:tplc="03BEE342">
      <w:start w:val="1"/>
      <w:numFmt w:val="decimal"/>
      <w:lvlText w:val="%1."/>
      <w:lvlJc w:val="left"/>
      <w:pPr>
        <w:ind w:left="720" w:hanging="360"/>
      </w:pPr>
      <w:rPr>
        <w:rFonts w:hint="default"/>
      </w:rPr>
    </w:lvl>
    <w:lvl w:ilvl="1" w:tplc="DF4888E6" w:tentative="1">
      <w:start w:val="1"/>
      <w:numFmt w:val="lowerLetter"/>
      <w:lvlText w:val="%2."/>
      <w:lvlJc w:val="left"/>
      <w:pPr>
        <w:ind w:left="1440" w:hanging="360"/>
      </w:pPr>
    </w:lvl>
    <w:lvl w:ilvl="2" w:tplc="4DE83DF0" w:tentative="1">
      <w:start w:val="1"/>
      <w:numFmt w:val="lowerRoman"/>
      <w:lvlText w:val="%3."/>
      <w:lvlJc w:val="right"/>
      <w:pPr>
        <w:ind w:left="2160" w:hanging="180"/>
      </w:pPr>
    </w:lvl>
    <w:lvl w:ilvl="3" w:tplc="915018B0" w:tentative="1">
      <w:start w:val="1"/>
      <w:numFmt w:val="decimal"/>
      <w:lvlText w:val="%4."/>
      <w:lvlJc w:val="left"/>
      <w:pPr>
        <w:ind w:left="2880" w:hanging="360"/>
      </w:pPr>
    </w:lvl>
    <w:lvl w:ilvl="4" w:tplc="5D201CFE" w:tentative="1">
      <w:start w:val="1"/>
      <w:numFmt w:val="lowerLetter"/>
      <w:lvlText w:val="%5."/>
      <w:lvlJc w:val="left"/>
      <w:pPr>
        <w:ind w:left="3600" w:hanging="360"/>
      </w:pPr>
    </w:lvl>
    <w:lvl w:ilvl="5" w:tplc="8E64320E" w:tentative="1">
      <w:start w:val="1"/>
      <w:numFmt w:val="lowerRoman"/>
      <w:lvlText w:val="%6."/>
      <w:lvlJc w:val="right"/>
      <w:pPr>
        <w:ind w:left="4320" w:hanging="180"/>
      </w:pPr>
    </w:lvl>
    <w:lvl w:ilvl="6" w:tplc="CB144F94" w:tentative="1">
      <w:start w:val="1"/>
      <w:numFmt w:val="decimal"/>
      <w:lvlText w:val="%7."/>
      <w:lvlJc w:val="left"/>
      <w:pPr>
        <w:ind w:left="5040" w:hanging="360"/>
      </w:pPr>
    </w:lvl>
    <w:lvl w:ilvl="7" w:tplc="4AE24878" w:tentative="1">
      <w:start w:val="1"/>
      <w:numFmt w:val="lowerLetter"/>
      <w:lvlText w:val="%8."/>
      <w:lvlJc w:val="left"/>
      <w:pPr>
        <w:ind w:left="5760" w:hanging="360"/>
      </w:pPr>
    </w:lvl>
    <w:lvl w:ilvl="8" w:tplc="99C80252" w:tentative="1">
      <w:start w:val="1"/>
      <w:numFmt w:val="lowerRoman"/>
      <w:lvlText w:val="%9."/>
      <w:lvlJc w:val="right"/>
      <w:pPr>
        <w:ind w:left="6480" w:hanging="180"/>
      </w:pPr>
    </w:lvl>
  </w:abstractNum>
  <w:abstractNum w:abstractNumId="21" w15:restartNumberingAfterBreak="0">
    <w:nsid w:val="7F117760"/>
    <w:multiLevelType w:val="hybridMultilevel"/>
    <w:tmpl w:val="03C6FB12"/>
    <w:lvl w:ilvl="0" w:tplc="85E4F32E">
      <w:start w:val="1"/>
      <w:numFmt w:val="bullet"/>
      <w:lvlText w:val="─"/>
      <w:lvlJc w:val="left"/>
      <w:pPr>
        <w:ind w:left="720" w:hanging="360"/>
      </w:pPr>
      <w:rPr>
        <w:rFonts w:ascii="Calibri" w:hAnsi="Calibri" w:hint="default"/>
      </w:rPr>
    </w:lvl>
    <w:lvl w:ilvl="1" w:tplc="D7E86C20" w:tentative="1">
      <w:start w:val="1"/>
      <w:numFmt w:val="bullet"/>
      <w:lvlText w:val="o"/>
      <w:lvlJc w:val="left"/>
      <w:pPr>
        <w:ind w:left="1440" w:hanging="360"/>
      </w:pPr>
      <w:rPr>
        <w:rFonts w:ascii="Courier New" w:hAnsi="Courier New" w:cs="Courier New" w:hint="default"/>
      </w:rPr>
    </w:lvl>
    <w:lvl w:ilvl="2" w:tplc="6EF891FC" w:tentative="1">
      <w:start w:val="1"/>
      <w:numFmt w:val="bullet"/>
      <w:lvlText w:val=""/>
      <w:lvlJc w:val="left"/>
      <w:pPr>
        <w:ind w:left="2160" w:hanging="360"/>
      </w:pPr>
      <w:rPr>
        <w:rFonts w:ascii="Wingdings" w:hAnsi="Wingdings" w:hint="default"/>
      </w:rPr>
    </w:lvl>
    <w:lvl w:ilvl="3" w:tplc="E580F7EE" w:tentative="1">
      <w:start w:val="1"/>
      <w:numFmt w:val="bullet"/>
      <w:lvlText w:val=""/>
      <w:lvlJc w:val="left"/>
      <w:pPr>
        <w:ind w:left="2880" w:hanging="360"/>
      </w:pPr>
      <w:rPr>
        <w:rFonts w:ascii="Symbol" w:hAnsi="Symbol" w:hint="default"/>
      </w:rPr>
    </w:lvl>
    <w:lvl w:ilvl="4" w:tplc="E9B2EF90" w:tentative="1">
      <w:start w:val="1"/>
      <w:numFmt w:val="bullet"/>
      <w:lvlText w:val="o"/>
      <w:lvlJc w:val="left"/>
      <w:pPr>
        <w:ind w:left="3600" w:hanging="360"/>
      </w:pPr>
      <w:rPr>
        <w:rFonts w:ascii="Courier New" w:hAnsi="Courier New" w:cs="Courier New" w:hint="default"/>
      </w:rPr>
    </w:lvl>
    <w:lvl w:ilvl="5" w:tplc="18142934" w:tentative="1">
      <w:start w:val="1"/>
      <w:numFmt w:val="bullet"/>
      <w:lvlText w:val=""/>
      <w:lvlJc w:val="left"/>
      <w:pPr>
        <w:ind w:left="4320" w:hanging="360"/>
      </w:pPr>
      <w:rPr>
        <w:rFonts w:ascii="Wingdings" w:hAnsi="Wingdings" w:hint="default"/>
      </w:rPr>
    </w:lvl>
    <w:lvl w:ilvl="6" w:tplc="05CCE5DC" w:tentative="1">
      <w:start w:val="1"/>
      <w:numFmt w:val="bullet"/>
      <w:lvlText w:val=""/>
      <w:lvlJc w:val="left"/>
      <w:pPr>
        <w:ind w:left="5040" w:hanging="360"/>
      </w:pPr>
      <w:rPr>
        <w:rFonts w:ascii="Symbol" w:hAnsi="Symbol" w:hint="default"/>
      </w:rPr>
    </w:lvl>
    <w:lvl w:ilvl="7" w:tplc="D1100064" w:tentative="1">
      <w:start w:val="1"/>
      <w:numFmt w:val="bullet"/>
      <w:lvlText w:val="o"/>
      <w:lvlJc w:val="left"/>
      <w:pPr>
        <w:ind w:left="5760" w:hanging="360"/>
      </w:pPr>
      <w:rPr>
        <w:rFonts w:ascii="Courier New" w:hAnsi="Courier New" w:cs="Courier New" w:hint="default"/>
      </w:rPr>
    </w:lvl>
    <w:lvl w:ilvl="8" w:tplc="5B9A827E"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6"/>
  </w:num>
  <w:num w:numId="5">
    <w:abstractNumId w:val="16"/>
  </w:num>
  <w:num w:numId="6">
    <w:abstractNumId w:val="7"/>
  </w:num>
  <w:num w:numId="7">
    <w:abstractNumId w:val="4"/>
  </w:num>
  <w:num w:numId="8">
    <w:abstractNumId w:val="20"/>
  </w:num>
  <w:num w:numId="9">
    <w:abstractNumId w:val="19"/>
  </w:num>
  <w:num w:numId="10">
    <w:abstractNumId w:val="10"/>
  </w:num>
  <w:num w:numId="11">
    <w:abstractNumId w:val="5"/>
  </w:num>
  <w:num w:numId="12">
    <w:abstractNumId w:val="18"/>
  </w:num>
  <w:num w:numId="13">
    <w:abstractNumId w:val="17"/>
  </w:num>
  <w:num w:numId="14">
    <w:abstractNumId w:val="21"/>
  </w:num>
  <w:num w:numId="15">
    <w:abstractNumId w:val="9"/>
  </w:num>
  <w:num w:numId="16">
    <w:abstractNumId w:val="14"/>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9A0FCF"/>
    <w:rsid w:val="00006A31"/>
    <w:rsid w:val="00006C82"/>
    <w:rsid w:val="00010E30"/>
    <w:rsid w:val="00015C76"/>
    <w:rsid w:val="00026CF8"/>
    <w:rsid w:val="00027FE0"/>
    <w:rsid w:val="00030BD7"/>
    <w:rsid w:val="00031E64"/>
    <w:rsid w:val="00034340"/>
    <w:rsid w:val="00035CB3"/>
    <w:rsid w:val="00043DE4"/>
    <w:rsid w:val="00045A8D"/>
    <w:rsid w:val="0005167A"/>
    <w:rsid w:val="00054E5D"/>
    <w:rsid w:val="00070258"/>
    <w:rsid w:val="0007323C"/>
    <w:rsid w:val="00083A51"/>
    <w:rsid w:val="00086D03"/>
    <w:rsid w:val="000A096A"/>
    <w:rsid w:val="000A375E"/>
    <w:rsid w:val="000A6C0D"/>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24AA2"/>
    <w:rsid w:val="001311B8"/>
    <w:rsid w:val="00134404"/>
    <w:rsid w:val="00144DFB"/>
    <w:rsid w:val="00154EE3"/>
    <w:rsid w:val="00187CA3"/>
    <w:rsid w:val="001947AB"/>
    <w:rsid w:val="00195EB7"/>
    <w:rsid w:val="00196710"/>
    <w:rsid w:val="00196770"/>
    <w:rsid w:val="00197324"/>
    <w:rsid w:val="001B351B"/>
    <w:rsid w:val="001B3D4D"/>
    <w:rsid w:val="001B42C9"/>
    <w:rsid w:val="001C06DB"/>
    <w:rsid w:val="001C5E82"/>
    <w:rsid w:val="001C6971"/>
    <w:rsid w:val="001D2785"/>
    <w:rsid w:val="001D7070"/>
    <w:rsid w:val="001F2170"/>
    <w:rsid w:val="001F3948"/>
    <w:rsid w:val="001F5A49"/>
    <w:rsid w:val="00201097"/>
    <w:rsid w:val="00201B6E"/>
    <w:rsid w:val="00204CB9"/>
    <w:rsid w:val="00213721"/>
    <w:rsid w:val="002302B3"/>
    <w:rsid w:val="00230C66"/>
    <w:rsid w:val="00235A29"/>
    <w:rsid w:val="00241526"/>
    <w:rsid w:val="002421F7"/>
    <w:rsid w:val="002443A2"/>
    <w:rsid w:val="00257BE7"/>
    <w:rsid w:val="002604AB"/>
    <w:rsid w:val="00266E74"/>
    <w:rsid w:val="00282BC5"/>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49C1"/>
    <w:rsid w:val="003266ED"/>
    <w:rsid w:val="00326C68"/>
    <w:rsid w:val="0033029C"/>
    <w:rsid w:val="003370B8"/>
    <w:rsid w:val="00345D38"/>
    <w:rsid w:val="00352097"/>
    <w:rsid w:val="003666FF"/>
    <w:rsid w:val="0037090A"/>
    <w:rsid w:val="0037309C"/>
    <w:rsid w:val="00380A6E"/>
    <w:rsid w:val="003836D4"/>
    <w:rsid w:val="00384EC0"/>
    <w:rsid w:val="003974CD"/>
    <w:rsid w:val="003A1F49"/>
    <w:rsid w:val="003A55ED"/>
    <w:rsid w:val="003A5D52"/>
    <w:rsid w:val="003B2BDA"/>
    <w:rsid w:val="003B55EC"/>
    <w:rsid w:val="003C2176"/>
    <w:rsid w:val="003C2EA7"/>
    <w:rsid w:val="003C4471"/>
    <w:rsid w:val="003C7D41"/>
    <w:rsid w:val="003D4A69"/>
    <w:rsid w:val="003E0BC1"/>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13E5"/>
    <w:rsid w:val="00505309"/>
    <w:rsid w:val="0050789B"/>
    <w:rsid w:val="005224A1"/>
    <w:rsid w:val="005321E9"/>
    <w:rsid w:val="00534372"/>
    <w:rsid w:val="00535FEF"/>
    <w:rsid w:val="005370F0"/>
    <w:rsid w:val="00540BE8"/>
    <w:rsid w:val="00543DF8"/>
    <w:rsid w:val="00546101"/>
    <w:rsid w:val="00553DD7"/>
    <w:rsid w:val="005638CF"/>
    <w:rsid w:val="0056741E"/>
    <w:rsid w:val="0057325A"/>
    <w:rsid w:val="0057469A"/>
    <w:rsid w:val="00580814"/>
    <w:rsid w:val="00583A0B"/>
    <w:rsid w:val="0058757D"/>
    <w:rsid w:val="00592E45"/>
    <w:rsid w:val="005A03A3"/>
    <w:rsid w:val="005A2B92"/>
    <w:rsid w:val="005A3F66"/>
    <w:rsid w:val="005A4528"/>
    <w:rsid w:val="005A79E9"/>
    <w:rsid w:val="005B214C"/>
    <w:rsid w:val="005B4CDA"/>
    <w:rsid w:val="005D3669"/>
    <w:rsid w:val="005E5EB3"/>
    <w:rsid w:val="005F3CB6"/>
    <w:rsid w:val="005F657C"/>
    <w:rsid w:val="00602D53"/>
    <w:rsid w:val="006047E5"/>
    <w:rsid w:val="0064371D"/>
    <w:rsid w:val="00643DE2"/>
    <w:rsid w:val="00650543"/>
    <w:rsid w:val="00650B2A"/>
    <w:rsid w:val="00651777"/>
    <w:rsid w:val="006550F8"/>
    <w:rsid w:val="0066031C"/>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4E4A"/>
    <w:rsid w:val="0081513E"/>
    <w:rsid w:val="00847253"/>
    <w:rsid w:val="00854131"/>
    <w:rsid w:val="0085652D"/>
    <w:rsid w:val="00861E55"/>
    <w:rsid w:val="0087694B"/>
    <w:rsid w:val="00880F4D"/>
    <w:rsid w:val="008B35A3"/>
    <w:rsid w:val="008B37E1"/>
    <w:rsid w:val="008B45F8"/>
    <w:rsid w:val="008C2E74"/>
    <w:rsid w:val="008D5409"/>
    <w:rsid w:val="008D6955"/>
    <w:rsid w:val="008E006D"/>
    <w:rsid w:val="008E38B4"/>
    <w:rsid w:val="008F3EC8"/>
    <w:rsid w:val="008F4F21"/>
    <w:rsid w:val="00904D4A"/>
    <w:rsid w:val="009076D7"/>
    <w:rsid w:val="00912DAB"/>
    <w:rsid w:val="009151BA"/>
    <w:rsid w:val="00925023"/>
    <w:rsid w:val="009277BC"/>
    <w:rsid w:val="00927D57"/>
    <w:rsid w:val="00931A51"/>
    <w:rsid w:val="00934E5D"/>
    <w:rsid w:val="00947185"/>
    <w:rsid w:val="009518B3"/>
    <w:rsid w:val="009558C6"/>
    <w:rsid w:val="00963D9D"/>
    <w:rsid w:val="0098013E"/>
    <w:rsid w:val="00981B54"/>
    <w:rsid w:val="009842C3"/>
    <w:rsid w:val="009A009A"/>
    <w:rsid w:val="009A0FCF"/>
    <w:rsid w:val="009A442C"/>
    <w:rsid w:val="009A6BB6"/>
    <w:rsid w:val="009B2C51"/>
    <w:rsid w:val="009B3F43"/>
    <w:rsid w:val="009B5CFA"/>
    <w:rsid w:val="009C161F"/>
    <w:rsid w:val="009C56B4"/>
    <w:rsid w:val="009D51A2"/>
    <w:rsid w:val="009E04A8"/>
    <w:rsid w:val="009E4595"/>
    <w:rsid w:val="009E4AEC"/>
    <w:rsid w:val="009E5BD8"/>
    <w:rsid w:val="009E681E"/>
    <w:rsid w:val="009E7741"/>
    <w:rsid w:val="009F0758"/>
    <w:rsid w:val="00A119E6"/>
    <w:rsid w:val="00A20FBC"/>
    <w:rsid w:val="00A223E0"/>
    <w:rsid w:val="00A31370"/>
    <w:rsid w:val="00A34D6F"/>
    <w:rsid w:val="00A41F91"/>
    <w:rsid w:val="00A63355"/>
    <w:rsid w:val="00A7596D"/>
    <w:rsid w:val="00A80EFE"/>
    <w:rsid w:val="00A963DF"/>
    <w:rsid w:val="00A96D3A"/>
    <w:rsid w:val="00AA4581"/>
    <w:rsid w:val="00AC0C22"/>
    <w:rsid w:val="00AC3896"/>
    <w:rsid w:val="00AD2CF2"/>
    <w:rsid w:val="00AE2D88"/>
    <w:rsid w:val="00AE3136"/>
    <w:rsid w:val="00AE6F6F"/>
    <w:rsid w:val="00AF3325"/>
    <w:rsid w:val="00AF34D9"/>
    <w:rsid w:val="00AF5B37"/>
    <w:rsid w:val="00AF70DA"/>
    <w:rsid w:val="00B019D3"/>
    <w:rsid w:val="00B03747"/>
    <w:rsid w:val="00B062FE"/>
    <w:rsid w:val="00B34CF9"/>
    <w:rsid w:val="00B37559"/>
    <w:rsid w:val="00B4054B"/>
    <w:rsid w:val="00B579B0"/>
    <w:rsid w:val="00B57D11"/>
    <w:rsid w:val="00B62D68"/>
    <w:rsid w:val="00B649D7"/>
    <w:rsid w:val="00B81C2F"/>
    <w:rsid w:val="00B90743"/>
    <w:rsid w:val="00B90C45"/>
    <w:rsid w:val="00B933BE"/>
    <w:rsid w:val="00B93689"/>
    <w:rsid w:val="00BB7EB4"/>
    <w:rsid w:val="00BD6738"/>
    <w:rsid w:val="00BD7E5E"/>
    <w:rsid w:val="00BE63DB"/>
    <w:rsid w:val="00BE6424"/>
    <w:rsid w:val="00BE6574"/>
    <w:rsid w:val="00C05A52"/>
    <w:rsid w:val="00C07319"/>
    <w:rsid w:val="00C16FD2"/>
    <w:rsid w:val="00C40990"/>
    <w:rsid w:val="00C4395E"/>
    <w:rsid w:val="00C47FFD"/>
    <w:rsid w:val="00C51AB2"/>
    <w:rsid w:val="00C51E92"/>
    <w:rsid w:val="00C57E2C"/>
    <w:rsid w:val="00C608B7"/>
    <w:rsid w:val="00C66F24"/>
    <w:rsid w:val="00C710B3"/>
    <w:rsid w:val="00C76D7F"/>
    <w:rsid w:val="00C813AA"/>
    <w:rsid w:val="00C9291E"/>
    <w:rsid w:val="00C96E2D"/>
    <w:rsid w:val="00C970C4"/>
    <w:rsid w:val="00CA3F44"/>
    <w:rsid w:val="00CA4E58"/>
    <w:rsid w:val="00CB3771"/>
    <w:rsid w:val="00CB44BF"/>
    <w:rsid w:val="00CB5153"/>
    <w:rsid w:val="00CE076A"/>
    <w:rsid w:val="00CE463D"/>
    <w:rsid w:val="00D10BA0"/>
    <w:rsid w:val="00D17E41"/>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15A1"/>
    <w:rsid w:val="00DA4037"/>
    <w:rsid w:val="00DB171A"/>
    <w:rsid w:val="00DE66A5"/>
    <w:rsid w:val="00DF2B50"/>
    <w:rsid w:val="00DF2EB7"/>
    <w:rsid w:val="00E01059"/>
    <w:rsid w:val="00E04C86"/>
    <w:rsid w:val="00E17344"/>
    <w:rsid w:val="00E20F30"/>
    <w:rsid w:val="00E2189C"/>
    <w:rsid w:val="00E25BB1"/>
    <w:rsid w:val="00E27BBA"/>
    <w:rsid w:val="00E30B31"/>
    <w:rsid w:val="00E30E3F"/>
    <w:rsid w:val="00E35E8F"/>
    <w:rsid w:val="00E428AB"/>
    <w:rsid w:val="00E438E8"/>
    <w:rsid w:val="00E453A3"/>
    <w:rsid w:val="00E51EC7"/>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1594"/>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CF0EA9"/>
  <w15:docId w15:val="{21EC3874-79E7-4759-92E4-0D0940E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Page No Char,encabezado Char,he Char,header Char,header odd Char,header odd1 Char,header odd2 Char"/>
    <w:basedOn w:val="DefaultParagraphFont"/>
    <w:link w:val="Header"/>
    <w:uiPriority w:val="99"/>
    <w:rsid w:val="001B3D4D"/>
    <w:rPr>
      <w:sz w:val="24"/>
      <w:szCs w:val="22"/>
      <w:lang w:val="en-US" w:eastAsia="en-US"/>
    </w:rPr>
  </w:style>
  <w:style w:type="paragraph" w:customStyle="1" w:styleId="Default">
    <w:name w:val="Default"/>
    <w:rsid w:val="009A0FCF"/>
    <w:pPr>
      <w:autoSpaceDE w:val="0"/>
      <w:autoSpaceDN w:val="0"/>
      <w:adjustRightInd w:val="0"/>
    </w:pPr>
    <w:rPr>
      <w:rFonts w:ascii="Verdana" w:eastAsiaTheme="minorEastAsia" w:hAnsi="Verdana" w:cs="Verdana"/>
      <w:color w:val="000000"/>
      <w:sz w:val="24"/>
      <w:szCs w:val="24"/>
      <w:lang w:val="en-US"/>
    </w:rPr>
  </w:style>
  <w:style w:type="character" w:customStyle="1" w:styleId="h21">
    <w:name w:val="h21"/>
    <w:basedOn w:val="DefaultParagraphFont"/>
    <w:rsid w:val="009A0FCF"/>
    <w:rPr>
      <w:b/>
      <w:bCs/>
      <w:color w:val="3366CC"/>
      <w:sz w:val="36"/>
      <w:szCs w:val="36"/>
    </w:rPr>
  </w:style>
  <w:style w:type="character" w:styleId="PlaceholderText">
    <w:name w:val="Placeholder Text"/>
    <w:basedOn w:val="DefaultParagraphFont"/>
    <w:uiPriority w:val="99"/>
    <w:semiHidden/>
    <w:rsid w:val="009A0FCF"/>
    <w:rPr>
      <w:color w:val="808080"/>
    </w:rPr>
  </w:style>
  <w:style w:type="character" w:customStyle="1" w:styleId="baec5a81-e4d6-4674-97f3-e9220f0136c1">
    <w:name w:val="baec5a81-e4d6-4674-97f3-e9220f0136c1"/>
    <w:basedOn w:val="DefaultParagraphFont"/>
    <w:rsid w:val="009A0FCF"/>
  </w:style>
  <w:style w:type="paragraph" w:customStyle="1" w:styleId="Message">
    <w:name w:val="Message"/>
    <w:rsid w:val="009A0FCF"/>
    <w:pPr>
      <w:spacing w:before="240" w:line="300" w:lineRule="exact"/>
      <w:ind w:left="794" w:right="794"/>
    </w:pPr>
    <w:rPr>
      <w:rFonts w:ascii="Arial" w:eastAsiaTheme="minorEastAsia" w:hAnsi="Arial" w:cs="Times New Roman"/>
      <w:sz w:val="22"/>
      <w:lang w:val="en-US" w:eastAsia="en-US" w:bidi="he-IL"/>
    </w:rPr>
  </w:style>
  <w:style w:type="paragraph" w:styleId="Date">
    <w:name w:val="Date"/>
    <w:basedOn w:val="Normal"/>
    <w:next w:val="Normal"/>
    <w:link w:val="DateChar"/>
    <w:rsid w:val="009A0FCF"/>
    <w:rPr>
      <w:rFonts w:eastAsiaTheme="minorEastAsia"/>
      <w:sz w:val="22"/>
    </w:rPr>
  </w:style>
  <w:style w:type="character" w:customStyle="1" w:styleId="DateChar">
    <w:name w:val="Date Char"/>
    <w:basedOn w:val="DefaultParagraphFont"/>
    <w:link w:val="Date"/>
    <w:rsid w:val="009A0FCF"/>
    <w:rPr>
      <w:rFonts w:eastAsiaTheme="minorEastAsia"/>
      <w:sz w:val="22"/>
      <w:szCs w:val="22"/>
      <w:lang w:val="en-US" w:eastAsia="en-US"/>
    </w:rPr>
  </w:style>
  <w:style w:type="character" w:styleId="FollowedHyperlink">
    <w:name w:val="FollowedHyperlink"/>
    <w:basedOn w:val="DefaultParagraphFont"/>
    <w:semiHidden/>
    <w:unhideWhenUsed/>
    <w:rsid w:val="009A0FCF"/>
    <w:rPr>
      <w:color w:val="800080" w:themeColor="followedHyperlink"/>
      <w:u w:val="single"/>
    </w:rPr>
  </w:style>
  <w:style w:type="character" w:customStyle="1" w:styleId="FooterChar">
    <w:name w:val="Footer Char"/>
    <w:basedOn w:val="DefaultParagraphFont"/>
    <w:link w:val="Footer"/>
    <w:uiPriority w:val="99"/>
    <w:rsid w:val="009A0FCF"/>
    <w:rPr>
      <w:sz w:val="24"/>
      <w:szCs w:val="22"/>
      <w:lang w:val="en-US" w:eastAsia="en-US"/>
    </w:rPr>
  </w:style>
  <w:style w:type="character" w:styleId="EndnoteReference">
    <w:name w:val="endnote reference"/>
    <w:rsid w:val="009A0FCF"/>
    <w:rPr>
      <w:vertAlign w:val="superscript"/>
    </w:rPr>
  </w:style>
  <w:style w:type="table" w:customStyle="1" w:styleId="TableGrid1">
    <w:name w:val="Table Grid1"/>
    <w:basedOn w:val="TableNormal"/>
    <w:next w:val="TableGrid"/>
    <w:uiPriority w:val="59"/>
    <w:rsid w:val="009A0FC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A0FCF"/>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9A0FCF"/>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cs="Times New Roman"/>
      <w:sz w:val="24"/>
      <w:lang w:val="en-GB" w:eastAsia="en-US"/>
    </w:rPr>
  </w:style>
  <w:style w:type="character" w:customStyle="1" w:styleId="enumlev1Char">
    <w:name w:val="enumlev1 Char"/>
    <w:link w:val="enumlev1"/>
    <w:locked/>
    <w:rsid w:val="009A0FCF"/>
    <w:rPr>
      <w:sz w:val="24"/>
      <w:szCs w:val="22"/>
      <w:lang w:val="en-US" w:eastAsia="en-US"/>
    </w:rPr>
  </w:style>
  <w:style w:type="paragraph" w:customStyle="1" w:styleId="TableNo">
    <w:name w:val="Table_No"/>
    <w:basedOn w:val="Normal"/>
    <w:next w:val="Normal"/>
    <w:rsid w:val="009A0FCF"/>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Tabletitle">
    <w:name w:val="Table_title"/>
    <w:basedOn w:val="Normal"/>
    <w:next w:val="Tabletext"/>
    <w:rsid w:val="009A0FCF"/>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extChar">
    <w:name w:val="Table_text Char"/>
    <w:link w:val="Tabletext"/>
    <w:rsid w:val="009A0FCF"/>
    <w:rPr>
      <w:szCs w:val="22"/>
      <w:lang w:val="en-US" w:eastAsia="en-US"/>
    </w:rPr>
  </w:style>
  <w:style w:type="paragraph" w:customStyle="1" w:styleId="Tablefin">
    <w:name w:val="Table_fin"/>
    <w:basedOn w:val="Tabletext"/>
    <w:rsid w:val="009A0FCF"/>
    <w:pPr>
      <w:tabs>
        <w:tab w:val="left" w:pos="1871"/>
      </w:tabs>
      <w:spacing w:before="0" w:after="0"/>
    </w:pPr>
    <w:rPr>
      <w:rFonts w:ascii="Times New Roman" w:hAnsi="Times New Roman" w:cs="Times New Roman"/>
      <w:szCs w:val="20"/>
      <w:lang w:val="en-GB"/>
    </w:rPr>
  </w:style>
  <w:style w:type="paragraph" w:customStyle="1" w:styleId="AnnexNotitle0">
    <w:name w:val="Annex_No &amp; title"/>
    <w:basedOn w:val="Normal"/>
    <w:next w:val="Normal"/>
    <w:rsid w:val="009A0FCF"/>
    <w:pPr>
      <w:keepNext/>
      <w:keepLines/>
      <w:spacing w:before="480" w:line="240" w:lineRule="auto"/>
      <w:jc w:val="center"/>
    </w:pPr>
    <w:rPr>
      <w:rFonts w:ascii="Times New Roman" w:hAnsi="Times New Roman" w:cs="Times New Roman"/>
      <w:b/>
      <w:sz w:val="28"/>
      <w:szCs w:val="20"/>
      <w:lang w:val="en-GB"/>
    </w:rPr>
  </w:style>
  <w:style w:type="character" w:styleId="UnresolvedMention">
    <w:name w:val="Unresolved Mention"/>
    <w:basedOn w:val="DefaultParagraphFont"/>
    <w:uiPriority w:val="99"/>
    <w:semiHidden/>
    <w:unhideWhenUsed/>
    <w:rsid w:val="009A0FCF"/>
    <w:rPr>
      <w:color w:val="605E5C"/>
      <w:shd w:val="clear" w:color="auto" w:fill="E1DFDD"/>
    </w:rPr>
  </w:style>
  <w:style w:type="table" w:styleId="GridTable1Light-Accent1">
    <w:name w:val="Grid Table 1 Light Accent 1"/>
    <w:basedOn w:val="TableNormal"/>
    <w:uiPriority w:val="46"/>
    <w:rsid w:val="009A0FCF"/>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9A0FC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
    <w:name w:val="Agenda_item"/>
    <w:basedOn w:val="Normal"/>
    <w:next w:val="Normal"/>
    <w:qFormat/>
    <w:rsid w:val="009A0FCF"/>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paragraph" w:customStyle="1" w:styleId="Normalaftertitle0">
    <w:name w:val="Normal after title"/>
    <w:basedOn w:val="Normal"/>
    <w:next w:val="Normal"/>
    <w:rsid w:val="009A0FC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s-ES_tradnl"/>
    </w:rPr>
  </w:style>
  <w:style w:type="paragraph" w:customStyle="1" w:styleId="Reasons">
    <w:name w:val="Reasons"/>
    <w:basedOn w:val="Normal"/>
    <w:qFormat/>
    <w:rsid w:val="009A0FC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TabletextodyCalibri">
    <w:name w:val="Table_text + +ody (Calibri)"/>
    <w:aliases w:val="11 pt"/>
    <w:basedOn w:val="Tabletext"/>
    <w:rsid w:val="003E0BC1"/>
    <w:pPr>
      <w:tabs>
        <w:tab w:val="clear" w:pos="284"/>
        <w:tab w:val="left" w:pos="439"/>
      </w:tabs>
      <w:spacing w:before="120"/>
    </w:pPr>
    <w:rPr>
      <w:rFonts w:asciiTheme="minorHAnsi" w:hAnsiTheme="minorHAnsi" w:cstheme="minorHAnsi"/>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6-WRC19-C-0201/en" TargetMode="External"/><Relationship Id="rId18" Type="http://schemas.openxmlformats.org/officeDocument/2006/relationships/hyperlink" Target="https://www.itu.int/md/R16-WRC19-C-0293/en" TargetMode="External"/><Relationship Id="rId26" Type="http://schemas.openxmlformats.org/officeDocument/2006/relationships/hyperlink" Target="https://www.itu.int/md/R16-WRC19-C-0347/en" TargetMode="External"/><Relationship Id="rId39" Type="http://schemas.openxmlformats.org/officeDocument/2006/relationships/hyperlink" Target="https://www.itu.int/md/meetingdoc.asp?lang=es&amp;parent=R16-WRC19-C-0035" TargetMode="External"/><Relationship Id="rId21" Type="http://schemas.openxmlformats.org/officeDocument/2006/relationships/hyperlink" Target="https://www.itu.int/md/R16-WRC19-C-0303/en" TargetMode="External"/><Relationship Id="rId34" Type="http://schemas.openxmlformats.org/officeDocument/2006/relationships/image" Target="media/image3.emf"/><Relationship Id="rId42" Type="http://schemas.openxmlformats.org/officeDocument/2006/relationships/hyperlink" Target="https://www.itu.int/md/R16-WRC19-C-0509/en" TargetMode="External"/><Relationship Id="rId47" Type="http://schemas.openxmlformats.org/officeDocument/2006/relationships/hyperlink" Target="https://www.itu.int/md/R16-WRC19-C-0518/en" TargetMode="External"/><Relationship Id="rId50" Type="http://schemas.openxmlformats.org/officeDocument/2006/relationships/hyperlink" Target="https://www.itu.int/md/R16-WRC19-C-0283/en" TargetMode="External"/><Relationship Id="rId55" Type="http://schemas.openxmlformats.org/officeDocument/2006/relationships/hyperlink" Target="https://www.itu.int/md/R16-WRC19-C-0566/en"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6-WRC19-C-0228/en" TargetMode="External"/><Relationship Id="rId20" Type="http://schemas.openxmlformats.org/officeDocument/2006/relationships/hyperlink" Target="https://www.itu.int/md/R16-WRC19-C-0568/en" TargetMode="External"/><Relationship Id="rId29" Type="http://schemas.openxmlformats.org/officeDocument/2006/relationships/hyperlink" Target="https://www.itu.int/md/R16-WRC19-C-0452/en" TargetMode="External"/><Relationship Id="rId41" Type="http://schemas.openxmlformats.org/officeDocument/2006/relationships/hyperlink" Target="https://www.itu.int/md/R16-WRC19-C-0500/en" TargetMode="External"/><Relationship Id="rId54" Type="http://schemas.openxmlformats.org/officeDocument/2006/relationships/hyperlink" Target="https://www.itu.int/md/R16-WRC19-C-0575/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16-WRC19-C-0569/en" TargetMode="External"/><Relationship Id="rId32" Type="http://schemas.openxmlformats.org/officeDocument/2006/relationships/hyperlink" Target="https://www.itu.int/md/R16-WRC19-C-0518/en" TargetMode="External"/><Relationship Id="rId37" Type="http://schemas.openxmlformats.org/officeDocument/2006/relationships/hyperlink" Target="https://www.itu.int/md/meetingdoc.asp?lang=es&amp;parent=R16-WRC19-C-0092" TargetMode="External"/><Relationship Id="rId40" Type="http://schemas.openxmlformats.org/officeDocument/2006/relationships/hyperlink" Target="https://www.itu.int/md/R16-WRC19-C-0499/en" TargetMode="External"/><Relationship Id="rId45" Type="http://schemas.openxmlformats.org/officeDocument/2006/relationships/hyperlink" Target="https://www.itu.int/md/R16-WRC19-C-0402/en" TargetMode="External"/><Relationship Id="rId53" Type="http://schemas.openxmlformats.org/officeDocument/2006/relationships/hyperlink" Target="https://www.itu.int/md/R16-WRC19-C-0535/en"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R16-WRC19-C-0469/en" TargetMode="External"/><Relationship Id="rId23" Type="http://schemas.openxmlformats.org/officeDocument/2006/relationships/hyperlink" Target="https://www.itu.int/md/R16-WRC19-C-0238/en" TargetMode="External"/><Relationship Id="rId28" Type="http://schemas.openxmlformats.org/officeDocument/2006/relationships/hyperlink" Target="https://www.itu.int/md/R16-WRC19-C-0351/es" TargetMode="External"/><Relationship Id="rId36" Type="http://schemas.openxmlformats.org/officeDocument/2006/relationships/image" Target="media/image5.emf"/><Relationship Id="rId49" Type="http://schemas.openxmlformats.org/officeDocument/2006/relationships/hyperlink" Target="https://www.itu.int/md/R16-WRC19-C-0550/en" TargetMode="External"/><Relationship Id="rId57" Type="http://schemas.openxmlformats.org/officeDocument/2006/relationships/header" Target="header5.xml"/><Relationship Id="rId61"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https://www.itu.int/md/R16-WRC19-C-0289/en" TargetMode="External"/><Relationship Id="rId31" Type="http://schemas.openxmlformats.org/officeDocument/2006/relationships/hyperlink" Target="https://www.itu.int/md/R16-WRC19-C-0571/en" TargetMode="External"/><Relationship Id="rId44" Type="http://schemas.openxmlformats.org/officeDocument/2006/relationships/hyperlink" Target="https://www.itu.int/md/R16-WRC19-C-0572/en" TargetMode="External"/><Relationship Id="rId52" Type="http://schemas.openxmlformats.org/officeDocument/2006/relationships/hyperlink" Target="https://www.itu.int/md/R16-WRC19-C-0554/en"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tu.int/md/R16-WRC19-C-0189/en" TargetMode="External"/><Relationship Id="rId22" Type="http://schemas.openxmlformats.org/officeDocument/2006/relationships/hyperlink" Target="https://www.itu.int/md/R16-WRC19-C-0338/en" TargetMode="External"/><Relationship Id="rId27" Type="http://schemas.openxmlformats.org/officeDocument/2006/relationships/hyperlink" Target="https://www.itu.int/md/R16-WRC19-C-0451/en" TargetMode="External"/><Relationship Id="rId30" Type="http://schemas.openxmlformats.org/officeDocument/2006/relationships/hyperlink" Target="https://www.itu.int/md/R16-WRC19-C-0471/en" TargetMode="External"/><Relationship Id="rId35" Type="http://schemas.openxmlformats.org/officeDocument/2006/relationships/image" Target="media/image4.emf"/><Relationship Id="rId43" Type="http://schemas.openxmlformats.org/officeDocument/2006/relationships/hyperlink" Target="https://www.itu.int/md/R16-WRC19-C-0510/en" TargetMode="External"/><Relationship Id="rId48" Type="http://schemas.openxmlformats.org/officeDocument/2006/relationships/hyperlink" Target="https://www.itu.int/md/R16-WRC19-C-0518/en" TargetMode="External"/><Relationship Id="rId56"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www.itu.int/md/R16-WRC19-C-0563/en" TargetMode="External"/><Relationship Id="rId3" Type="http://schemas.openxmlformats.org/officeDocument/2006/relationships/styles" Target="styles.xml"/><Relationship Id="rId12" Type="http://schemas.openxmlformats.org/officeDocument/2006/relationships/hyperlink" Target="https://www.itu.int/md/R16-WRC19-C-0237/en" TargetMode="External"/><Relationship Id="rId17" Type="http://schemas.openxmlformats.org/officeDocument/2006/relationships/hyperlink" Target="https://www.itu.int/md/R16-WRC19-C-0232/en" TargetMode="External"/><Relationship Id="rId25" Type="http://schemas.openxmlformats.org/officeDocument/2006/relationships/hyperlink" Target="https://www.itu.int/md/R16-WRC19-C-0344/en" TargetMode="External"/><Relationship Id="rId33" Type="http://schemas.openxmlformats.org/officeDocument/2006/relationships/image" Target="media/image2.emf"/><Relationship Id="rId38" Type="http://schemas.openxmlformats.org/officeDocument/2006/relationships/hyperlink" Target="https://www.itu.int/md/meetingdoc.asp?lang=es&amp;parent=R16-WRC19-C-0048" TargetMode="External"/><Relationship Id="rId46" Type="http://schemas.openxmlformats.org/officeDocument/2006/relationships/hyperlink" Target="https://www.itu.int/md/R16-WRC19-C-0573/en" TargetMode="External"/><Relationship Id="rId5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1CBA-12C4-472D-AB4D-BC631B24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421</TotalTime>
  <Pages>31</Pages>
  <Words>11267</Words>
  <Characters>59833</Characters>
  <Application>Microsoft Office Word</Application>
  <DocSecurity>0</DocSecurity>
  <Lines>498</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70959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Bonnici, Adrienne</cp:lastModifiedBy>
  <cp:revision>31</cp:revision>
  <cp:lastPrinted>2020-03-04T10:17:00Z</cp:lastPrinted>
  <dcterms:created xsi:type="dcterms:W3CDTF">2020-03-03T15:13:00Z</dcterms:created>
  <dcterms:modified xsi:type="dcterms:W3CDTF">2020-04-14T09:52:00Z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