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6B4F" w14:textId="77777777" w:rsidR="009E6EBB" w:rsidRPr="008C3ECA" w:rsidRDefault="009E6EBB" w:rsidP="009E6EBB">
      <w:pPr>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14:paraId="734186D8" w14:textId="77777777" w:rsidR="009E6EBB" w:rsidRDefault="009E6EBB"/>
    <w:tbl>
      <w:tblPr>
        <w:tblW w:w="9781" w:type="dxa"/>
        <w:tblLayout w:type="fixed"/>
        <w:tblLook w:val="04A0" w:firstRow="1" w:lastRow="0" w:firstColumn="1" w:lastColumn="0" w:noHBand="0" w:noVBand="1"/>
      </w:tblPr>
      <w:tblGrid>
        <w:gridCol w:w="1526"/>
        <w:gridCol w:w="5386"/>
        <w:gridCol w:w="2869"/>
      </w:tblGrid>
      <w:tr w:rsidR="00295CF8" w:rsidRPr="00295CF8" w14:paraId="1B864158" w14:textId="77777777" w:rsidTr="00A2062E">
        <w:tc>
          <w:tcPr>
            <w:tcW w:w="6912" w:type="dxa"/>
            <w:gridSpan w:val="2"/>
            <w:shd w:val="clear" w:color="auto" w:fill="auto"/>
          </w:tcPr>
          <w:p w14:paraId="33DF01CF" w14:textId="77777777" w:rsidR="009E6EBB" w:rsidRPr="006554AB" w:rsidRDefault="009E6EBB" w:rsidP="00AC05B1">
            <w:pPr>
              <w:spacing w:before="0"/>
              <w:jc w:val="left"/>
              <w:rPr>
                <w:sz w:val="24"/>
                <w:szCs w:val="24"/>
                <w:lang w:val="en-GB"/>
              </w:rPr>
            </w:pPr>
            <w:r w:rsidRPr="006554AB">
              <w:rPr>
                <w:sz w:val="24"/>
                <w:szCs w:val="24"/>
                <w:lang w:val="en-GB"/>
              </w:rPr>
              <w:t>Circular Letter</w:t>
            </w:r>
          </w:p>
          <w:p w14:paraId="0D552710" w14:textId="30623E9A" w:rsidR="009E6EBB" w:rsidRPr="00295CF8" w:rsidRDefault="009E6EBB" w:rsidP="00696EEE">
            <w:pPr>
              <w:spacing w:before="0"/>
              <w:jc w:val="left"/>
              <w:rPr>
                <w:b/>
                <w:bCs/>
                <w:szCs w:val="24"/>
                <w:lang w:val="en-GB"/>
              </w:rPr>
            </w:pPr>
            <w:r w:rsidRPr="006554AB">
              <w:rPr>
                <w:b/>
                <w:bCs/>
                <w:sz w:val="24"/>
                <w:szCs w:val="24"/>
                <w:lang w:val="en-GB"/>
              </w:rPr>
              <w:t>CR/</w:t>
            </w:r>
            <w:r w:rsidR="00696EEE">
              <w:rPr>
                <w:b/>
                <w:bCs/>
                <w:sz w:val="24"/>
                <w:szCs w:val="24"/>
                <w:lang w:val="en-GB"/>
              </w:rPr>
              <w:t>456</w:t>
            </w:r>
          </w:p>
        </w:tc>
        <w:tc>
          <w:tcPr>
            <w:tcW w:w="2869" w:type="dxa"/>
            <w:shd w:val="clear" w:color="auto" w:fill="auto"/>
          </w:tcPr>
          <w:p w14:paraId="16C84185" w14:textId="1C8711F9" w:rsidR="009E6EBB" w:rsidRPr="00295CF8" w:rsidRDefault="008F4D10" w:rsidP="00C07806">
            <w:pPr>
              <w:spacing w:before="0"/>
              <w:jc w:val="right"/>
              <w:rPr>
                <w:szCs w:val="24"/>
                <w:lang w:val="en-GB"/>
              </w:rPr>
            </w:pPr>
            <w:r>
              <w:rPr>
                <w:sz w:val="24"/>
                <w:szCs w:val="28"/>
                <w:lang w:val="en-GB"/>
              </w:rPr>
              <w:t>6</w:t>
            </w:r>
            <w:r w:rsidR="00595966">
              <w:rPr>
                <w:sz w:val="24"/>
                <w:szCs w:val="28"/>
                <w:lang w:val="en-GB"/>
              </w:rPr>
              <w:t xml:space="preserve"> </w:t>
            </w:r>
            <w:r w:rsidR="00696EEE">
              <w:rPr>
                <w:sz w:val="24"/>
                <w:szCs w:val="28"/>
                <w:lang w:val="en-GB"/>
              </w:rPr>
              <w:t>March</w:t>
            </w:r>
            <w:r w:rsidR="00A2062E">
              <w:rPr>
                <w:sz w:val="24"/>
                <w:szCs w:val="28"/>
                <w:lang w:val="en-GB"/>
              </w:rPr>
              <w:t xml:space="preserve"> </w:t>
            </w:r>
            <w:r w:rsidR="00066E5D">
              <w:rPr>
                <w:sz w:val="24"/>
                <w:szCs w:val="28"/>
                <w:lang w:val="en-GB"/>
              </w:rPr>
              <w:t>2020</w:t>
            </w:r>
          </w:p>
        </w:tc>
      </w:tr>
      <w:tr w:rsidR="009E6EBB" w:rsidRPr="000D79FA" w14:paraId="0466C98C" w14:textId="77777777" w:rsidTr="00A2062E">
        <w:tc>
          <w:tcPr>
            <w:tcW w:w="9781" w:type="dxa"/>
            <w:gridSpan w:val="3"/>
            <w:shd w:val="clear" w:color="auto" w:fill="auto"/>
          </w:tcPr>
          <w:p w14:paraId="08857F06" w14:textId="77777777" w:rsidR="009E6EBB" w:rsidRPr="000D79FA" w:rsidRDefault="009E6EBB" w:rsidP="00A2671E">
            <w:pPr>
              <w:tabs>
                <w:tab w:val="left" w:pos="4428"/>
              </w:tabs>
              <w:spacing w:before="0"/>
              <w:jc w:val="left"/>
              <w:rPr>
                <w:rFonts w:cs="Arial"/>
                <w:sz w:val="24"/>
                <w:szCs w:val="24"/>
                <w:lang w:val="en-GB"/>
              </w:rPr>
            </w:pPr>
          </w:p>
        </w:tc>
      </w:tr>
      <w:tr w:rsidR="009E6EBB" w:rsidRPr="000D79FA" w14:paraId="45500DD5" w14:textId="77777777" w:rsidTr="00A2062E">
        <w:tc>
          <w:tcPr>
            <w:tcW w:w="9781" w:type="dxa"/>
            <w:gridSpan w:val="3"/>
            <w:shd w:val="clear" w:color="auto" w:fill="auto"/>
          </w:tcPr>
          <w:p w14:paraId="764EB475" w14:textId="7E2691B0" w:rsidR="00A15F66" w:rsidRPr="0024202A" w:rsidRDefault="00A15F66" w:rsidP="00066E5D">
            <w:pPr>
              <w:tabs>
                <w:tab w:val="left" w:pos="1310"/>
              </w:tabs>
              <w:spacing w:line="240" w:lineRule="auto"/>
              <w:rPr>
                <w:rFonts w:eastAsia="Times New Roman"/>
                <w:b/>
                <w:bCs/>
                <w:sz w:val="24"/>
                <w:szCs w:val="24"/>
              </w:rPr>
            </w:pPr>
            <w:r>
              <w:rPr>
                <w:rFonts w:eastAsia="Times New Roman"/>
                <w:b/>
                <w:bCs/>
                <w:sz w:val="24"/>
                <w:szCs w:val="24"/>
              </w:rPr>
              <w:t xml:space="preserve">To the </w:t>
            </w:r>
            <w:r w:rsidRPr="0024202A">
              <w:rPr>
                <w:rFonts w:eastAsia="Times New Roman"/>
                <w:b/>
                <w:bCs/>
                <w:sz w:val="24"/>
                <w:szCs w:val="24"/>
              </w:rPr>
              <w:t>Administrations of ITU Member States</w:t>
            </w:r>
          </w:p>
          <w:p w14:paraId="446DD9F9" w14:textId="77777777" w:rsidR="009E6EBB" w:rsidRPr="000D79FA" w:rsidRDefault="009E6EBB" w:rsidP="00AC05B1">
            <w:pPr>
              <w:spacing w:before="0"/>
              <w:jc w:val="left"/>
              <w:rPr>
                <w:b/>
                <w:bCs/>
                <w:sz w:val="24"/>
                <w:szCs w:val="24"/>
                <w:lang w:val="en-GB"/>
              </w:rPr>
            </w:pPr>
          </w:p>
        </w:tc>
      </w:tr>
      <w:tr w:rsidR="009E6EBB" w:rsidRPr="000D79FA" w14:paraId="582F5A55" w14:textId="77777777" w:rsidTr="00A2062E">
        <w:tc>
          <w:tcPr>
            <w:tcW w:w="9781" w:type="dxa"/>
            <w:gridSpan w:val="3"/>
            <w:shd w:val="clear" w:color="auto" w:fill="auto"/>
          </w:tcPr>
          <w:p w14:paraId="2B2F7F32" w14:textId="77777777" w:rsidR="009E6EBB" w:rsidRPr="000D79FA" w:rsidRDefault="009E6EBB" w:rsidP="00AC05B1">
            <w:pPr>
              <w:spacing w:before="0"/>
              <w:jc w:val="left"/>
              <w:rPr>
                <w:sz w:val="24"/>
                <w:szCs w:val="24"/>
                <w:lang w:val="en-GB"/>
              </w:rPr>
            </w:pPr>
          </w:p>
        </w:tc>
      </w:tr>
      <w:tr w:rsidR="009E6EBB" w:rsidRPr="000D79FA" w14:paraId="1BBE8555" w14:textId="77777777" w:rsidTr="00A2062E">
        <w:tc>
          <w:tcPr>
            <w:tcW w:w="9781" w:type="dxa"/>
            <w:gridSpan w:val="3"/>
            <w:shd w:val="clear" w:color="auto" w:fill="auto"/>
          </w:tcPr>
          <w:p w14:paraId="2BA95F6C" w14:textId="77777777" w:rsidR="009E6EBB" w:rsidRPr="000D79FA" w:rsidRDefault="009E6EBB" w:rsidP="00AC05B1">
            <w:pPr>
              <w:spacing w:before="0"/>
              <w:jc w:val="left"/>
              <w:rPr>
                <w:sz w:val="24"/>
                <w:szCs w:val="24"/>
                <w:lang w:val="en-GB"/>
              </w:rPr>
            </w:pPr>
          </w:p>
        </w:tc>
      </w:tr>
      <w:tr w:rsidR="00A2062E" w:rsidRPr="000D79FA" w14:paraId="6D299DCB" w14:textId="77777777" w:rsidTr="00A2062E">
        <w:tc>
          <w:tcPr>
            <w:tcW w:w="1526" w:type="dxa"/>
            <w:shd w:val="clear" w:color="auto" w:fill="auto"/>
          </w:tcPr>
          <w:p w14:paraId="770DD236" w14:textId="77777777" w:rsidR="00A2062E" w:rsidRPr="000D79FA" w:rsidRDefault="00A2062E" w:rsidP="00A2062E">
            <w:pPr>
              <w:spacing w:before="0"/>
              <w:jc w:val="left"/>
              <w:rPr>
                <w:sz w:val="24"/>
                <w:szCs w:val="24"/>
                <w:lang w:val="en-GB"/>
              </w:rPr>
            </w:pPr>
            <w:r w:rsidRPr="000D79FA">
              <w:rPr>
                <w:sz w:val="24"/>
                <w:szCs w:val="24"/>
                <w:lang w:val="en-GB"/>
              </w:rPr>
              <w:t>Subject:</w:t>
            </w:r>
          </w:p>
        </w:tc>
        <w:tc>
          <w:tcPr>
            <w:tcW w:w="8255" w:type="dxa"/>
            <w:gridSpan w:val="2"/>
            <w:vMerge w:val="restart"/>
            <w:shd w:val="clear" w:color="auto" w:fill="auto"/>
          </w:tcPr>
          <w:p w14:paraId="11A9E4B3" w14:textId="77777777" w:rsidR="00A2062E" w:rsidRPr="00363AB4" w:rsidRDefault="00A2062E" w:rsidP="00A2062E">
            <w:pPr>
              <w:tabs>
                <w:tab w:val="clear" w:pos="794"/>
                <w:tab w:val="clear" w:pos="1191"/>
                <w:tab w:val="clear" w:pos="1588"/>
                <w:tab w:val="clear" w:pos="1985"/>
              </w:tabs>
              <w:spacing w:before="0"/>
              <w:ind w:left="1440" w:hanging="1440"/>
              <w:rPr>
                <w:b/>
                <w:bCs/>
                <w:sz w:val="24"/>
                <w:szCs w:val="24"/>
              </w:rPr>
            </w:pPr>
            <w:r w:rsidRPr="00363AB4">
              <w:rPr>
                <w:b/>
                <w:bCs/>
                <w:sz w:val="24"/>
                <w:szCs w:val="24"/>
              </w:rPr>
              <w:t>WRC-1</w:t>
            </w:r>
            <w:r>
              <w:rPr>
                <w:b/>
                <w:bCs/>
                <w:sz w:val="24"/>
                <w:szCs w:val="24"/>
              </w:rPr>
              <w:t>9</w:t>
            </w:r>
            <w:r w:rsidRPr="00363AB4">
              <w:rPr>
                <w:b/>
                <w:bCs/>
                <w:sz w:val="24"/>
                <w:szCs w:val="24"/>
              </w:rPr>
              <w:t xml:space="preserve"> decisions included in the Minutes of Plenary meetings </w:t>
            </w:r>
          </w:p>
          <w:p w14:paraId="684654A1" w14:textId="613D8F28" w:rsidR="00A2062E" w:rsidRPr="002A6CEE" w:rsidRDefault="00A2062E" w:rsidP="00A2062E">
            <w:pPr>
              <w:tabs>
                <w:tab w:val="left" w:pos="6690"/>
              </w:tabs>
              <w:spacing w:before="0"/>
              <w:rPr>
                <w:rFonts w:eastAsia="Times New Roman"/>
                <w:b/>
                <w:bCs/>
                <w:sz w:val="24"/>
                <w:szCs w:val="24"/>
                <w:lang w:val="en-GB"/>
              </w:rPr>
            </w:pPr>
          </w:p>
        </w:tc>
      </w:tr>
      <w:tr w:rsidR="009E6EBB" w:rsidRPr="000D79FA" w14:paraId="5B23A838" w14:textId="77777777" w:rsidTr="00A2062E">
        <w:tc>
          <w:tcPr>
            <w:tcW w:w="1526" w:type="dxa"/>
            <w:shd w:val="clear" w:color="auto" w:fill="auto"/>
          </w:tcPr>
          <w:p w14:paraId="709777DE" w14:textId="77777777" w:rsidR="009E6EBB" w:rsidRPr="000D79FA" w:rsidRDefault="009E6EBB" w:rsidP="00AC05B1">
            <w:pPr>
              <w:spacing w:before="0"/>
              <w:jc w:val="left"/>
              <w:rPr>
                <w:b/>
                <w:bCs/>
                <w:sz w:val="24"/>
                <w:szCs w:val="24"/>
                <w:lang w:val="en-GB"/>
              </w:rPr>
            </w:pPr>
          </w:p>
        </w:tc>
        <w:tc>
          <w:tcPr>
            <w:tcW w:w="8255" w:type="dxa"/>
            <w:gridSpan w:val="2"/>
            <w:vMerge/>
            <w:shd w:val="clear" w:color="auto" w:fill="auto"/>
          </w:tcPr>
          <w:p w14:paraId="7DDE7B0D" w14:textId="77777777" w:rsidR="009E6EBB" w:rsidRPr="000D79FA" w:rsidRDefault="009E6EBB" w:rsidP="00AC05B1">
            <w:pPr>
              <w:spacing w:before="0"/>
              <w:rPr>
                <w:b/>
                <w:bCs/>
                <w:sz w:val="24"/>
                <w:szCs w:val="24"/>
                <w:lang w:val="en-GB"/>
              </w:rPr>
            </w:pPr>
          </w:p>
        </w:tc>
      </w:tr>
    </w:tbl>
    <w:p w14:paraId="74E3AF09" w14:textId="77777777" w:rsidR="00066E5D" w:rsidRDefault="00066E5D" w:rsidP="0070656B">
      <w:pPr>
        <w:tabs>
          <w:tab w:val="clear" w:pos="794"/>
          <w:tab w:val="clear" w:pos="1191"/>
          <w:tab w:val="clear" w:pos="1588"/>
          <w:tab w:val="clear" w:pos="1985"/>
        </w:tabs>
        <w:overflowPunct/>
        <w:spacing w:before="120" w:after="360" w:line="240" w:lineRule="auto"/>
        <w:textAlignment w:val="auto"/>
        <w:rPr>
          <w:rFonts w:asciiTheme="minorHAnsi" w:eastAsia="SimSun" w:hAnsiTheme="minorHAnsi" w:cstheme="minorHAnsi"/>
          <w:sz w:val="24"/>
          <w:szCs w:val="24"/>
          <w:lang w:eastAsia="zh-CN"/>
        </w:rPr>
      </w:pPr>
    </w:p>
    <w:p w14:paraId="597D5654" w14:textId="77777777" w:rsidR="00A2062E" w:rsidRPr="00363AB4" w:rsidRDefault="00A2062E" w:rsidP="00A2062E">
      <w:pPr>
        <w:pStyle w:val="NoSpacing"/>
        <w:tabs>
          <w:tab w:val="clear" w:pos="794"/>
          <w:tab w:val="left" w:pos="709"/>
        </w:tabs>
        <w:spacing w:before="240"/>
        <w:jc w:val="both"/>
        <w:rPr>
          <w:rFonts w:ascii="Calibri" w:hAnsi="Calibri"/>
          <w:szCs w:val="24"/>
          <w:lang w:val="en-US"/>
        </w:rPr>
      </w:pPr>
      <w:r w:rsidRPr="00363AB4">
        <w:rPr>
          <w:rFonts w:ascii="Calibri" w:hAnsi="Calibri"/>
          <w:szCs w:val="24"/>
          <w:lang w:val="en-US"/>
        </w:rPr>
        <w:t xml:space="preserve">The World Radiocommunication Conference, </w:t>
      </w:r>
      <w:r w:rsidRPr="000452D7">
        <w:rPr>
          <w:rFonts w:ascii="Calibri" w:hAnsi="Calibri"/>
          <w:szCs w:val="24"/>
          <w:lang w:val="en-US"/>
        </w:rPr>
        <w:t xml:space="preserve">Sharm el-Sheikh, 2019, </w:t>
      </w:r>
      <w:r w:rsidRPr="00363AB4">
        <w:rPr>
          <w:rFonts w:ascii="Calibri" w:hAnsi="Calibri"/>
          <w:szCs w:val="24"/>
          <w:lang w:val="en-US"/>
        </w:rPr>
        <w:t>(WRC-1</w:t>
      </w:r>
      <w:r>
        <w:rPr>
          <w:rFonts w:ascii="Calibri" w:hAnsi="Calibri"/>
          <w:szCs w:val="24"/>
          <w:lang w:val="en-US"/>
        </w:rPr>
        <w:t>9</w:t>
      </w:r>
      <w:r w:rsidRPr="00363AB4">
        <w:rPr>
          <w:rFonts w:ascii="Calibri" w:hAnsi="Calibri"/>
          <w:szCs w:val="24"/>
          <w:lang w:val="en-US"/>
        </w:rPr>
        <w:t xml:space="preserve">), in adopting a partial revision of the Radio Regulations, took a number of decisions which do not appear in the Conference Final Acts, but are reflected </w:t>
      </w:r>
      <w:r>
        <w:rPr>
          <w:rFonts w:ascii="Calibri" w:hAnsi="Calibri"/>
          <w:szCs w:val="24"/>
          <w:lang w:val="en-US"/>
        </w:rPr>
        <w:t xml:space="preserve">in </w:t>
      </w:r>
      <w:r w:rsidRPr="00363AB4">
        <w:rPr>
          <w:rFonts w:ascii="Calibri" w:hAnsi="Calibri"/>
          <w:szCs w:val="24"/>
          <w:lang w:val="en-US"/>
        </w:rPr>
        <w:t>the minutes of WRC-1</w:t>
      </w:r>
      <w:r>
        <w:rPr>
          <w:rFonts w:ascii="Calibri" w:hAnsi="Calibri"/>
          <w:szCs w:val="24"/>
          <w:lang w:val="en-US"/>
        </w:rPr>
        <w:t>9</w:t>
      </w:r>
      <w:r w:rsidRPr="00363AB4">
        <w:rPr>
          <w:rFonts w:ascii="Calibri" w:hAnsi="Calibri"/>
          <w:szCs w:val="24"/>
          <w:lang w:val="en-US"/>
        </w:rPr>
        <w:t xml:space="preserve"> Plenary meetings. The </w:t>
      </w:r>
      <w:r>
        <w:rPr>
          <w:rFonts w:ascii="Calibri" w:hAnsi="Calibri"/>
          <w:szCs w:val="24"/>
          <w:lang w:val="en-US"/>
        </w:rPr>
        <w:t>purpose of this Circular Letter</w:t>
      </w:r>
      <w:r w:rsidRPr="00363AB4">
        <w:rPr>
          <w:rFonts w:ascii="Calibri" w:hAnsi="Calibri"/>
          <w:szCs w:val="24"/>
          <w:lang w:val="en-US"/>
        </w:rPr>
        <w:t xml:space="preserve"> is to gather and bring these decisions to the attention of administrations.</w:t>
      </w:r>
    </w:p>
    <w:p w14:paraId="3865C8BB" w14:textId="77777777" w:rsidR="00A2062E" w:rsidRPr="00363AB4" w:rsidRDefault="00A2062E" w:rsidP="00A2062E">
      <w:pPr>
        <w:pStyle w:val="NoSpacing"/>
        <w:tabs>
          <w:tab w:val="clear" w:pos="794"/>
          <w:tab w:val="left" w:pos="709"/>
        </w:tabs>
        <w:spacing w:before="240"/>
        <w:jc w:val="both"/>
        <w:rPr>
          <w:rFonts w:ascii="Calibri" w:hAnsi="Calibri"/>
          <w:szCs w:val="24"/>
          <w:lang w:val="en-US"/>
        </w:rPr>
      </w:pPr>
      <w:r>
        <w:rPr>
          <w:rFonts w:ascii="Calibri" w:hAnsi="Calibri"/>
          <w:szCs w:val="24"/>
          <w:lang w:val="en-US"/>
        </w:rPr>
        <w:t>The Annex to this Circular Letter contains the compilation of</w:t>
      </w:r>
      <w:r w:rsidRPr="00363AB4">
        <w:rPr>
          <w:rFonts w:ascii="Calibri" w:hAnsi="Calibri"/>
          <w:szCs w:val="24"/>
          <w:lang w:val="en-US"/>
        </w:rPr>
        <w:t xml:space="preserve"> the text</w:t>
      </w:r>
      <w:r>
        <w:rPr>
          <w:rFonts w:ascii="Calibri" w:hAnsi="Calibri"/>
          <w:szCs w:val="24"/>
          <w:lang w:val="en-US"/>
        </w:rPr>
        <w:t>s</w:t>
      </w:r>
      <w:r w:rsidRPr="00363AB4">
        <w:rPr>
          <w:rFonts w:ascii="Calibri" w:hAnsi="Calibri"/>
          <w:szCs w:val="24"/>
          <w:lang w:val="en-US"/>
        </w:rPr>
        <w:t xml:space="preserve"> of these decisions, along with the references to the corresponding paragraphs in the documents containing the minu</w:t>
      </w:r>
      <w:r>
        <w:rPr>
          <w:rFonts w:ascii="Calibri" w:hAnsi="Calibri"/>
          <w:szCs w:val="24"/>
          <w:lang w:val="en-US"/>
        </w:rPr>
        <w:t>tes of WRC-19 Plenary Meetings and to the documents for which agreement or endorsement of the Plenary was sought.</w:t>
      </w:r>
    </w:p>
    <w:p w14:paraId="33D27D35" w14:textId="77777777" w:rsidR="00A2062E" w:rsidRPr="00363AB4" w:rsidRDefault="00A2062E" w:rsidP="00A2062E">
      <w:pPr>
        <w:tabs>
          <w:tab w:val="clear" w:pos="794"/>
          <w:tab w:val="clear" w:pos="1191"/>
          <w:tab w:val="clear" w:pos="1588"/>
          <w:tab w:val="clear" w:pos="1985"/>
        </w:tabs>
        <w:overflowPunct/>
        <w:autoSpaceDE/>
        <w:autoSpaceDN/>
        <w:adjustRightInd/>
        <w:spacing w:before="240" w:line="240" w:lineRule="auto"/>
        <w:textAlignment w:val="auto"/>
        <w:rPr>
          <w:rFonts w:cstheme="majorBidi"/>
          <w:sz w:val="24"/>
          <w:szCs w:val="24"/>
        </w:rPr>
      </w:pPr>
      <w:r w:rsidRPr="00363AB4">
        <w:rPr>
          <w:rFonts w:cstheme="majorBidi"/>
          <w:sz w:val="24"/>
          <w:szCs w:val="24"/>
        </w:rPr>
        <w:t xml:space="preserve">The </w:t>
      </w:r>
      <w:r>
        <w:rPr>
          <w:rFonts w:cstheme="majorBidi"/>
          <w:sz w:val="24"/>
          <w:szCs w:val="24"/>
        </w:rPr>
        <w:t xml:space="preserve">Radiocommunication </w:t>
      </w:r>
      <w:r w:rsidRPr="00363AB4">
        <w:rPr>
          <w:rFonts w:cstheme="majorBidi"/>
          <w:sz w:val="24"/>
          <w:szCs w:val="24"/>
        </w:rPr>
        <w:t>Bureau remains at the disposal of your administ</w:t>
      </w:r>
      <w:r>
        <w:rPr>
          <w:rFonts w:cstheme="majorBidi"/>
          <w:sz w:val="24"/>
          <w:szCs w:val="24"/>
        </w:rPr>
        <w:t>ration for any clarification it</w:t>
      </w:r>
      <w:r w:rsidRPr="00363AB4">
        <w:rPr>
          <w:rFonts w:cstheme="majorBidi"/>
          <w:sz w:val="24"/>
          <w:szCs w:val="24"/>
        </w:rPr>
        <w:t xml:space="preserve"> may require with respect to the subjects covered in this Circular Letter.</w:t>
      </w:r>
    </w:p>
    <w:p w14:paraId="2D1A3AD7" w14:textId="77777777" w:rsidR="00A2062E" w:rsidRDefault="00A2062E" w:rsidP="00A2062E">
      <w:pPr>
        <w:pStyle w:val="NoSpacing"/>
        <w:spacing w:before="120"/>
        <w:jc w:val="both"/>
        <w:rPr>
          <w:rFonts w:asciiTheme="majorBidi" w:hAnsiTheme="majorBidi" w:cstheme="majorBidi"/>
          <w:szCs w:val="24"/>
          <w:lang w:val="en-US"/>
        </w:rPr>
      </w:pPr>
    </w:p>
    <w:p w14:paraId="5612CB73" w14:textId="500BFCA7" w:rsidR="00066E5D" w:rsidRPr="00963D0B" w:rsidRDefault="00066E5D" w:rsidP="00963D0B">
      <w:pPr>
        <w:spacing w:before="120" w:after="240" w:line="240" w:lineRule="auto"/>
        <w:rPr>
          <w:rFonts w:asciiTheme="minorHAnsi" w:eastAsia="SimSun" w:hAnsiTheme="minorHAnsi" w:cstheme="minorHAnsi"/>
          <w:sz w:val="24"/>
          <w:szCs w:val="24"/>
          <w:lang w:val="en-GB"/>
        </w:rPr>
      </w:pPr>
    </w:p>
    <w:p w14:paraId="7092B070" w14:textId="77777777" w:rsidR="00066E5D" w:rsidRPr="00066E5D" w:rsidRDefault="00066E5D" w:rsidP="002A6CEE">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r w:rsidRPr="00066E5D">
        <w:rPr>
          <w:rFonts w:asciiTheme="minorHAnsi" w:eastAsiaTheme="majorEastAsia" w:hAnsiTheme="minorHAnsi" w:cstheme="minorHAnsi"/>
          <w:sz w:val="24"/>
          <w:szCs w:val="24"/>
        </w:rPr>
        <w:t>Mario Maniewicz</w:t>
      </w:r>
    </w:p>
    <w:p w14:paraId="4687B2AC" w14:textId="77777777" w:rsidR="00066E5D" w:rsidRPr="00066E5D" w:rsidRDefault="00066E5D" w:rsidP="002A6CEE">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r w:rsidRPr="00066E5D">
        <w:rPr>
          <w:rFonts w:asciiTheme="minorHAnsi" w:eastAsiaTheme="majorEastAsia" w:hAnsiTheme="minorHAnsi" w:cstheme="minorHAnsi"/>
          <w:sz w:val="24"/>
          <w:szCs w:val="24"/>
        </w:rPr>
        <w:t>Director</w:t>
      </w:r>
    </w:p>
    <w:p w14:paraId="5EDE4AC5" w14:textId="77777777" w:rsidR="00066E5D" w:rsidRDefault="00066E5D" w:rsidP="002A6CEE">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7938F683" w14:textId="77777777" w:rsidR="002A6CEE" w:rsidRDefault="002A6CEE" w:rsidP="002A6CEE">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1955F6F4" w14:textId="77777777" w:rsidR="002A6CEE" w:rsidRDefault="002A6CEE" w:rsidP="002A6CEE">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5997D9EF" w14:textId="77777777" w:rsidR="0070656B" w:rsidRDefault="0070656B" w:rsidP="002A6CEE">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7C342BE6" w14:textId="77777777" w:rsidR="0070656B" w:rsidRDefault="0070656B" w:rsidP="002A6CEE">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788512DC" w14:textId="77777777" w:rsidR="0070656B" w:rsidRPr="00066E5D" w:rsidRDefault="0070656B" w:rsidP="002A6CEE">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19D6258D" w14:textId="4D122676" w:rsidR="002A6CEE" w:rsidRPr="00A2062E" w:rsidRDefault="00066E5D" w:rsidP="00A2062E">
      <w:pPr>
        <w:spacing w:before="0" w:line="240" w:lineRule="auto"/>
        <w:jc w:val="left"/>
        <w:rPr>
          <w:rFonts w:asciiTheme="minorHAnsi" w:eastAsia="SimSun" w:hAnsiTheme="minorHAnsi" w:cstheme="minorHAnsi"/>
          <w:sz w:val="24"/>
          <w:szCs w:val="24"/>
        </w:rPr>
      </w:pPr>
      <w:r w:rsidRPr="00066E5D">
        <w:rPr>
          <w:rFonts w:asciiTheme="minorHAnsi" w:eastAsiaTheme="majorEastAsia" w:hAnsiTheme="minorHAnsi" w:cstheme="minorHAnsi"/>
          <w:sz w:val="24"/>
          <w:szCs w:val="24"/>
        </w:rPr>
        <w:t>Annex</w:t>
      </w:r>
      <w:r w:rsidR="00023A87">
        <w:rPr>
          <w:rFonts w:asciiTheme="minorHAnsi" w:eastAsia="SimSun" w:hAnsiTheme="minorHAnsi" w:cstheme="minorHAnsi"/>
          <w:sz w:val="24"/>
          <w:szCs w:val="24"/>
        </w:rPr>
        <w:t>:</w:t>
      </w:r>
      <w:r w:rsidR="00A2062E">
        <w:rPr>
          <w:rFonts w:asciiTheme="minorHAnsi" w:eastAsia="SimSun" w:hAnsiTheme="minorHAnsi" w:cstheme="minorHAnsi"/>
          <w:sz w:val="24"/>
          <w:szCs w:val="24"/>
        </w:rPr>
        <w:t xml:space="preserve"> 1</w:t>
      </w:r>
    </w:p>
    <w:p w14:paraId="476B3ECE" w14:textId="77777777" w:rsidR="002A6CEE" w:rsidRDefault="002A6CEE" w:rsidP="002A6CEE">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 w:val="24"/>
          <w:szCs w:val="24"/>
        </w:rPr>
      </w:pPr>
    </w:p>
    <w:p w14:paraId="78554198" w14:textId="77777777" w:rsidR="002A6CEE" w:rsidRPr="00066E5D" w:rsidRDefault="002A6CEE" w:rsidP="002A6CEE">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 w:val="24"/>
          <w:szCs w:val="24"/>
        </w:rPr>
      </w:pPr>
    </w:p>
    <w:p w14:paraId="71F9F0C0" w14:textId="77777777" w:rsidR="00066E5D" w:rsidRPr="00023A87" w:rsidRDefault="00066E5D" w:rsidP="002A6CEE">
      <w:pPr>
        <w:pStyle w:val="toc0"/>
        <w:tabs>
          <w:tab w:val="left" w:pos="1985"/>
        </w:tabs>
        <w:spacing w:before="0" w:after="120"/>
        <w:jc w:val="lowKashida"/>
        <w:rPr>
          <w:rFonts w:asciiTheme="minorHAnsi" w:eastAsiaTheme="majorEastAsia" w:hAnsiTheme="minorHAnsi" w:cstheme="minorHAnsi"/>
          <w:bCs/>
          <w:sz w:val="18"/>
          <w:szCs w:val="18"/>
          <w:u w:val="single"/>
        </w:rPr>
      </w:pPr>
      <w:r w:rsidRPr="00023A87">
        <w:rPr>
          <w:rFonts w:asciiTheme="minorHAnsi" w:eastAsiaTheme="majorEastAsia" w:hAnsiTheme="minorHAnsi" w:cstheme="minorHAnsi"/>
          <w:bCs/>
          <w:sz w:val="18"/>
          <w:szCs w:val="18"/>
          <w:u w:val="single"/>
        </w:rPr>
        <w:t>Distribution:</w:t>
      </w:r>
    </w:p>
    <w:p w14:paraId="1C95ED6A" w14:textId="77777777" w:rsidR="00066E5D" w:rsidRPr="00023A87" w:rsidRDefault="00066E5D" w:rsidP="002A6CEE">
      <w:pPr>
        <w:pStyle w:val="enumlev1"/>
        <w:numPr>
          <w:ilvl w:val="0"/>
          <w:numId w:val="10"/>
        </w:numPr>
        <w:tabs>
          <w:tab w:val="clear" w:pos="794"/>
          <w:tab w:val="clear" w:pos="1191"/>
          <w:tab w:val="clear" w:pos="1588"/>
        </w:tabs>
        <w:spacing w:before="0"/>
        <w:ind w:left="0" w:hanging="142"/>
        <w:jc w:val="lowKashida"/>
        <w:rPr>
          <w:rFonts w:asciiTheme="minorHAnsi" w:eastAsiaTheme="majorEastAsia" w:hAnsiTheme="minorHAnsi" w:cstheme="minorHAnsi"/>
          <w:sz w:val="18"/>
          <w:szCs w:val="18"/>
        </w:rPr>
      </w:pPr>
      <w:r w:rsidRPr="00023A87">
        <w:rPr>
          <w:rFonts w:asciiTheme="minorHAnsi" w:eastAsiaTheme="majorEastAsia" w:hAnsiTheme="minorHAnsi" w:cstheme="minorHAnsi"/>
          <w:sz w:val="18"/>
          <w:szCs w:val="18"/>
        </w:rPr>
        <w:t>Administrations of ITU Member States</w:t>
      </w:r>
    </w:p>
    <w:p w14:paraId="3EC1B222" w14:textId="288B6704" w:rsidR="00066E5D" w:rsidRDefault="00066E5D" w:rsidP="002A6CEE">
      <w:pPr>
        <w:pStyle w:val="enumlev1"/>
        <w:numPr>
          <w:ilvl w:val="0"/>
          <w:numId w:val="10"/>
        </w:numPr>
        <w:tabs>
          <w:tab w:val="clear" w:pos="794"/>
          <w:tab w:val="clear" w:pos="1191"/>
          <w:tab w:val="clear" w:pos="1588"/>
        </w:tabs>
        <w:spacing w:before="0"/>
        <w:ind w:left="0" w:hanging="142"/>
        <w:jc w:val="lowKashida"/>
        <w:rPr>
          <w:rFonts w:asciiTheme="minorHAnsi" w:eastAsiaTheme="majorEastAsia" w:hAnsiTheme="minorHAnsi" w:cstheme="minorHAnsi"/>
          <w:sz w:val="18"/>
          <w:szCs w:val="18"/>
        </w:rPr>
      </w:pPr>
      <w:r w:rsidRPr="00023A87">
        <w:rPr>
          <w:rFonts w:asciiTheme="minorHAnsi" w:eastAsiaTheme="majorEastAsia" w:hAnsiTheme="minorHAnsi" w:cstheme="minorHAnsi"/>
          <w:sz w:val="18"/>
          <w:szCs w:val="18"/>
        </w:rPr>
        <w:t>Members of the Radio Regulations Board</w:t>
      </w:r>
    </w:p>
    <w:p w14:paraId="11BB8F87" w14:textId="77777777" w:rsidR="005E5C01" w:rsidRDefault="005E5C01" w:rsidP="002A6CEE">
      <w:pPr>
        <w:pStyle w:val="enumlev1"/>
        <w:numPr>
          <w:ilvl w:val="0"/>
          <w:numId w:val="10"/>
        </w:numPr>
        <w:tabs>
          <w:tab w:val="clear" w:pos="794"/>
          <w:tab w:val="clear" w:pos="1191"/>
          <w:tab w:val="clear" w:pos="1588"/>
        </w:tabs>
        <w:spacing w:before="0"/>
        <w:ind w:left="0" w:hanging="142"/>
        <w:jc w:val="lowKashida"/>
        <w:rPr>
          <w:rFonts w:asciiTheme="minorHAnsi" w:eastAsiaTheme="majorEastAsia" w:hAnsiTheme="minorHAnsi" w:cstheme="minorHAnsi"/>
          <w:sz w:val="18"/>
          <w:szCs w:val="18"/>
        </w:rPr>
        <w:sectPr w:rsidR="005E5C01" w:rsidSect="005E5C01">
          <w:headerReference w:type="even" r:id="rId8"/>
          <w:headerReference w:type="default" r:id="rId9"/>
          <w:headerReference w:type="first" r:id="rId10"/>
          <w:footerReference w:type="first" r:id="rId11"/>
          <w:pgSz w:w="11907" w:h="16834" w:code="9"/>
          <w:pgMar w:top="1134" w:right="992" w:bottom="900" w:left="1134" w:header="567" w:footer="214" w:gutter="0"/>
          <w:cols w:space="720"/>
          <w:titlePg/>
          <w:docGrid w:linePitch="299"/>
        </w:sectPr>
      </w:pPr>
    </w:p>
    <w:p w14:paraId="06FBDDC5" w14:textId="077795D4" w:rsidR="005E5C01" w:rsidRPr="00023A87" w:rsidRDefault="005E5C01" w:rsidP="005E5C01">
      <w:pPr>
        <w:pStyle w:val="enumlev1"/>
        <w:tabs>
          <w:tab w:val="clear" w:pos="794"/>
          <w:tab w:val="clear" w:pos="1191"/>
          <w:tab w:val="clear" w:pos="1588"/>
        </w:tabs>
        <w:spacing w:before="0"/>
        <w:ind w:left="0" w:firstLine="0"/>
        <w:jc w:val="lowKashida"/>
        <w:rPr>
          <w:rFonts w:asciiTheme="minorHAnsi" w:eastAsiaTheme="majorEastAsia" w:hAnsiTheme="minorHAnsi" w:cstheme="minorHAnsi"/>
          <w:sz w:val="18"/>
          <w:szCs w:val="18"/>
        </w:rPr>
      </w:pPr>
    </w:p>
    <w:p w14:paraId="06AF803E" w14:textId="77777777" w:rsidR="008C42C7" w:rsidRPr="00B20114" w:rsidRDefault="008C42C7" w:rsidP="008C42C7">
      <w:pPr>
        <w:jc w:val="center"/>
        <w:rPr>
          <w:b/>
          <w:bCs/>
          <w:iCs/>
          <w:color w:val="000000" w:themeColor="text1"/>
        </w:rPr>
      </w:pPr>
      <w:bookmarkStart w:id="0" w:name="_Hlk33787312"/>
      <w:r w:rsidRPr="00B20114">
        <w:rPr>
          <w:b/>
          <w:bCs/>
          <w:iCs/>
          <w:color w:val="000000" w:themeColor="text1"/>
        </w:rPr>
        <w:t>ANNEX</w:t>
      </w:r>
    </w:p>
    <w:p w14:paraId="15D78FAF" w14:textId="77777777" w:rsidR="008C42C7" w:rsidRPr="00B20114" w:rsidRDefault="008C42C7" w:rsidP="008C42C7">
      <w:pPr>
        <w:rPr>
          <w:bCs/>
          <w:i/>
          <w:iCs/>
          <w:color w:val="FF0000"/>
        </w:rPr>
      </w:pPr>
    </w:p>
    <w:tbl>
      <w:tblPr>
        <w:tblStyle w:val="TableGrid"/>
        <w:tblW w:w="14283" w:type="dxa"/>
        <w:tblLayout w:type="fixed"/>
        <w:tblLook w:val="04A0" w:firstRow="1" w:lastRow="0" w:firstColumn="1" w:lastColumn="0" w:noHBand="0" w:noVBand="1"/>
      </w:tblPr>
      <w:tblGrid>
        <w:gridCol w:w="1838"/>
        <w:gridCol w:w="1733"/>
        <w:gridCol w:w="10712"/>
      </w:tblGrid>
      <w:tr w:rsidR="008C42C7" w:rsidRPr="00B20114" w14:paraId="053AB7C9" w14:textId="77777777" w:rsidTr="00CE6D50">
        <w:trPr>
          <w:trHeight w:val="1139"/>
          <w:tblHeader/>
        </w:trPr>
        <w:tc>
          <w:tcPr>
            <w:tcW w:w="1838" w:type="dxa"/>
          </w:tcPr>
          <w:p w14:paraId="09AFF928" w14:textId="77777777" w:rsidR="008C42C7" w:rsidRPr="00B20114" w:rsidRDefault="008C42C7" w:rsidP="00443F9D">
            <w:pPr>
              <w:jc w:val="center"/>
              <w:rPr>
                <w:b/>
              </w:rPr>
            </w:pPr>
            <w:r w:rsidRPr="00B20114">
              <w:rPr>
                <w:b/>
              </w:rPr>
              <w:t>Source document (Minutes of the Plenary)</w:t>
            </w:r>
          </w:p>
        </w:tc>
        <w:tc>
          <w:tcPr>
            <w:tcW w:w="1733" w:type="dxa"/>
          </w:tcPr>
          <w:p w14:paraId="3EF61912" w14:textId="77777777" w:rsidR="008C42C7" w:rsidRPr="00B20114" w:rsidRDefault="008C42C7" w:rsidP="00443F9D">
            <w:pPr>
              <w:jc w:val="center"/>
              <w:rPr>
                <w:b/>
              </w:rPr>
            </w:pPr>
            <w:r w:rsidRPr="00B20114">
              <w:rPr>
                <w:b/>
              </w:rPr>
              <w:t>Background of the Plenary decision</w:t>
            </w:r>
          </w:p>
        </w:tc>
        <w:tc>
          <w:tcPr>
            <w:tcW w:w="10712" w:type="dxa"/>
          </w:tcPr>
          <w:p w14:paraId="022CA175" w14:textId="77777777" w:rsidR="008C42C7" w:rsidRPr="00B20114" w:rsidRDefault="008C42C7" w:rsidP="00443F9D">
            <w:pPr>
              <w:jc w:val="center"/>
              <w:rPr>
                <w:b/>
              </w:rPr>
            </w:pPr>
            <w:r w:rsidRPr="00B20114">
              <w:rPr>
                <w:b/>
              </w:rPr>
              <w:t>Plenary decision and associated text</w:t>
            </w:r>
          </w:p>
        </w:tc>
      </w:tr>
      <w:tr w:rsidR="008C42C7" w:rsidRPr="00B20114" w14:paraId="30216DB7" w14:textId="77777777" w:rsidTr="00CE6D50">
        <w:trPr>
          <w:trHeight w:val="1139"/>
        </w:trPr>
        <w:tc>
          <w:tcPr>
            <w:tcW w:w="1838" w:type="dxa"/>
            <w:vMerge w:val="restart"/>
          </w:tcPr>
          <w:p w14:paraId="38A948EE" w14:textId="1E49518B" w:rsidR="008C42C7" w:rsidRPr="00B20114" w:rsidRDefault="008C42C7" w:rsidP="00431B02">
            <w:pPr>
              <w:jc w:val="left"/>
              <w:rPr>
                <w:b/>
              </w:rPr>
            </w:pPr>
            <w:r>
              <w:rPr>
                <w:b/>
              </w:rPr>
              <w:t xml:space="preserve">Document </w:t>
            </w:r>
            <w:hyperlink r:id="rId12" w:history="1">
              <w:r w:rsidRPr="00917B0A">
                <w:rPr>
                  <w:rStyle w:val="Hyperlink"/>
                  <w:b/>
                </w:rPr>
                <w:t>CMR19/237</w:t>
              </w:r>
            </w:hyperlink>
            <w:r>
              <w:rPr>
                <w:b/>
              </w:rPr>
              <w:t xml:space="preserve"> – Minutes of </w:t>
            </w:r>
            <w:r w:rsidRPr="00B20114">
              <w:rPr>
                <w:b/>
              </w:rPr>
              <w:t>the fourth Plenary meeting</w:t>
            </w:r>
          </w:p>
        </w:tc>
        <w:tc>
          <w:tcPr>
            <w:tcW w:w="1733" w:type="dxa"/>
          </w:tcPr>
          <w:p w14:paraId="515F91B1" w14:textId="77777777" w:rsidR="008C42C7" w:rsidRDefault="008C42C7" w:rsidP="00431B02">
            <w:pPr>
              <w:jc w:val="left"/>
              <w:rPr>
                <w:rFonts w:cs="Times"/>
                <w:b/>
              </w:rPr>
            </w:pPr>
            <w:r>
              <w:rPr>
                <w:rFonts w:cs="Times"/>
                <w:b/>
              </w:rPr>
              <w:t>§§ 2.1 to 2.3</w:t>
            </w:r>
          </w:p>
          <w:p w14:paraId="5A65098B" w14:textId="3E048F0A" w:rsidR="008C42C7" w:rsidRPr="00B20114" w:rsidRDefault="008C42C7" w:rsidP="00431B02">
            <w:pPr>
              <w:jc w:val="left"/>
              <w:rPr>
                <w:b/>
              </w:rPr>
            </w:pPr>
            <w:r>
              <w:rPr>
                <w:rFonts w:cs="Times"/>
                <w:b/>
              </w:rPr>
              <w:t xml:space="preserve">Approval of </w:t>
            </w:r>
            <w:r w:rsidR="00BD0448">
              <w:rPr>
                <w:rFonts w:cs="Times"/>
                <w:b/>
              </w:rPr>
              <w:t>D</w:t>
            </w:r>
            <w:r>
              <w:rPr>
                <w:rFonts w:cs="Times"/>
                <w:b/>
              </w:rPr>
              <w:t xml:space="preserve">ocument </w:t>
            </w:r>
            <w:hyperlink r:id="rId13" w:history="1">
              <w:r w:rsidRPr="00917B0A">
                <w:rPr>
                  <w:rStyle w:val="Hyperlink"/>
                  <w:rFonts w:cs="Times"/>
                  <w:b/>
                </w:rPr>
                <w:t>201</w:t>
              </w:r>
            </w:hyperlink>
          </w:p>
        </w:tc>
        <w:tc>
          <w:tcPr>
            <w:tcW w:w="10712" w:type="dxa"/>
          </w:tcPr>
          <w:p w14:paraId="712BF5F4" w14:textId="77777777" w:rsidR="008C42C7" w:rsidRDefault="008C42C7" w:rsidP="00431B02">
            <w:r w:rsidRPr="000E5522">
              <w:t>It was noted the information provided in §</w:t>
            </w:r>
            <w:r>
              <w:t xml:space="preserve"> </w:t>
            </w:r>
            <w:r w:rsidRPr="000E5522">
              <w:t>3.4.1 of Addendum 2 to the Report of the Director (Doc. CMR19/4) to WRC-19 that all examinations of frequency assignments to terrestrial services and the identification of potentially affected administrations currently performed by the Bureau in the application of various RR and Regional Agreement procedures are made using propagation prediction models without terrain height profiles.</w:t>
            </w:r>
          </w:p>
          <w:p w14:paraId="3E879763" w14:textId="77777777" w:rsidR="008C42C7" w:rsidRPr="000E5522" w:rsidRDefault="008C42C7" w:rsidP="00431B02">
            <w:pPr>
              <w:rPr>
                <w:lang w:eastAsia="zh-CN"/>
              </w:rPr>
            </w:pPr>
            <w:r w:rsidRPr="000E5522">
              <w:rPr>
                <w:lang w:eastAsia="zh-CN"/>
              </w:rPr>
              <w:t>It was recognized that the use of terrain height data for the identification of potentially affected administrations could be beneficial to administrations and such an approach would shorten the list of coordination requirements and reduce the coordination burden both for administrations and the Bureau.</w:t>
            </w:r>
          </w:p>
          <w:p w14:paraId="72C793A5" w14:textId="77777777" w:rsidR="008C42C7" w:rsidRPr="000E5522" w:rsidRDefault="008C42C7" w:rsidP="00431B02">
            <w:r w:rsidRPr="000E5522">
              <w:t xml:space="preserve">Given the above considerations, it was proposed </w:t>
            </w:r>
            <w:r w:rsidRPr="000E5522">
              <w:rPr>
                <w:lang w:eastAsia="zh-CN"/>
              </w:rPr>
              <w:t xml:space="preserve">to instruct the Bureau to simulate the </w:t>
            </w:r>
            <w:r w:rsidRPr="000E5522">
              <w:t xml:space="preserve">examination of RR No. 9.21 notices in the non-planned bands using </w:t>
            </w:r>
            <w:r w:rsidRPr="000E5522">
              <w:rPr>
                <w:lang w:eastAsia="zh-CN"/>
              </w:rPr>
              <w:t>digital elevation models (DEM)</w:t>
            </w:r>
            <w:r w:rsidRPr="000E5522">
              <w:t xml:space="preserve"> and report the results to the Radio Regulations Board. The Board could subsequently decide, through the relevant Rules of Procedure, that the Bureau should use terrain height data in the RR No. 9.21 examinations, and to report on the results to the next WRC.</w:t>
            </w:r>
          </w:p>
          <w:p w14:paraId="6D78033F" w14:textId="77777777" w:rsidR="008C42C7" w:rsidRPr="00B20114" w:rsidRDefault="008C42C7" w:rsidP="00431B02">
            <w:pPr>
              <w:rPr>
                <w:b/>
              </w:rPr>
            </w:pPr>
            <w:r w:rsidRPr="000E5522">
              <w:rPr>
                <w:lang w:eastAsia="zh-CN"/>
              </w:rPr>
              <w:t xml:space="preserve">Bearing in mind that </w:t>
            </w:r>
            <w:r w:rsidRPr="000E5522">
              <w:t>the currently available Shuttle Radar Topography Mission dataset with a resolution of one arc second in longitude and latitude (SRTM1) does not extend north of 60 degrees North and south of 56 degrees South</w:t>
            </w:r>
            <w:r w:rsidRPr="000E5522">
              <w:rPr>
                <w:lang w:eastAsia="zh-CN"/>
              </w:rPr>
              <w:t>, the Bureau could be further instructed to continue the examination of terrestrial stations located outside this geographical extent</w:t>
            </w:r>
            <w:r w:rsidRPr="000E5522">
              <w:t xml:space="preserve"> without the use of terrain height information and to explore the possibilities to utilize alternative </w:t>
            </w:r>
            <w:r w:rsidRPr="000E5522">
              <w:rPr>
                <w:lang w:eastAsia="zh-CN"/>
              </w:rPr>
              <w:t>digital elevation models</w:t>
            </w:r>
            <w:r w:rsidRPr="000E5522">
              <w:t xml:space="preserve"> with a larger geographical extent</w:t>
            </w:r>
            <w:r>
              <w:t>.</w:t>
            </w:r>
          </w:p>
        </w:tc>
      </w:tr>
      <w:tr w:rsidR="008C42C7" w:rsidRPr="00B20114" w14:paraId="5CFEAE99" w14:textId="77777777" w:rsidTr="00CE6D50">
        <w:trPr>
          <w:trHeight w:val="1139"/>
        </w:trPr>
        <w:tc>
          <w:tcPr>
            <w:tcW w:w="1838" w:type="dxa"/>
            <w:vMerge/>
          </w:tcPr>
          <w:p w14:paraId="0D7AD9A1" w14:textId="77777777" w:rsidR="008C42C7" w:rsidRDefault="008C42C7" w:rsidP="00431B02">
            <w:pPr>
              <w:jc w:val="left"/>
              <w:rPr>
                <w:b/>
              </w:rPr>
            </w:pPr>
          </w:p>
        </w:tc>
        <w:tc>
          <w:tcPr>
            <w:tcW w:w="1733" w:type="dxa"/>
          </w:tcPr>
          <w:p w14:paraId="3CFBA84A" w14:textId="77777777" w:rsidR="008C42C7" w:rsidRDefault="008C42C7" w:rsidP="00431B02">
            <w:pPr>
              <w:jc w:val="left"/>
              <w:rPr>
                <w:rFonts w:cs="Times"/>
                <w:b/>
              </w:rPr>
            </w:pPr>
            <w:r>
              <w:rPr>
                <w:rFonts w:cs="Times"/>
                <w:b/>
              </w:rPr>
              <w:t>§§ 5.1 to 5.8</w:t>
            </w:r>
          </w:p>
          <w:p w14:paraId="1D73FE92" w14:textId="500BD721"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14" w:history="1">
              <w:r w:rsidRPr="00716E7D">
                <w:rPr>
                  <w:rStyle w:val="Hyperlink"/>
                  <w:rFonts w:cs="Times"/>
                  <w:b/>
                </w:rPr>
                <w:t>189</w:t>
              </w:r>
            </w:hyperlink>
          </w:p>
        </w:tc>
        <w:tc>
          <w:tcPr>
            <w:tcW w:w="10712" w:type="dxa"/>
          </w:tcPr>
          <w:p w14:paraId="05F9D8CC" w14:textId="77777777" w:rsidR="008C42C7" w:rsidRPr="000E5522" w:rsidRDefault="008C42C7" w:rsidP="00431B02">
            <w:r w:rsidRPr="005625FF">
              <w:rPr>
                <w:szCs w:val="24"/>
              </w:rPr>
              <w:t>Before the expiry of the deadline referred to in this document, the Radiocommunication Bureau shall send a message to the administrations concerned drawing their attention to the need to reply within the deadline</w:t>
            </w:r>
            <w:r>
              <w:rPr>
                <w:szCs w:val="24"/>
              </w:rPr>
              <w:t xml:space="preserve"> as contained in the document.</w:t>
            </w:r>
          </w:p>
        </w:tc>
      </w:tr>
      <w:tr w:rsidR="008C42C7" w:rsidRPr="00B20114" w14:paraId="0F4C37D7" w14:textId="77777777" w:rsidTr="00CE6D50">
        <w:trPr>
          <w:trHeight w:val="1139"/>
        </w:trPr>
        <w:tc>
          <w:tcPr>
            <w:tcW w:w="1838" w:type="dxa"/>
            <w:vMerge w:val="restart"/>
          </w:tcPr>
          <w:p w14:paraId="317D0F08" w14:textId="7AD7D4D4" w:rsidR="008C42C7" w:rsidRDefault="008C42C7" w:rsidP="00431B02">
            <w:pPr>
              <w:jc w:val="left"/>
              <w:rPr>
                <w:b/>
              </w:rPr>
            </w:pPr>
            <w:r>
              <w:rPr>
                <w:b/>
              </w:rPr>
              <w:lastRenderedPageBreak/>
              <w:t xml:space="preserve">Document </w:t>
            </w:r>
            <w:hyperlink r:id="rId15" w:history="1">
              <w:r w:rsidRPr="00431B02">
                <w:rPr>
                  <w:rStyle w:val="Hyperlink"/>
                  <w:b/>
                </w:rPr>
                <w:t>CMR19/469</w:t>
              </w:r>
            </w:hyperlink>
            <w:r>
              <w:rPr>
                <w:b/>
              </w:rPr>
              <w:t xml:space="preserve"> – Minutes of </w:t>
            </w:r>
            <w:r w:rsidRPr="00B20114">
              <w:rPr>
                <w:b/>
              </w:rPr>
              <w:t xml:space="preserve">the </w:t>
            </w:r>
            <w:r>
              <w:rPr>
                <w:b/>
              </w:rPr>
              <w:t>six</w:t>
            </w:r>
            <w:r w:rsidRPr="00B20114">
              <w:rPr>
                <w:b/>
              </w:rPr>
              <w:t>th Plenary meeting</w:t>
            </w:r>
          </w:p>
        </w:tc>
        <w:tc>
          <w:tcPr>
            <w:tcW w:w="1733" w:type="dxa"/>
          </w:tcPr>
          <w:p w14:paraId="25B66B84" w14:textId="77777777" w:rsidR="008C42C7" w:rsidRDefault="008C42C7" w:rsidP="00431B02">
            <w:pPr>
              <w:jc w:val="left"/>
              <w:rPr>
                <w:rFonts w:cs="Times"/>
                <w:b/>
              </w:rPr>
            </w:pPr>
            <w:r>
              <w:rPr>
                <w:rFonts w:cs="Times"/>
                <w:b/>
              </w:rPr>
              <w:t>§§ 2.4 to 2.13</w:t>
            </w:r>
          </w:p>
          <w:p w14:paraId="624776FA" w14:textId="160E1635"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16" w:history="1">
              <w:r w:rsidRPr="00431B02">
                <w:rPr>
                  <w:rStyle w:val="Hyperlink"/>
                  <w:rFonts w:cs="Times"/>
                  <w:b/>
                </w:rPr>
                <w:t>228</w:t>
              </w:r>
            </w:hyperlink>
          </w:p>
        </w:tc>
        <w:tc>
          <w:tcPr>
            <w:tcW w:w="10712" w:type="dxa"/>
          </w:tcPr>
          <w:p w14:paraId="6AAC2E5B" w14:textId="77777777" w:rsidR="008C42C7" w:rsidRPr="006D098C" w:rsidRDefault="008C42C7" w:rsidP="00431B02">
            <w:r w:rsidRPr="006D098C">
              <w:t>WRC-19 instructs the Radiocommunication Bureau to apply the following principles when processing notifications of frequency assignments to ‘IMT’ stations:</w:t>
            </w:r>
          </w:p>
          <w:p w14:paraId="6A7B5B95" w14:textId="77777777" w:rsidR="008C42C7" w:rsidRPr="006D098C" w:rsidRDefault="008C42C7" w:rsidP="00431B02">
            <w:pPr>
              <w:pStyle w:val="enumlev1"/>
            </w:pPr>
            <w:r w:rsidRPr="006D098C">
              <w:t>a)</w:t>
            </w:r>
            <w:r w:rsidRPr="006D098C">
              <w:tab/>
              <w:t xml:space="preserve">Assignments to base stations in frequency bands identified for IMT in the country submitting the notice can be notified with the nature of service ‘IM’*. </w:t>
            </w:r>
          </w:p>
          <w:p w14:paraId="19754D01" w14:textId="77777777" w:rsidR="008C42C7" w:rsidRPr="006D098C" w:rsidRDefault="008C42C7" w:rsidP="00431B02">
            <w:pPr>
              <w:pStyle w:val="enumlev1"/>
            </w:pPr>
            <w:r w:rsidRPr="006D098C">
              <w:t>b)</w:t>
            </w:r>
            <w:r w:rsidRPr="006D098C">
              <w:tab/>
              <w:t>Assignments to base stations in frequency bands allocated to the mobile service, but not identified for IMT in the country submitting the notice, can be notified with the nature of service other than ‘IM’. If in this case assignments to base stations are notified with the nature of service ‘IM’, the notice shall be returned to the notifying administration.</w:t>
            </w:r>
          </w:p>
          <w:p w14:paraId="4417EC17" w14:textId="77777777" w:rsidR="008C42C7" w:rsidRDefault="008C42C7" w:rsidP="00431B02">
            <w:r w:rsidRPr="006D098C">
              <w:t>*</w:t>
            </w:r>
            <w:r w:rsidRPr="006D098C">
              <w:tab/>
              <w:t xml:space="preserve">The symbol </w:t>
            </w:r>
            <w:r>
              <w:t>‘</w:t>
            </w:r>
            <w:r w:rsidRPr="006D098C">
              <w:t>IM’ designates IMT stations in the mobile service, as explained in Circular Letter CR/391 of 26.02.2016.</w:t>
            </w:r>
          </w:p>
          <w:p w14:paraId="64C90831" w14:textId="77777777" w:rsidR="008C42C7" w:rsidRPr="005625FF" w:rsidRDefault="008C42C7" w:rsidP="00431B02">
            <w:pPr>
              <w:rPr>
                <w:szCs w:val="24"/>
              </w:rPr>
            </w:pPr>
            <w:r w:rsidRPr="006D098C">
              <w:t xml:space="preserve">The </w:t>
            </w:r>
            <w:r w:rsidRPr="0097066B">
              <w:t>Director of BR</w:t>
            </w:r>
            <w:r w:rsidRPr="006D098C">
              <w:t xml:space="preserve"> provided the following clarification: the objective of the text dealing with the treatment by the Radiocommunication Bureau of the notification of “IMT” stations was that administrations could notify assignments as “IM” only in the case of base stations in frequency bands that had been identified for IMT in the country. Otherwise, the assignments could only be notified as “other than IM”.</w:t>
            </w:r>
          </w:p>
        </w:tc>
      </w:tr>
      <w:tr w:rsidR="008C42C7" w:rsidRPr="00B20114" w14:paraId="696EBC54" w14:textId="77777777" w:rsidTr="00CE6D50">
        <w:trPr>
          <w:trHeight w:val="1139"/>
        </w:trPr>
        <w:tc>
          <w:tcPr>
            <w:tcW w:w="1838" w:type="dxa"/>
            <w:vMerge/>
          </w:tcPr>
          <w:p w14:paraId="7A06E621" w14:textId="77777777" w:rsidR="008C42C7" w:rsidRDefault="008C42C7" w:rsidP="00431B02">
            <w:pPr>
              <w:jc w:val="left"/>
              <w:rPr>
                <w:b/>
              </w:rPr>
            </w:pPr>
          </w:p>
        </w:tc>
        <w:tc>
          <w:tcPr>
            <w:tcW w:w="1733" w:type="dxa"/>
          </w:tcPr>
          <w:p w14:paraId="75B77493" w14:textId="77777777" w:rsidR="008C42C7" w:rsidRDefault="008C42C7" w:rsidP="00431B02">
            <w:pPr>
              <w:jc w:val="left"/>
              <w:rPr>
                <w:rFonts w:cs="Times"/>
                <w:b/>
              </w:rPr>
            </w:pPr>
            <w:r>
              <w:rPr>
                <w:rFonts w:cs="Times"/>
                <w:b/>
              </w:rPr>
              <w:t>§§ 2.14 to 2.16</w:t>
            </w:r>
          </w:p>
          <w:p w14:paraId="1A001D85" w14:textId="23143432"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17" w:history="1">
              <w:r w:rsidRPr="00431B02">
                <w:rPr>
                  <w:rStyle w:val="Hyperlink"/>
                  <w:rFonts w:cs="Times"/>
                  <w:b/>
                </w:rPr>
                <w:t>232</w:t>
              </w:r>
            </w:hyperlink>
          </w:p>
        </w:tc>
        <w:tc>
          <w:tcPr>
            <w:tcW w:w="10712" w:type="dxa"/>
          </w:tcPr>
          <w:p w14:paraId="1179435F" w14:textId="77777777" w:rsidR="008C42C7" w:rsidRPr="006D098C" w:rsidRDefault="008C42C7" w:rsidP="00431B02">
            <w:r w:rsidRPr="006D098C">
              <w:t>1</w:t>
            </w:r>
            <w:r w:rsidRPr="006D098C">
              <w:tab/>
              <w:t>Based on the information provided in § 3.1.3.5 of Addendum 2 to the Report of the Director it was noted that the Bureau identifies the coordination requirements for the assignments to terrestrial services vis-à-vis typical earth stations of the broadcasting-satellite service under RR No. </w:t>
            </w:r>
            <w:r w:rsidRPr="006D098C">
              <w:rPr>
                <w:b/>
                <w:bCs/>
              </w:rPr>
              <w:t>9.19</w:t>
            </w:r>
            <w:r w:rsidRPr="006D098C">
              <w:t xml:space="preserve"> in eight frequency bands, namely 620-790 MHz, 1 452-1 492 MHz, 2 310-2 360</w:t>
            </w:r>
            <w:r>
              <w:t> </w:t>
            </w:r>
            <w:r w:rsidRPr="006D098C">
              <w:t xml:space="preserve">MHz, 2 520-2 670 MHz, 11.7-12.75 GHz, 17.7-17.8 GHz, 40.5-42.5 GHz and 74-76 GHz. </w:t>
            </w:r>
          </w:p>
          <w:p w14:paraId="741A54FF" w14:textId="77777777" w:rsidR="008C42C7" w:rsidRPr="006D098C" w:rsidRDefault="008C42C7" w:rsidP="00431B02">
            <w:r w:rsidRPr="006D098C">
              <w:t>2</w:t>
            </w:r>
            <w:r w:rsidRPr="006D098C">
              <w:tab/>
              <w:t xml:space="preserve">It was further noted that currently the coordination triggers are available only for the band 11.7-12.7 GHz, as contained in Annex 3 of RR Appendix </w:t>
            </w:r>
            <w:r w:rsidRPr="006D098C">
              <w:rPr>
                <w:b/>
                <w:bCs/>
              </w:rPr>
              <w:t>30</w:t>
            </w:r>
            <w:r w:rsidRPr="006D098C">
              <w:t xml:space="preserve">. For all other bands the Bureau uses the Rules of Procedure on RR No. </w:t>
            </w:r>
            <w:r w:rsidRPr="006D098C">
              <w:rPr>
                <w:b/>
                <w:bCs/>
              </w:rPr>
              <w:t>9.19</w:t>
            </w:r>
            <w:r w:rsidRPr="006D098C">
              <w:t xml:space="preserve"> establishing the criteria for coordination as a frequency overlap and the coordination distance of 1 200 km with respect to the territories on which typical BSS earth stations are located. It was recognized that 1 200 km would be a very conservative coordination distance that might overestimate real needs for coordination and result in a considerable coordination burden for the administrations.</w:t>
            </w:r>
          </w:p>
          <w:p w14:paraId="313BB166" w14:textId="77777777" w:rsidR="008C42C7" w:rsidRPr="006D098C" w:rsidRDefault="008C42C7" w:rsidP="00431B02">
            <w:r w:rsidRPr="006D098C">
              <w:lastRenderedPageBreak/>
              <w:t>3</w:t>
            </w:r>
            <w:r w:rsidRPr="006D098C">
              <w:tab/>
              <w:t xml:space="preserve">The relevant ITU-R Study Groups are invited to develop more specific criteria for establishing coordination requirements under RR No. </w:t>
            </w:r>
            <w:r w:rsidRPr="006D098C">
              <w:rPr>
                <w:b/>
                <w:bCs/>
              </w:rPr>
              <w:t>9.19</w:t>
            </w:r>
            <w:r w:rsidRPr="006D098C">
              <w:t xml:space="preserve"> in the bands 620-790 MHz</w:t>
            </w:r>
            <w:r w:rsidRPr="007D1F29">
              <w:rPr>
                <w:rStyle w:val="FootnoteReference"/>
                <w:sz w:val="16"/>
                <w:szCs w:val="16"/>
              </w:rPr>
              <w:footnoteReference w:id="1"/>
            </w:r>
            <w:r w:rsidRPr="006D098C">
              <w:t>, 1 452-1 492 MHz, 2 310-2 360 MHz, 2 520-2 670 MHz, 17.7-17.8 GHz, 40.5-42.5 GHz and 74-76 GHz.</w:t>
            </w:r>
          </w:p>
          <w:p w14:paraId="5A116C25" w14:textId="77777777" w:rsidR="008C42C7" w:rsidRPr="005625FF" w:rsidRDefault="008C42C7" w:rsidP="00431B02">
            <w:pPr>
              <w:rPr>
                <w:szCs w:val="24"/>
              </w:rPr>
            </w:pPr>
            <w:r w:rsidRPr="006D098C">
              <w:t>4</w:t>
            </w:r>
            <w:r w:rsidRPr="006D098C">
              <w:tab/>
              <w:t xml:space="preserve">In addition, the Bureau is invited, when the coordination triggers are available, to simulate the examination of RR No. </w:t>
            </w:r>
            <w:r w:rsidRPr="006D098C">
              <w:rPr>
                <w:b/>
                <w:bCs/>
              </w:rPr>
              <w:t>9.19</w:t>
            </w:r>
            <w:r w:rsidRPr="006D098C">
              <w:t xml:space="preserve"> notices in the non-planned bands using digital elevation models (DEM) and report the results to the Radio Regulations Board for further actions.</w:t>
            </w:r>
          </w:p>
        </w:tc>
      </w:tr>
      <w:tr w:rsidR="008C42C7" w:rsidRPr="00B20114" w14:paraId="365C7DE3" w14:textId="77777777" w:rsidTr="00CE6D50">
        <w:trPr>
          <w:trHeight w:val="1139"/>
        </w:trPr>
        <w:tc>
          <w:tcPr>
            <w:tcW w:w="1838" w:type="dxa"/>
            <w:vMerge/>
          </w:tcPr>
          <w:p w14:paraId="583BCA24" w14:textId="77777777" w:rsidR="008C42C7" w:rsidRDefault="008C42C7" w:rsidP="00431B02">
            <w:pPr>
              <w:jc w:val="left"/>
              <w:rPr>
                <w:b/>
              </w:rPr>
            </w:pPr>
          </w:p>
        </w:tc>
        <w:tc>
          <w:tcPr>
            <w:tcW w:w="1733" w:type="dxa"/>
          </w:tcPr>
          <w:p w14:paraId="08C6A8F0" w14:textId="77777777" w:rsidR="008C42C7" w:rsidRDefault="008C42C7" w:rsidP="00431B02">
            <w:pPr>
              <w:jc w:val="left"/>
              <w:rPr>
                <w:rFonts w:cs="Times"/>
                <w:b/>
              </w:rPr>
            </w:pPr>
            <w:r>
              <w:rPr>
                <w:rFonts w:cs="Times"/>
                <w:b/>
              </w:rPr>
              <w:t>§§ 2.20 to 2.22</w:t>
            </w:r>
          </w:p>
          <w:p w14:paraId="484BBB34" w14:textId="32CB3D33" w:rsidR="008C42C7" w:rsidRPr="00635AE9"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18" w:history="1">
              <w:r w:rsidRPr="00431B02">
                <w:rPr>
                  <w:rStyle w:val="Hyperlink"/>
                  <w:rFonts w:cs="Times"/>
                  <w:b/>
                </w:rPr>
                <w:t>293</w:t>
              </w:r>
            </w:hyperlink>
          </w:p>
        </w:tc>
        <w:tc>
          <w:tcPr>
            <w:tcW w:w="10712" w:type="dxa"/>
          </w:tcPr>
          <w:p w14:paraId="1C59A6B0" w14:textId="77777777" w:rsidR="008C42C7" w:rsidRPr="0097066B" w:rsidRDefault="008C42C7" w:rsidP="00431B02">
            <w:pPr>
              <w:rPr>
                <w:shd w:val="clear" w:color="auto" w:fill="FFFFFF"/>
              </w:rPr>
            </w:pPr>
            <w:r w:rsidRPr="006D098C">
              <w:rPr>
                <w:shd w:val="clear" w:color="auto" w:fill="FFFFFF"/>
              </w:rPr>
              <w:t xml:space="preserve">Noting the exceptional circumstances encountered by the Administration of Slovenia in bringing into use the NEMO-HD satellite network, WRC-19 decided to exclude the assignments of this satellite network, which are recorded in the Master Register (see Part II-S contained in BR IFIC 2832), from the application of </w:t>
            </w:r>
            <w:proofErr w:type="spellStart"/>
            <w:r w:rsidRPr="006D098C">
              <w:rPr>
                <w:shd w:val="clear" w:color="auto" w:fill="FFFFFF"/>
              </w:rPr>
              <w:t>e.i.r.p</w:t>
            </w:r>
            <w:proofErr w:type="spellEnd"/>
            <w:r w:rsidRPr="006D098C">
              <w:rPr>
                <w:shd w:val="clear" w:color="auto" w:fill="FFFFFF"/>
              </w:rPr>
              <w:t>. limits in the frequency band 401-403 MHz contained in RR No. </w:t>
            </w:r>
            <w:r w:rsidRPr="006D098C">
              <w:rPr>
                <w:b/>
                <w:bCs/>
                <w:shd w:val="clear" w:color="auto" w:fill="FFFFFF"/>
              </w:rPr>
              <w:t>5.C12</w:t>
            </w:r>
            <w:r w:rsidRPr="006D098C">
              <w:rPr>
                <w:shd w:val="clear" w:color="auto" w:fill="FFFFFF"/>
              </w:rPr>
              <w:t xml:space="preserve"> until 22 November 2029 and instructed the Radiocommunication Bureau to act accordingly</w:t>
            </w:r>
          </w:p>
        </w:tc>
      </w:tr>
      <w:tr w:rsidR="008C42C7" w:rsidRPr="00B20114" w14:paraId="20434C96" w14:textId="77777777" w:rsidTr="00CE6D50">
        <w:trPr>
          <w:trHeight w:val="1139"/>
        </w:trPr>
        <w:tc>
          <w:tcPr>
            <w:tcW w:w="1838" w:type="dxa"/>
            <w:vMerge/>
          </w:tcPr>
          <w:p w14:paraId="1556400A" w14:textId="77777777" w:rsidR="008C42C7" w:rsidRDefault="008C42C7" w:rsidP="00431B02">
            <w:pPr>
              <w:jc w:val="left"/>
              <w:rPr>
                <w:b/>
              </w:rPr>
            </w:pPr>
          </w:p>
        </w:tc>
        <w:tc>
          <w:tcPr>
            <w:tcW w:w="1733" w:type="dxa"/>
          </w:tcPr>
          <w:p w14:paraId="28E3798E" w14:textId="77777777" w:rsidR="008C42C7" w:rsidRDefault="008C42C7" w:rsidP="00431B02">
            <w:pPr>
              <w:jc w:val="left"/>
              <w:rPr>
                <w:rFonts w:cs="Times"/>
                <w:b/>
              </w:rPr>
            </w:pPr>
            <w:r>
              <w:rPr>
                <w:rFonts w:cs="Times"/>
                <w:b/>
              </w:rPr>
              <w:t>§§ 2.23 to 2.26</w:t>
            </w:r>
          </w:p>
          <w:p w14:paraId="39BAFFB9" w14:textId="69CEB5FF"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19" w:history="1">
              <w:r w:rsidRPr="00431B02">
                <w:rPr>
                  <w:rStyle w:val="Hyperlink"/>
                  <w:rFonts w:cs="Times"/>
                  <w:b/>
                </w:rPr>
                <w:t>289</w:t>
              </w:r>
            </w:hyperlink>
          </w:p>
        </w:tc>
        <w:tc>
          <w:tcPr>
            <w:tcW w:w="10712" w:type="dxa"/>
          </w:tcPr>
          <w:p w14:paraId="55F12C74" w14:textId="77777777" w:rsidR="008C42C7" w:rsidRPr="006D098C" w:rsidRDefault="008C42C7" w:rsidP="00431B02">
            <w:pPr>
              <w:rPr>
                <w:shd w:val="clear" w:color="auto" w:fill="FFFFFF"/>
              </w:rPr>
            </w:pPr>
            <w:r w:rsidRPr="006D098C">
              <w:t xml:space="preserve">As a result of the suppression of Resolution </w:t>
            </w:r>
            <w:r w:rsidRPr="006D098C">
              <w:rPr>
                <w:b/>
                <w:bCs/>
              </w:rPr>
              <w:t>556 (WRC-15)</w:t>
            </w:r>
            <w:r w:rsidRPr="006D098C">
              <w:t xml:space="preserve">, the Bureau is instructed to continue to apply the current calculation method </w:t>
            </w:r>
            <w:proofErr w:type="gramStart"/>
            <w:r w:rsidRPr="006D098C">
              <w:t>in regard to</w:t>
            </w:r>
            <w:proofErr w:type="gramEnd"/>
            <w:r w:rsidRPr="006D098C">
              <w:t xml:space="preserve"> analogue assignment in the Region 2 Plan.</w:t>
            </w:r>
          </w:p>
        </w:tc>
      </w:tr>
      <w:tr w:rsidR="008C42C7" w:rsidRPr="00B20114" w14:paraId="1BADDB72" w14:textId="77777777" w:rsidTr="00CE6D50">
        <w:trPr>
          <w:trHeight w:val="1139"/>
        </w:trPr>
        <w:tc>
          <w:tcPr>
            <w:tcW w:w="1838" w:type="dxa"/>
            <w:vMerge w:val="restart"/>
          </w:tcPr>
          <w:p w14:paraId="50DDE64A" w14:textId="406C57FE" w:rsidR="008C42C7" w:rsidRDefault="008C42C7" w:rsidP="00431B02">
            <w:pPr>
              <w:jc w:val="left"/>
              <w:rPr>
                <w:b/>
              </w:rPr>
            </w:pPr>
            <w:r>
              <w:rPr>
                <w:b/>
              </w:rPr>
              <w:t xml:space="preserve">Document </w:t>
            </w:r>
            <w:hyperlink r:id="rId20" w:history="1">
              <w:r w:rsidRPr="00431B02">
                <w:rPr>
                  <w:rStyle w:val="Hyperlink"/>
                  <w:b/>
                </w:rPr>
                <w:t>CMR19/568</w:t>
              </w:r>
            </w:hyperlink>
            <w:r>
              <w:rPr>
                <w:b/>
              </w:rPr>
              <w:t xml:space="preserve"> – Minutes of </w:t>
            </w:r>
            <w:r w:rsidRPr="00B20114">
              <w:rPr>
                <w:b/>
              </w:rPr>
              <w:t xml:space="preserve">the </w:t>
            </w:r>
            <w:r>
              <w:rPr>
                <w:b/>
              </w:rPr>
              <w:t>seven</w:t>
            </w:r>
            <w:r w:rsidRPr="00B20114">
              <w:rPr>
                <w:b/>
              </w:rPr>
              <w:t>th Plenary meeting</w:t>
            </w:r>
          </w:p>
        </w:tc>
        <w:tc>
          <w:tcPr>
            <w:tcW w:w="1733" w:type="dxa"/>
          </w:tcPr>
          <w:p w14:paraId="6BD88FE1" w14:textId="77777777" w:rsidR="008C42C7" w:rsidRDefault="008C42C7" w:rsidP="00431B02">
            <w:pPr>
              <w:jc w:val="left"/>
              <w:rPr>
                <w:rFonts w:cs="Times"/>
                <w:b/>
              </w:rPr>
            </w:pPr>
            <w:r>
              <w:rPr>
                <w:rFonts w:cs="Times"/>
                <w:b/>
              </w:rPr>
              <w:t>§§ 4.1 to 4.4</w:t>
            </w:r>
          </w:p>
          <w:p w14:paraId="6E149343" w14:textId="4C29B948"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21" w:history="1">
              <w:r w:rsidRPr="00431B02">
                <w:rPr>
                  <w:rStyle w:val="Hyperlink"/>
                  <w:rFonts w:cs="Times"/>
                  <w:b/>
                </w:rPr>
                <w:t>303</w:t>
              </w:r>
            </w:hyperlink>
          </w:p>
        </w:tc>
        <w:tc>
          <w:tcPr>
            <w:tcW w:w="10712" w:type="dxa"/>
          </w:tcPr>
          <w:p w14:paraId="26625A2B" w14:textId="77777777" w:rsidR="008C42C7" w:rsidRPr="00443F9D" w:rsidRDefault="008C42C7" w:rsidP="00733CB4">
            <w:pPr>
              <w:keepNext/>
              <w:keepLines/>
              <w:spacing w:before="240" w:after="280"/>
              <w:jc w:val="center"/>
              <w:rPr>
                <w:rFonts w:asciiTheme="minorHAnsi" w:hAnsiTheme="minorHAnsi" w:cstheme="minorHAnsi"/>
                <w:b/>
                <w:szCs w:val="24"/>
                <w:lang w:val="en-CA"/>
              </w:rPr>
            </w:pPr>
            <w:r w:rsidRPr="00443F9D">
              <w:rPr>
                <w:rFonts w:asciiTheme="minorHAnsi" w:hAnsiTheme="minorHAnsi" w:cstheme="minorHAnsi"/>
                <w:b/>
                <w:szCs w:val="24"/>
                <w:lang w:val="en-CA"/>
              </w:rPr>
              <w:t xml:space="preserve">Instructions to the Radiocommunication Bureau in application of </w:t>
            </w:r>
            <w:r w:rsidRPr="00443F9D">
              <w:rPr>
                <w:rFonts w:asciiTheme="minorHAnsi" w:hAnsiTheme="minorHAnsi" w:cstheme="minorHAnsi"/>
                <w:b/>
                <w:szCs w:val="24"/>
                <w:lang w:val="en-CA"/>
              </w:rPr>
              <w:br/>
              <w:t>revised Annex 7 to RR Appendix 30 and associated Resolutions</w:t>
            </w:r>
          </w:p>
          <w:p w14:paraId="2629DB98" w14:textId="3AECAD52" w:rsidR="008C42C7" w:rsidRPr="00D022E5" w:rsidRDefault="008C42C7" w:rsidP="00443F9D">
            <w:pPr>
              <w:pStyle w:val="Heading1"/>
              <w:spacing w:before="240"/>
              <w:rPr>
                <w:sz w:val="22"/>
                <w:lang w:val="en-CA"/>
              </w:rPr>
            </w:pPr>
            <w:r w:rsidRPr="00D022E5">
              <w:rPr>
                <w:sz w:val="22"/>
                <w:lang w:val="en-CA"/>
              </w:rPr>
              <w:t>1</w:t>
            </w:r>
            <w:r w:rsidRPr="00D022E5">
              <w:rPr>
                <w:sz w:val="22"/>
                <w:lang w:val="en-CA"/>
              </w:rPr>
              <w:tab/>
              <w:t>Application of the revised orbital limitations applicable to broadcasting satellites serving an area in Region</w:t>
            </w:r>
            <w:r w:rsidR="00733CB4" w:rsidRPr="00D022E5">
              <w:rPr>
                <w:sz w:val="22"/>
                <w:lang w:val="en-CA"/>
              </w:rPr>
              <w:t> </w:t>
            </w:r>
            <w:r w:rsidRPr="00D022E5">
              <w:rPr>
                <w:sz w:val="22"/>
                <w:lang w:val="en-CA"/>
              </w:rPr>
              <w:t xml:space="preserve">1 and using a frequency in the band 11.7-12.2 GHz </w:t>
            </w:r>
          </w:p>
          <w:p w14:paraId="2EDA23FF" w14:textId="03E3C9A6" w:rsidR="008C42C7" w:rsidRPr="00231214" w:rsidRDefault="008C42C7" w:rsidP="00733CB4">
            <w:pPr>
              <w:rPr>
                <w:lang w:val="en-CA"/>
              </w:rPr>
            </w:pPr>
            <w:r w:rsidRPr="00231214">
              <w:rPr>
                <w:lang w:val="en-CA"/>
              </w:rPr>
              <w:t xml:space="preserve">When, under Article 4 of RR Appendix </w:t>
            </w:r>
            <w:r w:rsidRPr="00231214">
              <w:rPr>
                <w:b/>
                <w:bCs/>
                <w:lang w:val="en-CA"/>
              </w:rPr>
              <w:t>30</w:t>
            </w:r>
            <w:r w:rsidRPr="00231214">
              <w:rPr>
                <w:lang w:val="en-CA"/>
              </w:rPr>
              <w:t>, an administration of Regions 1 and 3 submits to the Bureau a new satellite network with frequency assignments in the band 11.7</w:t>
            </w:r>
            <w:r w:rsidRPr="00231214">
              <w:rPr>
                <w:lang w:val="en-CA"/>
              </w:rPr>
              <w:noBreakHyphen/>
              <w:t xml:space="preserve">12.2 GHz, serving an area in Region 1 from the West and occupying a nominal orbital position further west than 37.2° W, the frequency assignments of this satellite network </w:t>
            </w:r>
            <w:r w:rsidRPr="00231214">
              <w:rPr>
                <w:lang w:val="en-CA"/>
              </w:rPr>
              <w:lastRenderedPageBreak/>
              <w:t>shall be deemed receivable only if a portion of land located in the western part of Region 1 as determined by the relevant software application of the Radiocommunication Bureau (excluding any territory with special status (e.g. Antarctica)) is visible from the nominal orbital position of that satellite network (i.e. the elevation angle is greater than 5 degrees). Otherwise the Bureau shall return those assignments to the notifying administration.</w:t>
            </w:r>
          </w:p>
          <w:p w14:paraId="01A3B5F2" w14:textId="518CFF9D" w:rsidR="008C42C7" w:rsidRPr="00D022E5" w:rsidRDefault="008C42C7" w:rsidP="00443F9D">
            <w:pPr>
              <w:pStyle w:val="Heading1"/>
              <w:spacing w:before="240"/>
              <w:rPr>
                <w:sz w:val="22"/>
                <w:lang w:val="en-CA"/>
              </w:rPr>
            </w:pPr>
            <w:r w:rsidRPr="00D022E5">
              <w:rPr>
                <w:sz w:val="22"/>
                <w:lang w:val="en-CA"/>
              </w:rPr>
              <w:t>2</w:t>
            </w:r>
            <w:r w:rsidRPr="00D022E5">
              <w:rPr>
                <w:sz w:val="22"/>
                <w:lang w:val="en-CA"/>
              </w:rPr>
              <w:tab/>
              <w:t>Application of the revised orbital limitations applicable to broadcasting satellites serving an area in Region</w:t>
            </w:r>
            <w:r w:rsidR="00733CB4" w:rsidRPr="00D022E5">
              <w:rPr>
                <w:sz w:val="22"/>
                <w:lang w:val="en-CA"/>
              </w:rPr>
              <w:t> </w:t>
            </w:r>
            <w:r w:rsidRPr="00D022E5">
              <w:rPr>
                <w:sz w:val="22"/>
                <w:lang w:val="en-CA"/>
              </w:rPr>
              <w:t>2 and using a frequency in the band 12.2-12.7 GHz</w:t>
            </w:r>
          </w:p>
          <w:p w14:paraId="0087C342" w14:textId="24C20133" w:rsidR="008C42C7" w:rsidRPr="00231214" w:rsidRDefault="008C42C7" w:rsidP="00733CB4">
            <w:pPr>
              <w:rPr>
                <w:lang w:val="en-CA"/>
              </w:rPr>
            </w:pPr>
            <w:r w:rsidRPr="00231214">
              <w:rPr>
                <w:lang w:val="en-CA"/>
              </w:rPr>
              <w:t xml:space="preserve">When, under Article 4 of RR Appendix </w:t>
            </w:r>
            <w:r w:rsidRPr="00231214">
              <w:rPr>
                <w:b/>
                <w:bCs/>
                <w:lang w:val="en-CA"/>
              </w:rPr>
              <w:t>30</w:t>
            </w:r>
            <w:r w:rsidRPr="00231214">
              <w:rPr>
                <w:lang w:val="en-CA"/>
              </w:rPr>
              <w:t>, an administration of Region 2 submits to the Bureau a new satellite network with frequency assignments in the band 12.2-12.5 GHz (resp. 12.5-12.7 GHz), serving an area in Region 2 from the East and occupying a nominal orbital position further east than 44° W (resp. 54° W), the frequency assignments of this satellite network shall be deemed receivable only if a portion of land located in the eastern part of Region 2 as determined by the relevant software application of the Radiocommunication Bureau (excluding any territory with special status (e.g. Antarctica)) is visible from the nominal orbital position of that satellite network (i.e. the elevation angle is greater than 5 degrees). Otherwise the Bureau shall return those assignments to the notifying administration.</w:t>
            </w:r>
          </w:p>
          <w:p w14:paraId="735A733F" w14:textId="77777777" w:rsidR="008C42C7" w:rsidRPr="00D022E5" w:rsidRDefault="008C42C7" w:rsidP="00443F9D">
            <w:pPr>
              <w:pStyle w:val="Heading1"/>
              <w:spacing w:before="240"/>
              <w:rPr>
                <w:sz w:val="22"/>
                <w:lang w:val="en-CA"/>
              </w:rPr>
            </w:pPr>
            <w:r w:rsidRPr="00D022E5">
              <w:rPr>
                <w:sz w:val="22"/>
                <w:lang w:val="en-CA"/>
              </w:rPr>
              <w:t>3</w:t>
            </w:r>
            <w:r w:rsidRPr="00D022E5">
              <w:rPr>
                <w:sz w:val="22"/>
                <w:lang w:val="en-CA"/>
              </w:rPr>
              <w:tab/>
              <w:t>Application of Resolution COM5/2 (WRC</w:t>
            </w:r>
            <w:r w:rsidRPr="00D022E5">
              <w:rPr>
                <w:sz w:val="22"/>
                <w:lang w:val="en-CA"/>
              </w:rPr>
              <w:noBreakHyphen/>
              <w:t>19)</w:t>
            </w:r>
          </w:p>
          <w:p w14:paraId="70042D08" w14:textId="28017D5A" w:rsidR="008C42C7" w:rsidRPr="00231214" w:rsidRDefault="008C42C7" w:rsidP="00443F9D">
            <w:pPr>
              <w:rPr>
                <w:lang w:val="en-CA"/>
              </w:rPr>
            </w:pPr>
            <w:r w:rsidRPr="00231214">
              <w:rPr>
                <w:i/>
                <w:iCs/>
                <w:lang w:val="en-CA"/>
              </w:rPr>
              <w:t>Resolves</w:t>
            </w:r>
            <w:r w:rsidRPr="00231214">
              <w:rPr>
                <w:lang w:val="en-CA"/>
              </w:rPr>
              <w:t xml:space="preserve"> 2 of Resolution </w:t>
            </w:r>
            <w:r w:rsidRPr="00231214">
              <w:rPr>
                <w:b/>
                <w:bCs/>
                <w:szCs w:val="24"/>
                <w:lang w:val="en-CA"/>
              </w:rPr>
              <w:t>COM5/2</w:t>
            </w:r>
            <w:r w:rsidRPr="00231214">
              <w:rPr>
                <w:b/>
                <w:bCs/>
                <w:lang w:val="en-CA"/>
              </w:rPr>
              <w:t xml:space="preserve"> (WRC-19)</w:t>
            </w:r>
            <w:r w:rsidRPr="00231214">
              <w:rPr>
                <w:lang w:val="en-CA"/>
              </w:rPr>
              <w:t xml:space="preserve"> indicates that identification of frequency assignments of certain networks associated to 40-cm and 45-cm earth station antenna diameters are based only on EPM and a minimum orbital spacing less than 9 degrees. This </w:t>
            </w:r>
            <w:r w:rsidRPr="00231214">
              <w:rPr>
                <w:i/>
                <w:iCs/>
                <w:lang w:val="en-CA"/>
              </w:rPr>
              <w:t>resolves</w:t>
            </w:r>
            <w:r w:rsidRPr="00231214">
              <w:rPr>
                <w:lang w:val="en-CA"/>
              </w:rPr>
              <w:t xml:space="preserve"> only applies in the frequency band 11.7-12.2 GHz. The HISPASAT-37A satellite network included in Annex 1 of this Resolution contains frequency assignments, which partially overlap with the frequency band 11.7-12.2 GHz. For the protection of such assignments from non-planned satellite networks, the criteria contained in Resolution </w:t>
            </w:r>
            <w:r w:rsidRPr="00231214">
              <w:rPr>
                <w:b/>
                <w:bCs/>
                <w:szCs w:val="24"/>
                <w:lang w:val="en-CA"/>
              </w:rPr>
              <w:t>COM5/4</w:t>
            </w:r>
            <w:r w:rsidRPr="00231214">
              <w:rPr>
                <w:b/>
                <w:bCs/>
                <w:lang w:val="en-CA"/>
              </w:rPr>
              <w:t xml:space="preserve"> (WRC-19)</w:t>
            </w:r>
            <w:r w:rsidRPr="00231214">
              <w:rPr>
                <w:lang w:val="en-CA"/>
              </w:rPr>
              <w:t xml:space="preserve"> shall be applied however, for the protection of these assignments from new submissions under Article 4 that are subject to Resolution </w:t>
            </w:r>
            <w:r w:rsidRPr="00231214">
              <w:rPr>
                <w:b/>
                <w:bCs/>
                <w:szCs w:val="24"/>
                <w:lang w:val="en-CA"/>
              </w:rPr>
              <w:t>COM5/2</w:t>
            </w:r>
            <w:r w:rsidRPr="00231214">
              <w:rPr>
                <w:b/>
                <w:bCs/>
                <w:lang w:val="en-CA"/>
              </w:rPr>
              <w:t xml:space="preserve"> (WRC-19)</w:t>
            </w:r>
            <w:r w:rsidRPr="00231214">
              <w:rPr>
                <w:lang w:val="en-CA"/>
              </w:rPr>
              <w:t xml:space="preserve">, the criteria contained in </w:t>
            </w:r>
            <w:r w:rsidRPr="00231214">
              <w:rPr>
                <w:i/>
                <w:iCs/>
                <w:lang w:val="en-CA"/>
              </w:rPr>
              <w:t>resolves</w:t>
            </w:r>
            <w:r w:rsidRPr="00231214">
              <w:rPr>
                <w:lang w:val="en-CA"/>
              </w:rPr>
              <w:t> 2 of this Resolution shall be used.</w:t>
            </w:r>
          </w:p>
          <w:p w14:paraId="40A18389" w14:textId="77777777" w:rsidR="001102A8" w:rsidRDefault="001102A8" w:rsidP="00CE6D50">
            <w:pPr>
              <w:pStyle w:val="Heading1"/>
              <w:spacing w:before="240"/>
              <w:rPr>
                <w:sz w:val="22"/>
                <w:lang w:val="en-CA"/>
              </w:rPr>
            </w:pPr>
          </w:p>
          <w:p w14:paraId="6B408836" w14:textId="0937E6E5" w:rsidR="008C42C7" w:rsidRPr="00D022E5" w:rsidRDefault="008C42C7" w:rsidP="00CE6D50">
            <w:pPr>
              <w:pStyle w:val="Heading1"/>
              <w:spacing w:before="240"/>
              <w:rPr>
                <w:sz w:val="22"/>
                <w:lang w:val="en-CA"/>
              </w:rPr>
            </w:pPr>
            <w:bookmarkStart w:id="1" w:name="_GoBack"/>
            <w:bookmarkEnd w:id="1"/>
            <w:r w:rsidRPr="00D022E5">
              <w:rPr>
                <w:sz w:val="22"/>
                <w:lang w:val="en-CA"/>
              </w:rPr>
              <w:t>4</w:t>
            </w:r>
            <w:r w:rsidRPr="00D022E5">
              <w:rPr>
                <w:sz w:val="22"/>
                <w:lang w:val="en-CA"/>
              </w:rPr>
              <w:tab/>
              <w:t>Application of new Resolution COM5/3 (WRC</w:t>
            </w:r>
            <w:r w:rsidRPr="00D022E5">
              <w:rPr>
                <w:sz w:val="22"/>
                <w:lang w:val="en-CA"/>
              </w:rPr>
              <w:noBreakHyphen/>
              <w:t>19)</w:t>
            </w:r>
          </w:p>
          <w:p w14:paraId="25B666A5" w14:textId="77777777" w:rsidR="008C42C7" w:rsidRPr="00443F9D" w:rsidRDefault="008C42C7" w:rsidP="00443F9D">
            <w:pPr>
              <w:pStyle w:val="enumlev2"/>
              <w:rPr>
                <w:b/>
                <w:bCs/>
                <w:lang w:val="en-CA"/>
              </w:rPr>
            </w:pPr>
            <w:r w:rsidRPr="00443F9D">
              <w:rPr>
                <w:b/>
                <w:bCs/>
                <w:i/>
                <w:iCs/>
                <w:lang w:val="en-CA"/>
              </w:rPr>
              <w:t>a)</w:t>
            </w:r>
            <w:r w:rsidRPr="00443F9D">
              <w:rPr>
                <w:b/>
                <w:bCs/>
                <w:i/>
                <w:iCs/>
                <w:lang w:val="en-CA"/>
              </w:rPr>
              <w:tab/>
              <w:t>Resolves</w:t>
            </w:r>
            <w:r w:rsidRPr="00443F9D">
              <w:rPr>
                <w:b/>
                <w:bCs/>
                <w:lang w:val="en-CA"/>
              </w:rPr>
              <w:t xml:space="preserve"> 2 on the date of receipt of submissions</w:t>
            </w:r>
          </w:p>
          <w:p w14:paraId="618C987D" w14:textId="77777777" w:rsidR="008C42C7" w:rsidRPr="00231214" w:rsidRDefault="008C42C7" w:rsidP="00443F9D">
            <w:pPr>
              <w:pStyle w:val="enumlev2"/>
              <w:rPr>
                <w:lang w:val="en-CA"/>
              </w:rPr>
            </w:pPr>
            <w:r w:rsidRPr="00231214">
              <w:rPr>
                <w:lang w:val="en-CA"/>
              </w:rPr>
              <w:tab/>
              <w:t xml:space="preserve">Submissions referred to in </w:t>
            </w:r>
            <w:r w:rsidRPr="00231214">
              <w:rPr>
                <w:i/>
                <w:iCs/>
                <w:lang w:val="en-CA"/>
              </w:rPr>
              <w:t>resolves</w:t>
            </w:r>
            <w:r w:rsidRPr="00231214">
              <w:rPr>
                <w:lang w:val="en-CA"/>
              </w:rPr>
              <w:t xml:space="preserve"> 2 shall have a common date of receipt of 21 May 2020. The formal date of receipt and the date of protection shall be 21 May 2020 if the submissions are complete. If the submissions are incomplete and a reply to the Bureau’s telefax seeking for missing information is received on or before 21 May 2020, the formal date of receipt and the date of protection shall be 21 May 2020. If the reply to the Bureau’s telefax is received after 21 May 2020, the date of protection shall be the same as the formal date of receipt established in accordance with the Rule of Procedure on the receivability of the notice. The established date of protection shall be used for the Bureau’s examination under relevant provisions of RR Appendices </w:t>
            </w:r>
            <w:r w:rsidRPr="00231214">
              <w:rPr>
                <w:b/>
                <w:bCs/>
                <w:lang w:val="en-CA"/>
              </w:rPr>
              <w:t xml:space="preserve">30 </w:t>
            </w:r>
            <w:r w:rsidRPr="00231214">
              <w:rPr>
                <w:bCs/>
                <w:lang w:val="en-CA"/>
              </w:rPr>
              <w:t>and</w:t>
            </w:r>
            <w:r w:rsidRPr="00231214">
              <w:rPr>
                <w:b/>
                <w:bCs/>
                <w:lang w:val="en-CA"/>
              </w:rPr>
              <w:t xml:space="preserve"> 30A</w:t>
            </w:r>
            <w:r w:rsidRPr="00231214">
              <w:rPr>
                <w:lang w:val="en-CA"/>
              </w:rPr>
              <w:t>. For submissions with the same formal date of receipt, the Bureau shall mutually take them into account in its technical and regulatory examination.</w:t>
            </w:r>
          </w:p>
          <w:p w14:paraId="69C2D75D" w14:textId="77777777" w:rsidR="008C42C7" w:rsidRPr="00D022E5" w:rsidRDefault="008C42C7" w:rsidP="00D022E5">
            <w:pPr>
              <w:pStyle w:val="enumlev2"/>
              <w:rPr>
                <w:b/>
                <w:bCs/>
                <w:lang w:val="en-CA"/>
              </w:rPr>
            </w:pPr>
            <w:r w:rsidRPr="00D022E5">
              <w:rPr>
                <w:b/>
                <w:bCs/>
                <w:i/>
                <w:iCs/>
                <w:lang w:val="en-CA"/>
              </w:rPr>
              <w:t>b)</w:t>
            </w:r>
            <w:r w:rsidRPr="00D022E5">
              <w:rPr>
                <w:b/>
                <w:bCs/>
                <w:i/>
                <w:iCs/>
                <w:lang w:val="en-CA"/>
              </w:rPr>
              <w:tab/>
              <w:t>Resolves</w:t>
            </w:r>
            <w:r w:rsidRPr="00D022E5">
              <w:rPr>
                <w:b/>
                <w:bCs/>
                <w:lang w:val="en-CA"/>
              </w:rPr>
              <w:t xml:space="preserve"> 3 on the date of receipt of submissions</w:t>
            </w:r>
          </w:p>
          <w:p w14:paraId="72CCF076" w14:textId="77777777" w:rsidR="008C42C7" w:rsidRDefault="008C42C7" w:rsidP="00D022E5">
            <w:pPr>
              <w:pStyle w:val="enumlev2"/>
              <w:rPr>
                <w:lang w:val="en-CA"/>
              </w:rPr>
            </w:pPr>
            <w:r w:rsidRPr="00231214">
              <w:rPr>
                <w:lang w:val="en-CA"/>
              </w:rPr>
              <w:tab/>
              <w:t xml:space="preserve">Submissions referred to in </w:t>
            </w:r>
            <w:r w:rsidRPr="00231214">
              <w:rPr>
                <w:i/>
                <w:iCs/>
                <w:lang w:val="en-CA"/>
              </w:rPr>
              <w:t>resolves</w:t>
            </w:r>
            <w:r w:rsidRPr="00231214">
              <w:rPr>
                <w:lang w:val="en-CA"/>
              </w:rPr>
              <w:t xml:space="preserve"> 3 (i.e. submissions under § 4.1.3 of RR Appendix </w:t>
            </w:r>
            <w:r w:rsidRPr="00231214">
              <w:rPr>
                <w:b/>
                <w:bCs/>
                <w:lang w:val="en-CA"/>
              </w:rPr>
              <w:t>30</w:t>
            </w:r>
            <w:r w:rsidRPr="00231214">
              <w:rPr>
                <w:lang w:val="en-CA"/>
              </w:rPr>
              <w:t xml:space="preserve"> in the frequency bands 11.7-12.5 GHz and feeder-links assignments in the frequency bands 14.5-14.8 GHz and 17.3-18.1 GHz of RR Appendix </w:t>
            </w:r>
            <w:r w:rsidRPr="00231214">
              <w:rPr>
                <w:b/>
                <w:bCs/>
                <w:lang w:val="en-CA"/>
              </w:rPr>
              <w:t>30A</w:t>
            </w:r>
            <w:r w:rsidRPr="00231214">
              <w:rPr>
                <w:lang w:val="en-CA"/>
              </w:rPr>
              <w:t>) at an orbital position of orbital arcs for which the limitations of Annex 7 to RR Appendix </w:t>
            </w:r>
            <w:r w:rsidRPr="00231214">
              <w:rPr>
                <w:b/>
                <w:szCs w:val="24"/>
                <w:lang w:val="en-CA"/>
              </w:rPr>
              <w:t>30</w:t>
            </w:r>
            <w:r w:rsidRPr="00231214">
              <w:rPr>
                <w:b/>
                <w:lang w:val="en-CA"/>
              </w:rPr>
              <w:t xml:space="preserve"> </w:t>
            </w:r>
            <w:r w:rsidRPr="00231214">
              <w:rPr>
                <w:b/>
                <w:bCs/>
                <w:lang w:val="en-CA"/>
              </w:rPr>
              <w:t>(Rev.WRC</w:t>
            </w:r>
            <w:r w:rsidRPr="00231214">
              <w:rPr>
                <w:b/>
                <w:bCs/>
                <w:lang w:val="en-CA"/>
              </w:rPr>
              <w:noBreakHyphen/>
              <w:t xml:space="preserve">15) </w:t>
            </w:r>
            <w:r w:rsidRPr="00231214">
              <w:rPr>
                <w:lang w:val="en-CA"/>
              </w:rPr>
              <w:t>were suppressed by WRC</w:t>
            </w:r>
            <w:r w:rsidRPr="00231214">
              <w:rPr>
                <w:lang w:val="en-CA"/>
              </w:rPr>
              <w:noBreakHyphen/>
              <w:t xml:space="preserve">19 and not meeting the specified requirements in § 1 of the Attachment to that Resolution, shall have a common date of receipt of 22 May 2020. For those submissions, the date of protection shall be the same as the formal date of receipt established in accordance with the Rule of Procedure on the receivability of the notice. The established date of protection shall be used for the Bureau’s examination under relevant provisions of RR Appendices </w:t>
            </w:r>
            <w:r w:rsidRPr="00231214">
              <w:rPr>
                <w:b/>
                <w:bCs/>
                <w:lang w:val="en-CA"/>
              </w:rPr>
              <w:t xml:space="preserve">30 </w:t>
            </w:r>
            <w:r w:rsidRPr="00231214">
              <w:rPr>
                <w:bCs/>
                <w:lang w:val="en-CA"/>
              </w:rPr>
              <w:t>and</w:t>
            </w:r>
            <w:r w:rsidRPr="00231214">
              <w:rPr>
                <w:b/>
                <w:bCs/>
                <w:lang w:val="en-CA"/>
              </w:rPr>
              <w:t xml:space="preserve"> 30A</w:t>
            </w:r>
            <w:r w:rsidRPr="00231214">
              <w:rPr>
                <w:lang w:val="en-CA"/>
              </w:rPr>
              <w:t>. For submissions with the same formal date of receipt, the Bureau shall mutually take them into account in its technical and regulatory examination.</w:t>
            </w:r>
          </w:p>
          <w:p w14:paraId="3B31CB5D" w14:textId="77777777" w:rsidR="008C42C7" w:rsidRPr="00D022E5" w:rsidRDefault="008C42C7" w:rsidP="00D022E5">
            <w:pPr>
              <w:pStyle w:val="enumlev2"/>
              <w:rPr>
                <w:b/>
                <w:bCs/>
                <w:lang w:val="en-CA"/>
              </w:rPr>
            </w:pPr>
            <w:r w:rsidRPr="00D022E5">
              <w:rPr>
                <w:b/>
                <w:bCs/>
                <w:i/>
                <w:iCs/>
                <w:lang w:val="en-CA"/>
              </w:rPr>
              <w:t>c)</w:t>
            </w:r>
            <w:r w:rsidRPr="00D022E5">
              <w:rPr>
                <w:b/>
                <w:bCs/>
                <w:lang w:val="en-CA"/>
              </w:rPr>
              <w:tab/>
              <w:t>Submissions under § 4.1.12 of RR Appendix 30/30A of the satellite networks applying that Resolution</w:t>
            </w:r>
          </w:p>
          <w:p w14:paraId="0053893A" w14:textId="77777777" w:rsidR="008C42C7" w:rsidRPr="00231214" w:rsidRDefault="008C42C7" w:rsidP="00D022E5">
            <w:pPr>
              <w:pStyle w:val="enumlev2"/>
              <w:rPr>
                <w:lang w:val="en-CA"/>
              </w:rPr>
            </w:pPr>
            <w:r w:rsidRPr="00231214">
              <w:rPr>
                <w:lang w:val="en-CA"/>
              </w:rPr>
              <w:tab/>
              <w:t xml:space="preserve">During the frequency coordination, the notifying Administration may change the beam from elliptical to shaped. Therefore, the Bureau shall accept submissions of satellite networks applying that Resolution and containing a shaped beam under § 4.1.12 of RR Appendices </w:t>
            </w:r>
            <w:r w:rsidRPr="00231214">
              <w:rPr>
                <w:b/>
                <w:bCs/>
                <w:lang w:val="en-CA"/>
              </w:rPr>
              <w:t>30</w:t>
            </w:r>
            <w:r w:rsidRPr="00231214">
              <w:rPr>
                <w:bCs/>
                <w:lang w:val="en-CA"/>
              </w:rPr>
              <w:t xml:space="preserve"> and </w:t>
            </w:r>
            <w:r w:rsidRPr="00231214">
              <w:rPr>
                <w:b/>
                <w:bCs/>
                <w:lang w:val="en-CA"/>
              </w:rPr>
              <w:t>30A</w:t>
            </w:r>
            <w:r w:rsidRPr="00231214">
              <w:rPr>
                <w:lang w:val="en-CA"/>
              </w:rPr>
              <w:t>, if the characteristics of the submission under § 4.1.12 are within the envelope of the characteristics of submission under § 4.1.3.</w:t>
            </w:r>
          </w:p>
          <w:p w14:paraId="1FC432C4" w14:textId="77777777" w:rsidR="008C42C7" w:rsidRPr="00D022E5" w:rsidRDefault="008C42C7" w:rsidP="00CE6D50">
            <w:pPr>
              <w:pStyle w:val="Heading1"/>
              <w:spacing w:before="240"/>
              <w:rPr>
                <w:sz w:val="22"/>
                <w:lang w:val="en-CA"/>
              </w:rPr>
            </w:pPr>
            <w:r w:rsidRPr="00D022E5">
              <w:rPr>
                <w:sz w:val="22"/>
                <w:lang w:val="en-CA"/>
              </w:rPr>
              <w:lastRenderedPageBreak/>
              <w:t>5</w:t>
            </w:r>
            <w:r w:rsidRPr="00D022E5">
              <w:rPr>
                <w:sz w:val="22"/>
                <w:lang w:val="en-CA"/>
              </w:rPr>
              <w:tab/>
              <w:t xml:space="preserve">Calculation of the minimum geocentric orbital separation referred to in </w:t>
            </w:r>
            <w:r w:rsidRPr="00D022E5">
              <w:rPr>
                <w:i/>
                <w:iCs/>
                <w:sz w:val="22"/>
                <w:lang w:val="en-CA"/>
              </w:rPr>
              <w:t>resolves</w:t>
            </w:r>
            <w:r w:rsidRPr="00D022E5">
              <w:rPr>
                <w:sz w:val="22"/>
                <w:lang w:val="en-CA"/>
              </w:rPr>
              <w:t xml:space="preserve"> 1 and 2 of Resolution COM5/4 (WRC</w:t>
            </w:r>
            <w:r w:rsidRPr="00D022E5">
              <w:rPr>
                <w:sz w:val="22"/>
                <w:lang w:val="en-CA"/>
              </w:rPr>
              <w:noBreakHyphen/>
              <w:t>19)</w:t>
            </w:r>
          </w:p>
          <w:p w14:paraId="44DC41A0" w14:textId="1F53FB06" w:rsidR="008C42C7" w:rsidRPr="00231214" w:rsidRDefault="008C42C7" w:rsidP="00D022E5">
            <w:pPr>
              <w:rPr>
                <w:lang w:val="en-CA"/>
              </w:rPr>
            </w:pPr>
            <w:r w:rsidRPr="00231214">
              <w:rPr>
                <w:lang w:val="en-CA"/>
              </w:rPr>
              <w:t xml:space="preserve">When calculating the minimum geocentric orbital separation between the wanted and interfering space stations, the Bureau shall </w:t>
            </w:r>
            <w:proofErr w:type="gramStart"/>
            <w:r w:rsidRPr="00231214">
              <w:rPr>
                <w:lang w:val="en-CA"/>
              </w:rPr>
              <w:t>take into account</w:t>
            </w:r>
            <w:proofErr w:type="gramEnd"/>
            <w:r w:rsidRPr="00231214">
              <w:rPr>
                <w:lang w:val="en-CA"/>
              </w:rPr>
              <w:t xml:space="preserve"> the East-West station-keeping accuracies of the FSS and BSS space stations so that the two space stations are the closest.</w:t>
            </w:r>
          </w:p>
          <w:p w14:paraId="50CE76BC" w14:textId="77777777" w:rsidR="008C42C7" w:rsidRPr="006D098C" w:rsidRDefault="008C42C7" w:rsidP="00431B02">
            <w:r w:rsidRPr="00231214">
              <w:rPr>
                <w:b/>
                <w:bCs/>
                <w:lang w:val="en-CA"/>
              </w:rPr>
              <w:t>6</w:t>
            </w:r>
            <w:r w:rsidRPr="00231214">
              <w:rPr>
                <w:lang w:val="en-CA"/>
              </w:rPr>
              <w:tab/>
              <w:t xml:space="preserve">In relation with the specific case of the Administration of South Sudan, which currently does not have any frequency assignments in the Plans of RR Appendices </w:t>
            </w:r>
            <w:r w:rsidRPr="00231214">
              <w:rPr>
                <w:b/>
                <w:bCs/>
                <w:lang w:val="en-CA"/>
              </w:rPr>
              <w:t>30</w:t>
            </w:r>
            <w:r w:rsidRPr="00231214">
              <w:rPr>
                <w:lang w:val="en-CA"/>
              </w:rPr>
              <w:t xml:space="preserve"> and </w:t>
            </w:r>
            <w:r w:rsidRPr="00231214">
              <w:rPr>
                <w:b/>
                <w:bCs/>
                <w:lang w:val="en-CA"/>
              </w:rPr>
              <w:t>30A</w:t>
            </w:r>
            <w:r w:rsidRPr="00231214">
              <w:rPr>
                <w:lang w:val="en-CA"/>
              </w:rPr>
              <w:t xml:space="preserve">, WRC-19 decided that the Administration of South Sudan may apply Resolution </w:t>
            </w:r>
            <w:r w:rsidRPr="00231214">
              <w:rPr>
                <w:b/>
                <w:bCs/>
                <w:szCs w:val="24"/>
                <w:lang w:val="en-CA"/>
              </w:rPr>
              <w:t>COM5/3</w:t>
            </w:r>
            <w:r w:rsidRPr="00231214">
              <w:rPr>
                <w:b/>
                <w:bCs/>
                <w:lang w:val="en-CA"/>
              </w:rPr>
              <w:t xml:space="preserve"> (WRC</w:t>
            </w:r>
            <w:r w:rsidRPr="00231214">
              <w:rPr>
                <w:b/>
                <w:bCs/>
                <w:lang w:val="en-CA"/>
              </w:rPr>
              <w:noBreakHyphen/>
              <w:t>19)</w:t>
            </w:r>
            <w:r w:rsidRPr="00231214">
              <w:rPr>
                <w:lang w:val="en-CA"/>
              </w:rPr>
              <w:t xml:space="preserve"> and instructed the Radiocommunication Bureau to accept such submission from the administration of South Sudan.</w:t>
            </w:r>
          </w:p>
        </w:tc>
      </w:tr>
      <w:tr w:rsidR="008C42C7" w:rsidRPr="00B20114" w14:paraId="513EFDF3" w14:textId="77777777" w:rsidTr="00CE6D50">
        <w:trPr>
          <w:trHeight w:val="1139"/>
        </w:trPr>
        <w:tc>
          <w:tcPr>
            <w:tcW w:w="1838" w:type="dxa"/>
            <w:vMerge/>
          </w:tcPr>
          <w:p w14:paraId="77C87363" w14:textId="77777777" w:rsidR="008C42C7" w:rsidRDefault="008C42C7" w:rsidP="00431B02">
            <w:pPr>
              <w:jc w:val="left"/>
              <w:rPr>
                <w:b/>
              </w:rPr>
            </w:pPr>
          </w:p>
        </w:tc>
        <w:tc>
          <w:tcPr>
            <w:tcW w:w="1733" w:type="dxa"/>
          </w:tcPr>
          <w:p w14:paraId="5FFF8809" w14:textId="77777777" w:rsidR="008C42C7" w:rsidRDefault="008C42C7" w:rsidP="00431B02">
            <w:pPr>
              <w:jc w:val="left"/>
              <w:rPr>
                <w:rFonts w:cs="Times"/>
                <w:b/>
              </w:rPr>
            </w:pPr>
            <w:r>
              <w:rPr>
                <w:rFonts w:cs="Times"/>
                <w:b/>
              </w:rPr>
              <w:t>§§ 4.5 to 4.7</w:t>
            </w:r>
          </w:p>
          <w:p w14:paraId="6912B0D6" w14:textId="19C7D87B"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22" w:history="1">
              <w:r w:rsidRPr="00431B02">
                <w:rPr>
                  <w:rStyle w:val="Hyperlink"/>
                  <w:rFonts w:cs="Times"/>
                  <w:b/>
                </w:rPr>
                <w:t>338</w:t>
              </w:r>
            </w:hyperlink>
          </w:p>
        </w:tc>
        <w:tc>
          <w:tcPr>
            <w:tcW w:w="10712" w:type="dxa"/>
          </w:tcPr>
          <w:p w14:paraId="0D16ED58" w14:textId="77777777" w:rsidR="008C42C7" w:rsidRPr="00231214" w:rsidRDefault="008C42C7" w:rsidP="00431B02">
            <w:pPr>
              <w:rPr>
                <w:rFonts w:ascii="Times New Roman Bold" w:hAnsi="Times New Roman Bold" w:cs="Times New Roman Bold"/>
                <w:b/>
                <w:lang w:val="en-CA"/>
              </w:rPr>
            </w:pPr>
            <w:r w:rsidRPr="00231214">
              <w:rPr>
                <w:rFonts w:ascii="Times New Roman Bold" w:hAnsi="Times New Roman Bold" w:cs="Times New Roman Bold"/>
                <w:b/>
                <w:lang w:val="en-CA"/>
              </w:rPr>
              <w:t>Space research allocation in 14.5-14.8 GHz</w:t>
            </w:r>
          </w:p>
          <w:p w14:paraId="439BF627" w14:textId="77777777" w:rsidR="008C42C7" w:rsidRPr="00825A6D" w:rsidRDefault="008C42C7" w:rsidP="00431B02">
            <w:pPr>
              <w:keepNext/>
              <w:keepLines/>
              <w:spacing w:before="240" w:after="280"/>
              <w:rPr>
                <w:rFonts w:ascii="Times New Roman Bold" w:hAnsi="Times New Roman Bold"/>
                <w:b/>
                <w:szCs w:val="24"/>
                <w:lang w:val="en-CA"/>
              </w:rPr>
            </w:pPr>
            <w:r w:rsidRPr="00231214">
              <w:rPr>
                <w:lang w:val="en-CA"/>
              </w:rPr>
              <w:t xml:space="preserve">Having discussed Section 3.1.2.4 of </w:t>
            </w:r>
            <w:r w:rsidRPr="004407F7">
              <w:t>Document </w:t>
            </w:r>
            <w:hyperlink r:id="rId23" w:history="1">
              <w:r w:rsidRPr="004407F7">
                <w:t>4 (Add.2)</w:t>
              </w:r>
            </w:hyperlink>
            <w:r w:rsidRPr="004407F7">
              <w:t>,</w:t>
            </w:r>
            <w:r w:rsidRPr="00231214">
              <w:rPr>
                <w:lang w:val="en-CA"/>
              </w:rPr>
              <w:t xml:space="preserve"> Committee 5 concluded that the Conference should instruct the Director of the Radiocommunication Bureau to monitor the use of the space research allocation in the frequency band 14.5-14.8 GHz, and should invite ITU-R to study the evolution of the technical parameters of systems in the space research service and the associated sharing environment of the same frequency band.</w:t>
            </w:r>
          </w:p>
        </w:tc>
      </w:tr>
      <w:tr w:rsidR="008C42C7" w:rsidRPr="00B20114" w14:paraId="1B733068" w14:textId="77777777" w:rsidTr="00CE6D50">
        <w:trPr>
          <w:trHeight w:val="1139"/>
        </w:trPr>
        <w:tc>
          <w:tcPr>
            <w:tcW w:w="1838" w:type="dxa"/>
            <w:vMerge/>
          </w:tcPr>
          <w:p w14:paraId="78A12D90" w14:textId="77777777" w:rsidR="008C42C7" w:rsidRDefault="008C42C7" w:rsidP="00431B02">
            <w:pPr>
              <w:jc w:val="left"/>
              <w:rPr>
                <w:b/>
              </w:rPr>
            </w:pPr>
          </w:p>
        </w:tc>
        <w:tc>
          <w:tcPr>
            <w:tcW w:w="1733" w:type="dxa"/>
          </w:tcPr>
          <w:p w14:paraId="5A5DE8CB" w14:textId="77777777" w:rsidR="008C42C7" w:rsidRDefault="008C42C7" w:rsidP="00431B02">
            <w:pPr>
              <w:jc w:val="left"/>
              <w:rPr>
                <w:rFonts w:cs="Times"/>
                <w:b/>
              </w:rPr>
            </w:pPr>
            <w:r>
              <w:rPr>
                <w:rFonts w:cs="Times"/>
                <w:b/>
              </w:rPr>
              <w:t>§§ 13.1 to 13.7</w:t>
            </w:r>
          </w:p>
          <w:p w14:paraId="5FB89AC5" w14:textId="1A043CAC" w:rsidR="008C42C7" w:rsidRDefault="008C42C7" w:rsidP="00431B02">
            <w:pPr>
              <w:jc w:val="left"/>
              <w:rPr>
                <w:rFonts w:cs="Times"/>
                <w:b/>
              </w:rPr>
            </w:pPr>
            <w:r>
              <w:rPr>
                <w:rFonts w:cs="Times"/>
                <w:b/>
              </w:rPr>
              <w:t xml:space="preserve">Consideration of </w:t>
            </w:r>
            <w:r w:rsidR="00BD0448">
              <w:rPr>
                <w:rFonts w:cs="Times"/>
                <w:b/>
              </w:rPr>
              <w:t>D</w:t>
            </w:r>
            <w:r>
              <w:rPr>
                <w:rFonts w:cs="Times"/>
                <w:b/>
              </w:rPr>
              <w:t xml:space="preserve">ocument </w:t>
            </w:r>
            <w:hyperlink r:id="rId24" w:history="1">
              <w:r w:rsidRPr="00431B02">
                <w:rPr>
                  <w:rStyle w:val="Hyperlink"/>
                  <w:rFonts w:cs="Times"/>
                  <w:b/>
                </w:rPr>
                <w:t>238</w:t>
              </w:r>
            </w:hyperlink>
          </w:p>
        </w:tc>
        <w:tc>
          <w:tcPr>
            <w:tcW w:w="10712" w:type="dxa"/>
          </w:tcPr>
          <w:p w14:paraId="48166E67" w14:textId="77777777" w:rsidR="008C42C7" w:rsidRPr="00231214" w:rsidRDefault="008C42C7" w:rsidP="00431B02">
            <w:pPr>
              <w:rPr>
                <w:szCs w:val="24"/>
                <w:lang w:val="en-CA"/>
              </w:rPr>
            </w:pPr>
            <w:r>
              <w:rPr>
                <w:szCs w:val="24"/>
                <w:lang w:val="en-CA"/>
              </w:rPr>
              <w:t>13.1</w:t>
            </w:r>
            <w:r>
              <w:rPr>
                <w:szCs w:val="24"/>
                <w:lang w:val="en-CA"/>
              </w:rPr>
              <w:tab/>
            </w:r>
            <w:r w:rsidRPr="00231214">
              <w:rPr>
                <w:szCs w:val="24"/>
                <w:lang w:val="en-CA"/>
              </w:rPr>
              <w:t xml:space="preserve">The </w:t>
            </w:r>
            <w:r w:rsidRPr="00231214">
              <w:rPr>
                <w:b/>
                <w:bCs/>
                <w:szCs w:val="24"/>
                <w:lang w:val="en-CA"/>
              </w:rPr>
              <w:t>delegate of Egypt</w:t>
            </w:r>
            <w:r w:rsidRPr="00231214">
              <w:rPr>
                <w:szCs w:val="24"/>
                <w:lang w:val="en-CA"/>
              </w:rPr>
              <w:t xml:space="preserve"> introduced Document 238, which contained a request relating to </w:t>
            </w:r>
            <w:r>
              <w:rPr>
                <w:szCs w:val="24"/>
                <w:lang w:val="en-CA"/>
              </w:rPr>
              <w:t xml:space="preserve">the </w:t>
            </w:r>
            <w:r w:rsidRPr="00231214">
              <w:rPr>
                <w:szCs w:val="24"/>
                <w:lang w:val="en-CA"/>
              </w:rPr>
              <w:t xml:space="preserve">Egyptian satellite </w:t>
            </w:r>
            <w:proofErr w:type="spellStart"/>
            <w:r w:rsidRPr="00231214">
              <w:rPr>
                <w:szCs w:val="24"/>
                <w:lang w:val="en-CA"/>
              </w:rPr>
              <w:t>Nilesat</w:t>
            </w:r>
            <w:proofErr w:type="spellEnd"/>
            <w:r w:rsidRPr="00231214">
              <w:rPr>
                <w:szCs w:val="24"/>
                <w:lang w:val="en-CA"/>
              </w:rPr>
              <w:t xml:space="preserve"> 301, </w:t>
            </w:r>
            <w:r>
              <w:rPr>
                <w:szCs w:val="24"/>
                <w:lang w:val="en-CA"/>
              </w:rPr>
              <w:t>which</w:t>
            </w:r>
            <w:r w:rsidRPr="00231214">
              <w:rPr>
                <w:szCs w:val="24"/>
                <w:lang w:val="en-CA"/>
              </w:rPr>
              <w:t xml:space="preserve"> was to be located at orbital position 7°W before 19 March 2022, the d</w:t>
            </w:r>
            <w:r>
              <w:rPr>
                <w:szCs w:val="24"/>
                <w:lang w:val="en-CA"/>
              </w:rPr>
              <w:t xml:space="preserve">eadline </w:t>
            </w:r>
            <w:r w:rsidRPr="00231214">
              <w:rPr>
                <w:szCs w:val="24"/>
                <w:lang w:val="en-CA"/>
              </w:rPr>
              <w:t xml:space="preserve">for bringing into use the frequency assignments of filing EGY-N-SAT. Although confident </w:t>
            </w:r>
            <w:r>
              <w:rPr>
                <w:szCs w:val="24"/>
                <w:lang w:val="en-CA"/>
              </w:rPr>
              <w:t xml:space="preserve">that it would be able to </w:t>
            </w:r>
            <w:r w:rsidRPr="00231214">
              <w:rPr>
                <w:szCs w:val="24"/>
                <w:lang w:val="en-CA"/>
              </w:rPr>
              <w:t xml:space="preserve">meet that </w:t>
            </w:r>
            <w:r>
              <w:rPr>
                <w:szCs w:val="24"/>
                <w:lang w:val="en-CA"/>
              </w:rPr>
              <w:t>deadline</w:t>
            </w:r>
            <w:r w:rsidRPr="00231214">
              <w:rPr>
                <w:szCs w:val="24"/>
                <w:lang w:val="en-CA"/>
              </w:rPr>
              <w:t>, the Egyptian Administration was concerned that any unexpected mishaps leading to delays beyond its control could affect the timely launch of the satellite. It therefore requested the conference to grant a six-month extension of the time</w:t>
            </w:r>
            <w:r>
              <w:rPr>
                <w:szCs w:val="24"/>
                <w:lang w:val="en-CA"/>
              </w:rPr>
              <w:t>-</w:t>
            </w:r>
            <w:r w:rsidRPr="00231214">
              <w:rPr>
                <w:szCs w:val="24"/>
                <w:lang w:val="en-CA"/>
              </w:rPr>
              <w:t>limit to 19 September 2022.</w:t>
            </w:r>
          </w:p>
          <w:p w14:paraId="1F964268" w14:textId="77777777" w:rsidR="008C42C7" w:rsidRPr="00231214" w:rsidRDefault="008C42C7" w:rsidP="00431B02">
            <w:pPr>
              <w:rPr>
                <w:rFonts w:eastAsia="MS Mincho"/>
                <w:szCs w:val="24"/>
                <w:lang w:val="en-CA"/>
              </w:rPr>
            </w:pPr>
            <w:r>
              <w:rPr>
                <w:szCs w:val="24"/>
                <w:lang w:val="en-CA"/>
              </w:rPr>
              <w:t>(…)</w:t>
            </w:r>
          </w:p>
          <w:p w14:paraId="627E5337" w14:textId="77777777" w:rsidR="008C42C7" w:rsidRPr="00231214" w:rsidRDefault="008C42C7" w:rsidP="00431B02">
            <w:pPr>
              <w:rPr>
                <w:rFonts w:eastAsia="MS Mincho"/>
                <w:szCs w:val="24"/>
                <w:lang w:val="en-CA"/>
              </w:rPr>
            </w:pPr>
            <w:r>
              <w:rPr>
                <w:rFonts w:eastAsia="MS Mincho"/>
                <w:szCs w:val="24"/>
                <w:lang w:val="en-CA"/>
              </w:rPr>
              <w:t>13.6</w:t>
            </w:r>
            <w:r>
              <w:rPr>
                <w:rFonts w:eastAsia="MS Mincho"/>
                <w:szCs w:val="24"/>
                <w:lang w:val="en-CA"/>
              </w:rPr>
              <w:tab/>
              <w:t>T</w:t>
            </w:r>
            <w:r w:rsidRPr="00231214">
              <w:rPr>
                <w:rFonts w:eastAsia="MS Mincho"/>
                <w:szCs w:val="24"/>
                <w:lang w:val="en-CA"/>
              </w:rPr>
              <w:t xml:space="preserve">he </w:t>
            </w:r>
            <w:r w:rsidRPr="00231214">
              <w:rPr>
                <w:rFonts w:eastAsia="MS Mincho"/>
                <w:b/>
                <w:bCs/>
                <w:szCs w:val="24"/>
                <w:lang w:val="en-CA"/>
              </w:rPr>
              <w:t xml:space="preserve">Chairman </w:t>
            </w:r>
            <w:r w:rsidRPr="00231214">
              <w:rPr>
                <w:rFonts w:eastAsia="MS Mincho"/>
                <w:szCs w:val="24"/>
                <w:lang w:val="en-CA"/>
              </w:rPr>
              <w:t>took it that the conference wished to approve the request of the Egyptian Administration.</w:t>
            </w:r>
          </w:p>
          <w:p w14:paraId="234B511B" w14:textId="77777777" w:rsidR="008C42C7" w:rsidRPr="0054765E" w:rsidRDefault="008C42C7" w:rsidP="00431B02">
            <w:pPr>
              <w:rPr>
                <w:rFonts w:eastAsia="MS Mincho"/>
                <w:b/>
                <w:bCs/>
                <w:szCs w:val="24"/>
                <w:lang w:val="en-CA"/>
              </w:rPr>
            </w:pPr>
            <w:r>
              <w:rPr>
                <w:rFonts w:eastAsia="MS Mincho"/>
                <w:szCs w:val="24"/>
                <w:lang w:val="en-CA"/>
              </w:rPr>
              <w:t>13.7</w:t>
            </w:r>
            <w:r>
              <w:rPr>
                <w:rFonts w:eastAsia="MS Mincho"/>
                <w:szCs w:val="24"/>
                <w:lang w:val="en-CA"/>
              </w:rPr>
              <w:tab/>
            </w:r>
            <w:r w:rsidRPr="00231214">
              <w:rPr>
                <w:rFonts w:eastAsia="MS Mincho"/>
                <w:szCs w:val="24"/>
                <w:lang w:val="en-CA"/>
              </w:rPr>
              <w:t xml:space="preserve">It was so </w:t>
            </w:r>
            <w:r w:rsidRPr="00231214">
              <w:rPr>
                <w:rFonts w:eastAsia="MS Mincho"/>
                <w:b/>
                <w:bCs/>
                <w:szCs w:val="24"/>
                <w:lang w:val="en-CA"/>
              </w:rPr>
              <w:t>agreed.</w:t>
            </w:r>
          </w:p>
        </w:tc>
      </w:tr>
      <w:tr w:rsidR="008C42C7" w:rsidRPr="00B20114" w14:paraId="0D75B39D" w14:textId="77777777" w:rsidTr="00CE6D50">
        <w:trPr>
          <w:trHeight w:val="1139"/>
        </w:trPr>
        <w:tc>
          <w:tcPr>
            <w:tcW w:w="1838" w:type="dxa"/>
            <w:vMerge w:val="restart"/>
          </w:tcPr>
          <w:p w14:paraId="2D14D714" w14:textId="01FF7363" w:rsidR="008C42C7" w:rsidRDefault="008C42C7" w:rsidP="00431B02">
            <w:pPr>
              <w:jc w:val="left"/>
              <w:rPr>
                <w:b/>
              </w:rPr>
            </w:pPr>
            <w:r>
              <w:rPr>
                <w:b/>
              </w:rPr>
              <w:lastRenderedPageBreak/>
              <w:t xml:space="preserve">Document </w:t>
            </w:r>
            <w:hyperlink r:id="rId25" w:history="1">
              <w:r w:rsidRPr="002849C7">
                <w:rPr>
                  <w:rStyle w:val="Hyperlink"/>
                  <w:b/>
                </w:rPr>
                <w:t>CMR19/569</w:t>
              </w:r>
            </w:hyperlink>
            <w:r>
              <w:rPr>
                <w:b/>
              </w:rPr>
              <w:t xml:space="preserve"> – Minutes of </w:t>
            </w:r>
            <w:r w:rsidRPr="00B20114">
              <w:rPr>
                <w:b/>
              </w:rPr>
              <w:t xml:space="preserve">the </w:t>
            </w:r>
            <w:r>
              <w:rPr>
                <w:b/>
              </w:rPr>
              <w:t>eigh</w:t>
            </w:r>
            <w:r w:rsidRPr="00B20114">
              <w:rPr>
                <w:b/>
              </w:rPr>
              <w:t>th Plenary meeting</w:t>
            </w:r>
          </w:p>
        </w:tc>
        <w:tc>
          <w:tcPr>
            <w:tcW w:w="1733" w:type="dxa"/>
          </w:tcPr>
          <w:p w14:paraId="138BF72E" w14:textId="77777777" w:rsidR="008C42C7" w:rsidRDefault="008C42C7" w:rsidP="00431B02">
            <w:pPr>
              <w:jc w:val="left"/>
              <w:rPr>
                <w:rFonts w:cs="Times"/>
                <w:b/>
              </w:rPr>
            </w:pPr>
            <w:r>
              <w:rPr>
                <w:rFonts w:cs="Times"/>
                <w:b/>
              </w:rPr>
              <w:t>§§ 3.4 to 3.7</w:t>
            </w:r>
          </w:p>
          <w:p w14:paraId="7B965C2D" w14:textId="7FFA3D73"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26" w:history="1">
              <w:r w:rsidRPr="002849C7">
                <w:rPr>
                  <w:rStyle w:val="Hyperlink"/>
                  <w:rFonts w:cs="Times"/>
                  <w:b/>
                </w:rPr>
                <w:t>344</w:t>
              </w:r>
            </w:hyperlink>
          </w:p>
        </w:tc>
        <w:tc>
          <w:tcPr>
            <w:tcW w:w="10712" w:type="dxa"/>
          </w:tcPr>
          <w:p w14:paraId="525B1A97" w14:textId="77777777" w:rsidR="008C42C7" w:rsidRPr="000F102F" w:rsidRDefault="008C42C7" w:rsidP="00431B02">
            <w:pPr>
              <w:rPr>
                <w:szCs w:val="24"/>
                <w:lang w:val="en-CA"/>
              </w:rPr>
            </w:pPr>
            <w:r w:rsidRPr="000F102F">
              <w:rPr>
                <w:szCs w:val="24"/>
                <w:lang w:val="en-CA"/>
              </w:rPr>
              <w:t xml:space="preserve">WRC-19 received Document 92(Add.21) addressing concerns with ongoing uplink interference being experienced by two GSO MSS satellite networks in the frequency band 2 670-2 690 </w:t>
            </w:r>
            <w:proofErr w:type="spellStart"/>
            <w:r w:rsidRPr="000F102F">
              <w:rPr>
                <w:szCs w:val="24"/>
                <w:lang w:val="en-CA"/>
              </w:rPr>
              <w:t>MHz.</w:t>
            </w:r>
            <w:proofErr w:type="spellEnd"/>
            <w:r w:rsidRPr="000F102F">
              <w:rPr>
                <w:szCs w:val="24"/>
                <w:lang w:val="en-CA"/>
              </w:rPr>
              <w:t xml:space="preserve"> This issue was also included in Part 1 of the Director’s Report (Document 4(Add.1), Annex 2, § 2.3.2) and was discussed during the Radiocommunications Assembly 2019 (RA-19). The result of the discussion at RA-19 was an acknowledgement of the concern raised regarding the difficulties being currently faced with continuing incompatibility between MSS and MS, and an invitation to WRC-19, to take necessary actions it deems appropriate, with a view to accelerate the satisfactory resolution of the problem.</w:t>
            </w:r>
          </w:p>
          <w:p w14:paraId="0C17F098" w14:textId="77777777" w:rsidR="008C42C7" w:rsidRPr="006D098C" w:rsidRDefault="008C42C7" w:rsidP="00431B02">
            <w:r w:rsidRPr="000F102F">
              <w:rPr>
                <w:szCs w:val="24"/>
                <w:lang w:val="en-CA"/>
              </w:rPr>
              <w:t xml:space="preserve">WRC-19 acknowledged the urgency of the issue, given the ongoing interference being experienced. It also considered possible revisions to Resolution </w:t>
            </w:r>
            <w:r w:rsidRPr="000F102F">
              <w:rPr>
                <w:b/>
                <w:szCs w:val="24"/>
                <w:lang w:val="en-CA"/>
              </w:rPr>
              <w:t>225 (Rev.WRC-12)</w:t>
            </w:r>
            <w:r w:rsidRPr="000F102F">
              <w:rPr>
                <w:szCs w:val="24"/>
                <w:lang w:val="en-CA"/>
              </w:rPr>
              <w:t xml:space="preserve"> intended to draw </w:t>
            </w:r>
            <w:proofErr w:type="gramStart"/>
            <w:r w:rsidRPr="000F102F">
              <w:rPr>
                <w:szCs w:val="24"/>
                <w:lang w:val="en-CA"/>
              </w:rPr>
              <w:t>particular attention</w:t>
            </w:r>
            <w:proofErr w:type="gramEnd"/>
            <w:r w:rsidRPr="000F102F">
              <w:rPr>
                <w:szCs w:val="24"/>
                <w:lang w:val="en-CA"/>
              </w:rPr>
              <w:t xml:space="preserve"> to this issue. While the proposed revision was not agreed, WRC-19 agreed to invite the ITU-R to focus efforts on accelerating the </w:t>
            </w:r>
            <w:r w:rsidRPr="000F102F">
              <w:rPr>
                <w:iCs/>
                <w:szCs w:val="24"/>
                <w:lang w:val="en-CA"/>
              </w:rPr>
              <w:t>sharing studies such that the development of appropriate ITU</w:t>
            </w:r>
            <w:r w:rsidRPr="000F102F">
              <w:rPr>
                <w:iCs/>
                <w:szCs w:val="24"/>
                <w:lang w:val="en-CA"/>
              </w:rPr>
              <w:noBreakHyphen/>
              <w:t>R Recommendation(s) and/or Reports providing technical and operational measures for the coexistence of the mobile-satellite service and terrestrial component of IMT in the frequency band 2 655-2 690 MHz are completed during the next study cycle, i.e. by 2023.</w:t>
            </w:r>
          </w:p>
        </w:tc>
      </w:tr>
      <w:tr w:rsidR="008C42C7" w:rsidRPr="00B20114" w14:paraId="193F21D6" w14:textId="77777777" w:rsidTr="00CE6D50">
        <w:trPr>
          <w:trHeight w:val="1139"/>
        </w:trPr>
        <w:tc>
          <w:tcPr>
            <w:tcW w:w="1838" w:type="dxa"/>
            <w:vMerge/>
          </w:tcPr>
          <w:p w14:paraId="777850F1" w14:textId="77777777" w:rsidR="008C42C7" w:rsidRDefault="008C42C7" w:rsidP="00431B02">
            <w:pPr>
              <w:jc w:val="left"/>
              <w:rPr>
                <w:b/>
              </w:rPr>
            </w:pPr>
          </w:p>
        </w:tc>
        <w:tc>
          <w:tcPr>
            <w:tcW w:w="1733" w:type="dxa"/>
          </w:tcPr>
          <w:p w14:paraId="5DC6359E" w14:textId="77777777" w:rsidR="008C42C7" w:rsidRDefault="008C42C7" w:rsidP="00431B02">
            <w:pPr>
              <w:jc w:val="left"/>
              <w:rPr>
                <w:rFonts w:cs="Times"/>
                <w:b/>
              </w:rPr>
            </w:pPr>
            <w:r>
              <w:rPr>
                <w:rFonts w:cs="Times"/>
                <w:b/>
              </w:rPr>
              <w:t>§§ 3.8 to 3.10</w:t>
            </w:r>
          </w:p>
          <w:p w14:paraId="1803E935" w14:textId="2E870D89"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27" w:history="1">
              <w:r w:rsidRPr="002849C7">
                <w:rPr>
                  <w:rStyle w:val="Hyperlink"/>
                  <w:rFonts w:cs="Times"/>
                  <w:b/>
                </w:rPr>
                <w:t>347</w:t>
              </w:r>
            </w:hyperlink>
          </w:p>
        </w:tc>
        <w:tc>
          <w:tcPr>
            <w:tcW w:w="10712" w:type="dxa"/>
          </w:tcPr>
          <w:p w14:paraId="691664ED" w14:textId="77777777" w:rsidR="008C42C7" w:rsidRPr="000F102F" w:rsidRDefault="008C42C7" w:rsidP="00431B02">
            <w:pPr>
              <w:rPr>
                <w:rFonts w:eastAsia="SimSun"/>
                <w:szCs w:val="24"/>
                <w:lang w:val="en-CA" w:eastAsia="zh-CN"/>
              </w:rPr>
            </w:pPr>
            <w:r w:rsidRPr="000F102F">
              <w:rPr>
                <w:szCs w:val="24"/>
                <w:lang w:val="en-CA"/>
              </w:rPr>
              <w:t xml:space="preserve">In accordance with WRC-19 agenda item 9.3, the Conference received Document 15 from the Radio Regulations Board entitled </w:t>
            </w:r>
            <w:r w:rsidRPr="000F102F">
              <w:rPr>
                <w:i/>
                <w:szCs w:val="24"/>
                <w:lang w:val="en-CA"/>
              </w:rPr>
              <w:t xml:space="preserve">Report by the Radio Regulations Board on Resolution </w:t>
            </w:r>
            <w:r w:rsidRPr="000F102F">
              <w:rPr>
                <w:b/>
                <w:i/>
                <w:szCs w:val="24"/>
                <w:lang w:val="en-CA"/>
              </w:rPr>
              <w:t>80 (Rev.WRC-07)</w:t>
            </w:r>
            <w:r w:rsidRPr="000F102F">
              <w:rPr>
                <w:i/>
                <w:szCs w:val="24"/>
                <w:lang w:val="en-CA"/>
              </w:rPr>
              <w:t>.</w:t>
            </w:r>
            <w:r w:rsidRPr="000F102F">
              <w:rPr>
                <w:szCs w:val="24"/>
                <w:lang w:val="en-CA"/>
              </w:rPr>
              <w:t xml:space="preserve"> This report summarized RRB activity in relation to Resolution </w:t>
            </w:r>
            <w:r w:rsidRPr="000F102F">
              <w:rPr>
                <w:b/>
                <w:bCs/>
                <w:szCs w:val="24"/>
                <w:lang w:val="en-CA"/>
              </w:rPr>
              <w:t>80</w:t>
            </w:r>
            <w:r w:rsidRPr="000F102F">
              <w:rPr>
                <w:szCs w:val="24"/>
                <w:lang w:val="en-CA"/>
              </w:rPr>
              <w:t xml:space="preserve"> </w:t>
            </w:r>
            <w:r w:rsidRPr="000F102F">
              <w:rPr>
                <w:b/>
                <w:bCs/>
                <w:szCs w:val="24"/>
                <w:lang w:val="en-CA"/>
              </w:rPr>
              <w:t>(Rev.WRC-07)</w:t>
            </w:r>
            <w:r w:rsidRPr="000F102F">
              <w:rPr>
                <w:szCs w:val="24"/>
                <w:lang w:val="en-CA"/>
              </w:rPr>
              <w:t>, “</w:t>
            </w:r>
            <w:r w:rsidRPr="000F102F">
              <w:rPr>
                <w:i/>
                <w:szCs w:val="24"/>
                <w:lang w:val="en-CA"/>
              </w:rPr>
              <w:t>Due Diligence in Applying the Principles Embodied in the Constitution</w:t>
            </w:r>
            <w:r w:rsidRPr="000F102F">
              <w:rPr>
                <w:szCs w:val="24"/>
                <w:lang w:val="en-CA"/>
              </w:rPr>
              <w:t>.” In the Report to WRC</w:t>
            </w:r>
            <w:r w:rsidRPr="000F102F">
              <w:rPr>
                <w:szCs w:val="24"/>
                <w:lang w:val="en-CA"/>
              </w:rPr>
              <w:noBreakHyphen/>
              <w:t xml:space="preserve">19, the </w:t>
            </w:r>
            <w:r w:rsidRPr="000F102F">
              <w:rPr>
                <w:rFonts w:eastAsia="SimSun"/>
                <w:szCs w:val="24"/>
                <w:lang w:val="en-CA" w:eastAsia="zh-CN"/>
              </w:rPr>
              <w:t xml:space="preserve">Board provided an update to the report to WRC-15 focusing on its efforts to address issues the Board and the Radiocommunications Bureau have faced since WRC-15 affecting fulfilment of the principles contained in Article </w:t>
            </w:r>
            <w:r w:rsidRPr="000F102F">
              <w:rPr>
                <w:rFonts w:eastAsia="SimSun"/>
                <w:bCs/>
                <w:szCs w:val="24"/>
                <w:lang w:val="en-CA" w:eastAsia="zh-CN"/>
              </w:rPr>
              <w:t>44</w:t>
            </w:r>
            <w:r w:rsidRPr="000F102F">
              <w:rPr>
                <w:rFonts w:eastAsia="SimSun"/>
                <w:szCs w:val="24"/>
                <w:lang w:val="en-CA" w:eastAsia="zh-CN"/>
              </w:rPr>
              <w:t xml:space="preserve"> of the ITU Constitution (CS) and No. </w:t>
            </w:r>
            <w:r w:rsidRPr="000F102F">
              <w:rPr>
                <w:rFonts w:eastAsia="SimSun"/>
                <w:b/>
                <w:bCs/>
                <w:szCs w:val="24"/>
                <w:lang w:val="en-CA" w:eastAsia="zh-CN"/>
              </w:rPr>
              <w:t>0.3</w:t>
            </w:r>
            <w:r w:rsidRPr="000F102F">
              <w:rPr>
                <w:rFonts w:eastAsia="SimSun"/>
                <w:szCs w:val="24"/>
                <w:lang w:val="en-CA" w:eastAsia="zh-CN"/>
              </w:rPr>
              <w:t xml:space="preserve"> of the Preamble to the Radio Regulations.</w:t>
            </w:r>
          </w:p>
          <w:p w14:paraId="1B2ACDAA" w14:textId="77777777" w:rsidR="008C42C7" w:rsidRPr="000F102F" w:rsidRDefault="008C42C7" w:rsidP="00431B02">
            <w:pPr>
              <w:rPr>
                <w:i/>
                <w:iCs/>
                <w:szCs w:val="24"/>
                <w:lang w:val="en-CA" w:eastAsia="ar-SA"/>
              </w:rPr>
            </w:pPr>
            <w:r w:rsidRPr="000F102F">
              <w:rPr>
                <w:szCs w:val="24"/>
                <w:lang w:val="en-CA" w:eastAsia="ar-SA"/>
              </w:rPr>
              <w:t xml:space="preserve">The Board report says, in part, the following: </w:t>
            </w:r>
            <w:bookmarkStart w:id="2" w:name="_Hlk24488659"/>
            <w:r w:rsidRPr="000F102F">
              <w:rPr>
                <w:szCs w:val="24"/>
                <w:lang w:val="en-CA" w:eastAsia="ar-SA"/>
              </w:rPr>
              <w:t>“</w:t>
            </w:r>
            <w:bookmarkEnd w:id="2"/>
            <w:r w:rsidRPr="000F102F">
              <w:rPr>
                <w:i/>
                <w:iCs/>
                <w:szCs w:val="24"/>
                <w:lang w:val="en-CA" w:eastAsia="ar-SA"/>
              </w:rPr>
              <w:t xml:space="preserve">the Board considered concerns raised by some administrations regarding the appropriateness of other administrations’ </w:t>
            </w:r>
            <w:r w:rsidRPr="000F102F">
              <w:rPr>
                <w:i/>
                <w:iCs/>
                <w:szCs w:val="24"/>
                <w:lang w:val="en-CA"/>
              </w:rPr>
              <w:t>application</w:t>
            </w:r>
            <w:r w:rsidRPr="000F102F">
              <w:rPr>
                <w:i/>
                <w:iCs/>
                <w:szCs w:val="24"/>
                <w:lang w:val="en-CA" w:eastAsia="ar-SA"/>
              </w:rPr>
              <w:t xml:space="preserve"> of Article 48 of the ITU Constitution. The alleged cases of non-compliance with CS Article 48 that were presented to the Board were summarized as follows:</w:t>
            </w:r>
          </w:p>
          <w:p w14:paraId="5420A602" w14:textId="77777777" w:rsidR="008C42C7" w:rsidRPr="000F102F" w:rsidRDefault="008C42C7" w:rsidP="00431B02">
            <w:pPr>
              <w:pStyle w:val="enumlev1"/>
              <w:rPr>
                <w:i/>
                <w:iCs/>
                <w:szCs w:val="24"/>
                <w:lang w:val="en-CA" w:eastAsia="ar-SA"/>
              </w:rPr>
            </w:pPr>
            <w:r w:rsidRPr="000F102F">
              <w:rPr>
                <w:i/>
                <w:iCs/>
                <w:szCs w:val="24"/>
                <w:lang w:val="en-CA" w:eastAsia="ar-SA"/>
              </w:rPr>
              <w:t>–</w:t>
            </w:r>
            <w:r w:rsidRPr="000F102F">
              <w:rPr>
                <w:i/>
                <w:iCs/>
                <w:szCs w:val="24"/>
                <w:lang w:val="en-CA" w:eastAsia="ar-SA"/>
              </w:rPr>
              <w:tab/>
              <w:t xml:space="preserve">Administrations invoking CS Article 48 after the Bureau has launched an investigation under RR No. </w:t>
            </w:r>
            <w:r w:rsidRPr="000F102F">
              <w:rPr>
                <w:b/>
                <w:i/>
                <w:iCs/>
                <w:szCs w:val="24"/>
                <w:lang w:val="en-CA" w:eastAsia="ar-SA"/>
              </w:rPr>
              <w:t>13.6</w:t>
            </w:r>
            <w:r w:rsidRPr="000F102F">
              <w:rPr>
                <w:i/>
                <w:iCs/>
                <w:szCs w:val="24"/>
                <w:lang w:val="en-CA" w:eastAsia="ar-SA"/>
              </w:rPr>
              <w:t xml:space="preserve"> </w:t>
            </w:r>
            <w:proofErr w:type="gramStart"/>
            <w:r w:rsidRPr="000F102F">
              <w:rPr>
                <w:i/>
                <w:iCs/>
                <w:szCs w:val="24"/>
                <w:lang w:val="en-CA" w:eastAsia="ar-SA"/>
              </w:rPr>
              <w:t>as a means to</w:t>
            </w:r>
            <w:proofErr w:type="gramEnd"/>
            <w:r w:rsidRPr="000F102F">
              <w:rPr>
                <w:i/>
                <w:iCs/>
                <w:szCs w:val="24"/>
                <w:lang w:val="en-CA" w:eastAsia="ar-SA"/>
              </w:rPr>
              <w:t xml:space="preserve"> prevent its application and retain rights in the Master International Frequency Register.</w:t>
            </w:r>
          </w:p>
          <w:p w14:paraId="038D7DDC" w14:textId="77777777" w:rsidR="008C42C7" w:rsidRPr="000F102F" w:rsidRDefault="008C42C7" w:rsidP="00431B02">
            <w:pPr>
              <w:pStyle w:val="enumlev1"/>
              <w:spacing w:after="160"/>
              <w:ind w:left="1138" w:hanging="1138"/>
              <w:rPr>
                <w:szCs w:val="24"/>
                <w:lang w:val="en-CA" w:eastAsia="ar-SA"/>
              </w:rPr>
            </w:pPr>
            <w:r w:rsidRPr="000F102F">
              <w:rPr>
                <w:i/>
                <w:iCs/>
                <w:szCs w:val="24"/>
                <w:lang w:val="en-CA" w:eastAsia="ar-SA"/>
              </w:rPr>
              <w:t>–</w:t>
            </w:r>
            <w:r w:rsidRPr="000F102F">
              <w:rPr>
                <w:i/>
                <w:iCs/>
                <w:szCs w:val="24"/>
                <w:lang w:val="en-CA" w:eastAsia="ar-SA"/>
              </w:rPr>
              <w:tab/>
              <w:t>Administrations invoking CS Article 48 for frequency assignments that are not used for military purposes</w:t>
            </w:r>
            <w:r w:rsidRPr="000F102F">
              <w:rPr>
                <w:szCs w:val="24"/>
                <w:lang w:val="en-CA" w:eastAsia="ar-SA"/>
              </w:rPr>
              <w:t>.”</w:t>
            </w:r>
          </w:p>
          <w:p w14:paraId="6622204F" w14:textId="77777777" w:rsidR="008C42C7" w:rsidRPr="000F102F" w:rsidRDefault="008C42C7" w:rsidP="00431B02">
            <w:pPr>
              <w:rPr>
                <w:szCs w:val="24"/>
                <w:lang w:val="en-CA" w:eastAsia="ar-SA"/>
              </w:rPr>
            </w:pPr>
            <w:r w:rsidRPr="000F102F">
              <w:rPr>
                <w:szCs w:val="24"/>
                <w:lang w:val="en-CA" w:eastAsia="ar-SA"/>
              </w:rPr>
              <w:t xml:space="preserve">In response to the content of this Board Report, the Conference received several contributions from administrations that included various actions to be considered by the Conference to address the concerns raised by administrations, </w:t>
            </w:r>
            <w:r w:rsidRPr="000F102F">
              <w:rPr>
                <w:szCs w:val="24"/>
                <w:lang w:val="en-CA" w:eastAsia="ar-SA"/>
              </w:rPr>
              <w:lastRenderedPageBreak/>
              <w:t>however it was understood that none of these various actions could be implemented without specific instruction from a Plenipotentiary Conference to a WRC to do so.</w:t>
            </w:r>
          </w:p>
          <w:p w14:paraId="463E6A2A" w14:textId="77777777" w:rsidR="008C42C7" w:rsidRPr="000F102F" w:rsidRDefault="008C42C7" w:rsidP="00431B02">
            <w:pPr>
              <w:rPr>
                <w:szCs w:val="24"/>
                <w:lang w:val="en-CA"/>
              </w:rPr>
            </w:pPr>
            <w:r w:rsidRPr="000F102F">
              <w:rPr>
                <w:szCs w:val="24"/>
                <w:lang w:val="en-CA"/>
              </w:rPr>
              <w:t xml:space="preserve">Taking into account the report of the Board on Resolution </w:t>
            </w:r>
            <w:r w:rsidRPr="000F102F">
              <w:rPr>
                <w:b/>
                <w:szCs w:val="24"/>
                <w:lang w:val="en-CA"/>
              </w:rPr>
              <w:t>80 (Rev.WRC-07)</w:t>
            </w:r>
            <w:r w:rsidRPr="000F102F">
              <w:rPr>
                <w:szCs w:val="24"/>
                <w:lang w:val="en-CA"/>
              </w:rPr>
              <w:t>, and the contributions and comments at WRC-19 associated with that Report, the WRC-19, in accordance with Article 21 of the ITU Convention, invites the 2022 Plenipotentiary Conference to consider the question of invocation of CS Article 48 in relation to the Radio Regulations raised at WRC-19 and take necessary actions, as appropriate.</w:t>
            </w:r>
          </w:p>
          <w:p w14:paraId="637BA393" w14:textId="77777777" w:rsidR="008C42C7" w:rsidRPr="000F102F" w:rsidRDefault="008C42C7" w:rsidP="00431B02">
            <w:pPr>
              <w:rPr>
                <w:szCs w:val="24"/>
                <w:lang w:val="en-CA"/>
              </w:rPr>
            </w:pPr>
            <w:r w:rsidRPr="000F102F">
              <w:rPr>
                <w:szCs w:val="24"/>
                <w:lang w:val="en-CA"/>
              </w:rPr>
              <w:t>In addition to this result, WRC-19 instructed the Bureau to continue their current practice of responding to specific requests from administrations related to the status of individual satellite networks, including an indication of whether CS Article 48 has been invoked for a satellite network.</w:t>
            </w:r>
          </w:p>
        </w:tc>
      </w:tr>
      <w:tr w:rsidR="008C42C7" w:rsidRPr="00B20114" w14:paraId="21B4D604" w14:textId="77777777" w:rsidTr="00CE6D50">
        <w:trPr>
          <w:trHeight w:val="1139"/>
        </w:trPr>
        <w:tc>
          <w:tcPr>
            <w:tcW w:w="1838" w:type="dxa"/>
            <w:vMerge/>
          </w:tcPr>
          <w:p w14:paraId="2601C3A5" w14:textId="77777777" w:rsidR="008C42C7" w:rsidRDefault="008C42C7" w:rsidP="00431B02">
            <w:pPr>
              <w:jc w:val="left"/>
              <w:rPr>
                <w:b/>
              </w:rPr>
            </w:pPr>
          </w:p>
        </w:tc>
        <w:tc>
          <w:tcPr>
            <w:tcW w:w="1733" w:type="dxa"/>
          </w:tcPr>
          <w:p w14:paraId="2CBB4D8F" w14:textId="77777777" w:rsidR="008C42C7" w:rsidRDefault="008C42C7" w:rsidP="00431B02">
            <w:pPr>
              <w:jc w:val="left"/>
              <w:rPr>
                <w:rFonts w:cs="Times"/>
                <w:b/>
              </w:rPr>
            </w:pPr>
            <w:r>
              <w:rPr>
                <w:rFonts w:cs="Times"/>
                <w:b/>
              </w:rPr>
              <w:t>§§ 3.11 to 3.15</w:t>
            </w:r>
          </w:p>
          <w:p w14:paraId="289B3EC4" w14:textId="5A2D05C4"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28" w:history="1">
              <w:r w:rsidRPr="002849C7">
                <w:rPr>
                  <w:rStyle w:val="Hyperlink"/>
                  <w:rFonts w:cs="Times"/>
                  <w:b/>
                </w:rPr>
                <w:t>451</w:t>
              </w:r>
            </w:hyperlink>
          </w:p>
        </w:tc>
        <w:tc>
          <w:tcPr>
            <w:tcW w:w="10712" w:type="dxa"/>
          </w:tcPr>
          <w:p w14:paraId="66C3BA8B" w14:textId="77777777" w:rsidR="008C42C7" w:rsidRPr="000F102F" w:rsidRDefault="008C42C7" w:rsidP="00431B02">
            <w:pPr>
              <w:rPr>
                <w:szCs w:val="24"/>
                <w:lang w:val="en-CA"/>
              </w:rPr>
            </w:pPr>
            <w:r w:rsidRPr="000F102F">
              <w:rPr>
                <w:szCs w:val="24"/>
                <w:lang w:val="en-CA"/>
              </w:rPr>
              <w:t xml:space="preserve">In accordance with WRC-19 agenda item 9.2, the Conference received Addendum 2 to Document 4 from the Director, Radiocommunication Bureau entitled ‘Report of the Director on the activities of the radiocommunication sector, Part 2.’ This report summarized the experience in the application of the radio regulatory procedures and other related matters. Document </w:t>
            </w:r>
            <w:hyperlink r:id="rId29" w:history="1">
              <w:r w:rsidRPr="000F102F">
                <w:rPr>
                  <w:rStyle w:val="Hyperlink"/>
                  <w:szCs w:val="24"/>
                  <w:lang w:val="en-CA"/>
                </w:rPr>
                <w:t>351</w:t>
              </w:r>
            </w:hyperlink>
            <w:r w:rsidRPr="000F102F">
              <w:rPr>
                <w:szCs w:val="24"/>
                <w:lang w:val="en-CA"/>
              </w:rPr>
              <w:t xml:space="preserve"> compiled the results achieved by WRC-19 in considering the Report of the Director.</w:t>
            </w:r>
          </w:p>
          <w:p w14:paraId="7DD8626D" w14:textId="77777777" w:rsidR="008C42C7" w:rsidRPr="000F102F" w:rsidRDefault="008C42C7" w:rsidP="00431B02">
            <w:pPr>
              <w:rPr>
                <w:szCs w:val="24"/>
                <w:lang w:val="en-CA" w:eastAsia="ja-JP"/>
              </w:rPr>
            </w:pPr>
            <w:r w:rsidRPr="000F102F">
              <w:rPr>
                <w:szCs w:val="24"/>
                <w:lang w:val="en-CA" w:eastAsia="ja-JP"/>
              </w:rPr>
              <w:t>In considering section 3.1.2.1 on ‘</w:t>
            </w:r>
            <w:r w:rsidRPr="000F102F">
              <w:rPr>
                <w:szCs w:val="24"/>
                <w:lang w:val="en-CA"/>
              </w:rPr>
              <w:t xml:space="preserve">Coordination requirement under RR No. </w:t>
            </w:r>
            <w:r w:rsidRPr="000F102F">
              <w:rPr>
                <w:b/>
                <w:szCs w:val="24"/>
                <w:lang w:val="en-CA"/>
              </w:rPr>
              <w:t>9.7</w:t>
            </w:r>
            <w:r w:rsidRPr="000F102F">
              <w:rPr>
                <w:szCs w:val="24"/>
                <w:lang w:val="en-CA"/>
              </w:rPr>
              <w:t xml:space="preserve"> for an inter-satellite link of a geostationary space station communicating with non-geostationary space station, as referred to in RR No. </w:t>
            </w:r>
            <w:r w:rsidRPr="000F102F">
              <w:rPr>
                <w:b/>
                <w:szCs w:val="24"/>
                <w:lang w:val="en-CA"/>
              </w:rPr>
              <w:t>5.328B</w:t>
            </w:r>
            <w:r w:rsidRPr="000F102F">
              <w:rPr>
                <w:szCs w:val="24"/>
                <w:lang w:val="en-CA"/>
              </w:rPr>
              <w:t xml:space="preserve">’, in order to fulfil the requirements of RR No. </w:t>
            </w:r>
            <w:r w:rsidRPr="000F102F">
              <w:rPr>
                <w:b/>
                <w:bCs/>
                <w:szCs w:val="24"/>
                <w:lang w:val="en-CA"/>
              </w:rPr>
              <w:t>5.328B</w:t>
            </w:r>
            <w:r w:rsidRPr="000F102F">
              <w:rPr>
                <w:szCs w:val="24"/>
                <w:lang w:val="en-CA"/>
              </w:rPr>
              <w:t xml:space="preserve"> and of § 6.4 of the Rule of Procedure relating to RR No. </w:t>
            </w:r>
            <w:r w:rsidRPr="000F102F">
              <w:rPr>
                <w:b/>
                <w:bCs/>
                <w:szCs w:val="24"/>
                <w:lang w:val="en-CA"/>
              </w:rPr>
              <w:t>11.32</w:t>
            </w:r>
            <w:r w:rsidRPr="000F102F">
              <w:rPr>
                <w:szCs w:val="24"/>
                <w:lang w:val="en-CA"/>
              </w:rPr>
              <w:t>, WRC-19 instructs the Bureau to establish coordination requirements for such link of a GSO station based on frequency overlap similar to that of a non-GSO station until such time as some other criteria or method is established.</w:t>
            </w:r>
          </w:p>
          <w:p w14:paraId="7144DA11" w14:textId="77777777" w:rsidR="008C42C7" w:rsidRPr="000F102F" w:rsidRDefault="008C42C7" w:rsidP="00431B02">
            <w:pPr>
              <w:rPr>
                <w:szCs w:val="24"/>
                <w:lang w:val="en-CA"/>
              </w:rPr>
            </w:pPr>
            <w:r w:rsidRPr="000F102F">
              <w:rPr>
                <w:szCs w:val="24"/>
                <w:lang w:val="en-CA" w:eastAsia="ja-JP"/>
              </w:rPr>
              <w:t>In considering section 3.1.3.4 on ‘</w:t>
            </w:r>
            <w:r w:rsidRPr="000F102F">
              <w:rPr>
                <w:szCs w:val="24"/>
                <w:lang w:val="en-CA"/>
              </w:rPr>
              <w:t xml:space="preserve">Draft CR/D database made available in BR IFIC before publication of CR/D in accordance with RR No. </w:t>
            </w:r>
            <w:r w:rsidRPr="000F102F">
              <w:rPr>
                <w:b/>
                <w:szCs w:val="24"/>
                <w:lang w:val="en-CA"/>
              </w:rPr>
              <w:t>9.53A’</w:t>
            </w:r>
            <w:r w:rsidRPr="000F102F">
              <w:rPr>
                <w:szCs w:val="24"/>
                <w:lang w:val="en-CA"/>
              </w:rPr>
              <w:t>, WRC-19 instructs the Bureau to cease its current practice of creating a draft CR/D.</w:t>
            </w:r>
          </w:p>
          <w:p w14:paraId="796EC2B9" w14:textId="77777777" w:rsidR="008C42C7" w:rsidRPr="000F102F" w:rsidRDefault="008C42C7" w:rsidP="00431B02">
            <w:pPr>
              <w:rPr>
                <w:szCs w:val="24"/>
                <w:lang w:val="en-CA"/>
              </w:rPr>
            </w:pPr>
            <w:r w:rsidRPr="000F102F">
              <w:rPr>
                <w:szCs w:val="24"/>
                <w:lang w:val="en-CA" w:eastAsia="ja-JP"/>
              </w:rPr>
              <w:t>In considering section 3.1.4.2 on ‘</w:t>
            </w:r>
            <w:r w:rsidRPr="000F102F">
              <w:rPr>
                <w:szCs w:val="24"/>
                <w:lang w:val="en-CA"/>
              </w:rPr>
              <w:t xml:space="preserve">Coordination status of a satellite network during examination under RR Nos. </w:t>
            </w:r>
            <w:r w:rsidRPr="000F102F">
              <w:rPr>
                <w:b/>
                <w:szCs w:val="24"/>
                <w:lang w:val="en-CA"/>
              </w:rPr>
              <w:t>11.32</w:t>
            </w:r>
            <w:r w:rsidRPr="000F102F">
              <w:rPr>
                <w:szCs w:val="24"/>
                <w:lang w:val="en-CA"/>
              </w:rPr>
              <w:t xml:space="preserve"> and </w:t>
            </w:r>
            <w:r w:rsidRPr="000F102F">
              <w:rPr>
                <w:b/>
                <w:szCs w:val="24"/>
                <w:lang w:val="en-CA"/>
              </w:rPr>
              <w:t>11.32A</w:t>
            </w:r>
            <w:r w:rsidRPr="000F102F">
              <w:rPr>
                <w:szCs w:val="24"/>
                <w:lang w:val="en-CA"/>
              </w:rPr>
              <w:t>’, WRC-19 supports the Bureau’s development of the software tools described in this section of the Director’s Report and confirms that the tools described will meet the needs of administrations in communicating coordination status in relation to an affected administration.</w:t>
            </w:r>
          </w:p>
          <w:p w14:paraId="2931197C" w14:textId="77777777" w:rsidR="008C42C7" w:rsidRPr="000F102F" w:rsidRDefault="008C42C7" w:rsidP="00431B02">
            <w:pPr>
              <w:rPr>
                <w:szCs w:val="24"/>
                <w:lang w:val="en-CA"/>
              </w:rPr>
            </w:pPr>
            <w:r w:rsidRPr="000F102F">
              <w:rPr>
                <w:szCs w:val="24"/>
                <w:lang w:val="en-CA"/>
              </w:rPr>
              <w:t xml:space="preserve">WRC-19 instructs the Bureau, when carrying out examination under RR No. </w:t>
            </w:r>
            <w:r w:rsidRPr="000F102F">
              <w:rPr>
                <w:b/>
                <w:szCs w:val="24"/>
                <w:lang w:val="en-CA"/>
              </w:rPr>
              <w:t>11.32A</w:t>
            </w:r>
            <w:r w:rsidRPr="000F102F">
              <w:rPr>
                <w:szCs w:val="24"/>
                <w:lang w:val="en-CA"/>
              </w:rPr>
              <w:t xml:space="preserve"> to also take into account coordination agreement status with satellite networks of affected administrations at notice level when such </w:t>
            </w:r>
            <w:r w:rsidRPr="000F102F">
              <w:rPr>
                <w:szCs w:val="24"/>
                <w:lang w:val="en-CA"/>
              </w:rPr>
              <w:lastRenderedPageBreak/>
              <w:t>information is provided, so that the notifying administration may benefit from the coordination agreements already obtained.</w:t>
            </w:r>
          </w:p>
          <w:p w14:paraId="5BAB81A3" w14:textId="77777777" w:rsidR="008C42C7" w:rsidRPr="000F102F" w:rsidRDefault="008C42C7" w:rsidP="00431B02">
            <w:pPr>
              <w:pStyle w:val="enumlev1"/>
              <w:tabs>
                <w:tab w:val="left" w:pos="1276"/>
              </w:tabs>
              <w:ind w:left="0" w:firstLine="0"/>
              <w:rPr>
                <w:szCs w:val="24"/>
                <w:lang w:val="en-CA"/>
              </w:rPr>
            </w:pPr>
            <w:r w:rsidRPr="000F102F">
              <w:rPr>
                <w:szCs w:val="24"/>
                <w:lang w:val="en-CA"/>
              </w:rPr>
              <w:t xml:space="preserve">WRC-19 decided to modify relevant parts of RR Appendix </w:t>
            </w:r>
            <w:r w:rsidRPr="000F102F">
              <w:rPr>
                <w:b/>
                <w:bCs/>
                <w:szCs w:val="24"/>
                <w:lang w:val="en-CA"/>
              </w:rPr>
              <w:t>4</w:t>
            </w:r>
            <w:r w:rsidRPr="000F102F">
              <w:rPr>
                <w:szCs w:val="24"/>
                <w:lang w:val="en-CA"/>
              </w:rPr>
              <w:t xml:space="preserve"> in order to enable such examination.</w:t>
            </w:r>
          </w:p>
          <w:p w14:paraId="5D993104" w14:textId="77777777" w:rsidR="008C42C7" w:rsidRPr="000F102F" w:rsidRDefault="008C42C7" w:rsidP="00431B02">
            <w:pPr>
              <w:rPr>
                <w:szCs w:val="24"/>
                <w:lang w:val="en-CA"/>
              </w:rPr>
            </w:pPr>
            <w:r w:rsidRPr="000F102F">
              <w:rPr>
                <w:szCs w:val="24"/>
                <w:lang w:val="en-CA" w:eastAsia="ja-JP"/>
              </w:rPr>
              <w:t>In considering section 3.1.4.3 on ‘</w:t>
            </w:r>
            <w:r w:rsidRPr="000F102F">
              <w:rPr>
                <w:szCs w:val="24"/>
                <w:lang w:val="en-CA"/>
              </w:rPr>
              <w:t xml:space="preserve">Possible revision to the implementation of RR No. </w:t>
            </w:r>
            <w:r w:rsidRPr="000F102F">
              <w:rPr>
                <w:b/>
                <w:szCs w:val="24"/>
                <w:lang w:val="en-CA"/>
              </w:rPr>
              <w:t>11.47</w:t>
            </w:r>
            <w:r w:rsidRPr="000F102F">
              <w:rPr>
                <w:szCs w:val="24"/>
                <w:lang w:val="en-CA"/>
              </w:rPr>
              <w:t xml:space="preserve"> with respect to provisional recordings’, WRC-19 decided upon the second option of two options raised in this section were preferred to address the issue as follows:</w:t>
            </w:r>
          </w:p>
          <w:p w14:paraId="58FA4862" w14:textId="77777777" w:rsidR="008C42C7" w:rsidRPr="000F102F" w:rsidRDefault="008C42C7" w:rsidP="00431B02">
            <w:pPr>
              <w:rPr>
                <w:szCs w:val="24"/>
                <w:lang w:val="en-CA"/>
              </w:rPr>
            </w:pPr>
            <w:r w:rsidRPr="000F102F">
              <w:rPr>
                <w:szCs w:val="24"/>
                <w:lang w:val="en-CA"/>
              </w:rPr>
              <w:t xml:space="preserve">The Bureau is instructed to automatically extend the foreseen dates of bringing into use in the database to the end of the regulatory period established under RR No. </w:t>
            </w:r>
            <w:r w:rsidRPr="000F102F">
              <w:rPr>
                <w:b/>
                <w:szCs w:val="24"/>
                <w:lang w:val="en-CA"/>
              </w:rPr>
              <w:t>11.44</w:t>
            </w:r>
            <w:r w:rsidRPr="000F102F">
              <w:rPr>
                <w:szCs w:val="24"/>
                <w:lang w:val="en-CA"/>
              </w:rPr>
              <w:t xml:space="preserve"> if no confirmation has been received by the Bureau within four months from the foreseen date of bringing into use: no publication will be issued for this revision of the date of bringing into use, but this information will be visible on the BR website. This option does not require any change in the current Radio Regulations.</w:t>
            </w:r>
          </w:p>
          <w:p w14:paraId="14B7C0F4" w14:textId="77777777" w:rsidR="008C42C7" w:rsidRPr="000F102F" w:rsidRDefault="008C42C7" w:rsidP="00431B02">
            <w:pPr>
              <w:rPr>
                <w:szCs w:val="24"/>
                <w:lang w:val="en-CA"/>
              </w:rPr>
            </w:pPr>
            <w:r w:rsidRPr="000F102F">
              <w:rPr>
                <w:szCs w:val="24"/>
                <w:lang w:val="en-CA" w:eastAsia="ja-JP"/>
              </w:rPr>
              <w:t>In considering section 3.1.7.1 on ‘</w:t>
            </w:r>
            <w:r w:rsidRPr="000F102F">
              <w:rPr>
                <w:szCs w:val="24"/>
                <w:lang w:val="en-CA"/>
              </w:rPr>
              <w:t>Power flux-density (</w:t>
            </w:r>
            <w:proofErr w:type="spellStart"/>
            <w:r w:rsidRPr="000F102F">
              <w:rPr>
                <w:szCs w:val="24"/>
                <w:lang w:val="en-CA"/>
              </w:rPr>
              <w:t>pfd</w:t>
            </w:r>
            <w:proofErr w:type="spellEnd"/>
            <w:r w:rsidRPr="000F102F">
              <w:rPr>
                <w:szCs w:val="24"/>
                <w:lang w:val="en-CA"/>
              </w:rPr>
              <w:t xml:space="preserve">) limits in RR Article </w:t>
            </w:r>
            <w:r w:rsidRPr="000F102F">
              <w:rPr>
                <w:b/>
                <w:szCs w:val="24"/>
                <w:lang w:val="en-CA"/>
              </w:rPr>
              <w:t>21</w:t>
            </w:r>
            <w:r w:rsidRPr="000F102F">
              <w:rPr>
                <w:szCs w:val="24"/>
                <w:lang w:val="en-CA"/>
              </w:rPr>
              <w:t xml:space="preserve"> applicable to the mobile-satellite service in the frequency band 40-40.5 GHz’, WRC-19 decided to reinstate the missing mention to mobile-satellite service in the frequency band 40-40.5 GHz in RR Table </w:t>
            </w:r>
            <w:r w:rsidRPr="000F102F">
              <w:rPr>
                <w:b/>
                <w:bCs/>
                <w:szCs w:val="24"/>
                <w:lang w:val="en-CA"/>
              </w:rPr>
              <w:t>21-4</w:t>
            </w:r>
            <w:r w:rsidRPr="000F102F">
              <w:rPr>
                <w:szCs w:val="24"/>
                <w:lang w:val="en-CA"/>
              </w:rPr>
              <w:t xml:space="preserve"> and to have this change to Table </w:t>
            </w:r>
            <w:r w:rsidRPr="000F102F">
              <w:rPr>
                <w:b/>
                <w:bCs/>
                <w:szCs w:val="24"/>
                <w:lang w:val="en-CA"/>
              </w:rPr>
              <w:t>21-4</w:t>
            </w:r>
            <w:r w:rsidRPr="000F102F">
              <w:rPr>
                <w:szCs w:val="24"/>
                <w:lang w:val="en-CA"/>
              </w:rPr>
              <w:t xml:space="preserve"> come into force as of 23 November 2019. In addition, WRC</w:t>
            </w:r>
            <w:r w:rsidRPr="000F102F">
              <w:rPr>
                <w:szCs w:val="24"/>
                <w:lang w:val="en-CA"/>
              </w:rPr>
              <w:noBreakHyphen/>
              <w:t>19 decided to instruct the Bureau not to review the MSS frequency assignments already published at the time this reinstatement comes into force.</w:t>
            </w:r>
          </w:p>
          <w:p w14:paraId="687212F3" w14:textId="77777777" w:rsidR="008C42C7" w:rsidRPr="000F102F" w:rsidRDefault="008C42C7" w:rsidP="00431B02">
            <w:pPr>
              <w:rPr>
                <w:szCs w:val="24"/>
                <w:lang w:val="en-CA"/>
              </w:rPr>
            </w:pPr>
            <w:r w:rsidRPr="000F102F">
              <w:rPr>
                <w:szCs w:val="24"/>
                <w:lang w:val="en-CA" w:eastAsia="ja-JP"/>
              </w:rPr>
              <w:t>In considering section 3.1.7.2 on ‘</w:t>
            </w:r>
            <w:r w:rsidRPr="000F102F">
              <w:rPr>
                <w:szCs w:val="24"/>
                <w:lang w:val="en-CA"/>
              </w:rPr>
              <w:t xml:space="preserve">Scaling factor in the definition of RR Article </w:t>
            </w:r>
            <w:r w:rsidRPr="000F102F">
              <w:rPr>
                <w:b/>
                <w:szCs w:val="24"/>
                <w:lang w:val="en-CA"/>
              </w:rPr>
              <w:t>21</w:t>
            </w:r>
            <w:r w:rsidRPr="000F102F">
              <w:rPr>
                <w:szCs w:val="24"/>
                <w:lang w:val="en-CA"/>
              </w:rPr>
              <w:t xml:space="preserve"> </w:t>
            </w:r>
            <w:proofErr w:type="spellStart"/>
            <w:r w:rsidRPr="000F102F">
              <w:rPr>
                <w:szCs w:val="24"/>
                <w:lang w:val="en-CA"/>
              </w:rPr>
              <w:t>pfd</w:t>
            </w:r>
            <w:proofErr w:type="spellEnd"/>
            <w:r w:rsidRPr="000F102F">
              <w:rPr>
                <w:szCs w:val="24"/>
                <w:lang w:val="en-CA"/>
              </w:rPr>
              <w:t xml:space="preserve"> limits applicable to non-GSO satellite systems in the fixed-satellite service in the frequency band 17.7</w:t>
            </w:r>
            <w:r w:rsidRPr="000F102F">
              <w:rPr>
                <w:szCs w:val="24"/>
                <w:lang w:val="en-CA"/>
              </w:rPr>
              <w:noBreakHyphen/>
              <w:t xml:space="preserve">19.3 GHz’, WRC-19 invites ITU-R to study the appropriateness of the equations contained in RR No. </w:t>
            </w:r>
            <w:r w:rsidRPr="000F102F">
              <w:rPr>
                <w:b/>
                <w:szCs w:val="24"/>
                <w:lang w:val="en-CA"/>
              </w:rPr>
              <w:t>21.16.6</w:t>
            </w:r>
            <w:r w:rsidRPr="000F102F">
              <w:rPr>
                <w:szCs w:val="24"/>
                <w:lang w:val="en-CA"/>
              </w:rPr>
              <w:t xml:space="preserve"> for large non-GSO satellite systems (e.g. such as those having more than 1 000 satellites). The results of the studies can be considered by WRC-23 under standing agenda item 7 if an Issue under this agenda item has been included in the CPM-23 report. WRC</w:t>
            </w:r>
            <w:r w:rsidRPr="000F102F">
              <w:rPr>
                <w:szCs w:val="24"/>
                <w:lang w:val="en-CA"/>
              </w:rPr>
              <w:noBreakHyphen/>
              <w:t>19 also instructs the Radiocommunication Bureau to issue qualified favorable findings under RR Nos. </w:t>
            </w:r>
            <w:r w:rsidRPr="000F102F">
              <w:rPr>
                <w:b/>
                <w:szCs w:val="24"/>
                <w:lang w:val="en-CA"/>
              </w:rPr>
              <w:t>9.35</w:t>
            </w:r>
            <w:r w:rsidRPr="000F102F">
              <w:rPr>
                <w:szCs w:val="24"/>
                <w:lang w:val="en-CA"/>
              </w:rPr>
              <w:t>/</w:t>
            </w:r>
            <w:r w:rsidRPr="000F102F">
              <w:rPr>
                <w:b/>
                <w:szCs w:val="24"/>
                <w:lang w:val="en-CA"/>
              </w:rPr>
              <w:t>11.31</w:t>
            </w:r>
            <w:r w:rsidRPr="000F102F">
              <w:rPr>
                <w:szCs w:val="24"/>
                <w:lang w:val="en-CA"/>
              </w:rPr>
              <w:t xml:space="preserve"> when examining compliance of frequency assignments to non-GSO FSS satellite systems with RR Article </w:t>
            </w:r>
            <w:r w:rsidRPr="000F102F">
              <w:rPr>
                <w:b/>
                <w:szCs w:val="24"/>
                <w:lang w:val="en-CA"/>
              </w:rPr>
              <w:t>21</w:t>
            </w:r>
            <w:r w:rsidRPr="000F102F">
              <w:rPr>
                <w:szCs w:val="24"/>
                <w:lang w:val="en-CA"/>
              </w:rPr>
              <w:t xml:space="preserve"> </w:t>
            </w:r>
            <w:proofErr w:type="spellStart"/>
            <w:r w:rsidRPr="000F102F">
              <w:rPr>
                <w:szCs w:val="24"/>
                <w:lang w:val="en-CA"/>
              </w:rPr>
              <w:t>pfd</w:t>
            </w:r>
            <w:proofErr w:type="spellEnd"/>
            <w:r w:rsidRPr="000F102F">
              <w:rPr>
                <w:szCs w:val="24"/>
                <w:lang w:val="en-CA"/>
              </w:rPr>
              <w:t xml:space="preserve"> limits applicable in the frequency band 17.7-19.3 GHz if the notifying administration requests it to do so. Such practice shall apply to non-GSO FSS satellite systems for which coordination requests have been received from 23 November 2019 until the last day of WRC-23.</w:t>
            </w:r>
          </w:p>
          <w:p w14:paraId="7B4DEAF6" w14:textId="77777777" w:rsidR="008C42C7" w:rsidRDefault="008C42C7" w:rsidP="00431B02">
            <w:pPr>
              <w:rPr>
                <w:szCs w:val="24"/>
                <w:lang w:val="en-CA"/>
              </w:rPr>
            </w:pPr>
            <w:r w:rsidRPr="000F102F">
              <w:rPr>
                <w:szCs w:val="24"/>
                <w:lang w:val="en-CA" w:eastAsia="ja-JP"/>
              </w:rPr>
              <w:lastRenderedPageBreak/>
              <w:t>In considering section 3.2.5.6 on ‘</w:t>
            </w:r>
            <w:r w:rsidRPr="000F102F">
              <w:rPr>
                <w:szCs w:val="24"/>
                <w:lang w:val="en-CA"/>
              </w:rPr>
              <w:t>Grid points at sea in the examination using the methods of Annex 4 of RR Appendix </w:t>
            </w:r>
            <w:r w:rsidRPr="000F102F">
              <w:rPr>
                <w:b/>
                <w:szCs w:val="24"/>
                <w:lang w:val="en-CA"/>
              </w:rPr>
              <w:t>30B</w:t>
            </w:r>
            <w:r w:rsidRPr="000F102F">
              <w:rPr>
                <w:szCs w:val="24"/>
                <w:lang w:val="en-CA"/>
              </w:rPr>
              <w:t xml:space="preserve">’, WRC-19 decided that only grid points that are located on land and inside the service area should be considered in addition to test-points in application of paragraph 2.2 of Annex 4 to Appendix </w:t>
            </w:r>
            <w:r w:rsidRPr="000F102F">
              <w:rPr>
                <w:b/>
                <w:bCs/>
                <w:szCs w:val="24"/>
                <w:lang w:val="en-CA"/>
              </w:rPr>
              <w:t>30B</w:t>
            </w:r>
            <w:r w:rsidRPr="000F102F">
              <w:rPr>
                <w:szCs w:val="24"/>
                <w:lang w:val="en-CA"/>
              </w:rPr>
              <w:t xml:space="preserve">. In taking this decision WRC-19 acknowledged that, should the use of Appendix </w:t>
            </w:r>
            <w:r w:rsidRPr="000F102F">
              <w:rPr>
                <w:b/>
                <w:bCs/>
                <w:szCs w:val="24"/>
                <w:lang w:val="en-CA"/>
              </w:rPr>
              <w:t>30B</w:t>
            </w:r>
            <w:r w:rsidRPr="000F102F">
              <w:rPr>
                <w:szCs w:val="24"/>
                <w:lang w:val="en-CA"/>
              </w:rPr>
              <w:t xml:space="preserve"> expand beyond its current use, it may be necessary to reconsider this decision in the future.</w:t>
            </w:r>
            <w:r>
              <w:rPr>
                <w:szCs w:val="24"/>
                <w:lang w:val="en-CA"/>
              </w:rPr>
              <w:t xml:space="preserve"> </w:t>
            </w:r>
            <w:r w:rsidRPr="000F102F">
              <w:rPr>
                <w:szCs w:val="24"/>
                <w:lang w:val="en-CA"/>
              </w:rPr>
              <w:t xml:space="preserve">WRC-19 also decided that test-points at sea shall not be </w:t>
            </w:r>
            <w:proofErr w:type="gramStart"/>
            <w:r w:rsidRPr="000F102F">
              <w:rPr>
                <w:szCs w:val="24"/>
                <w:lang w:val="en-CA"/>
              </w:rPr>
              <w:t>taken into account</w:t>
            </w:r>
            <w:proofErr w:type="gramEnd"/>
            <w:r w:rsidRPr="000F102F">
              <w:rPr>
                <w:szCs w:val="24"/>
                <w:lang w:val="en-CA"/>
              </w:rPr>
              <w:t xml:space="preserve"> by the Radiocommunication Bureau in its technical and regulatory examination of the relevant submissions received by the Bureau</w:t>
            </w:r>
            <w:r>
              <w:rPr>
                <w:szCs w:val="24"/>
                <w:lang w:val="en-CA"/>
              </w:rPr>
              <w:t xml:space="preserve">. </w:t>
            </w:r>
          </w:p>
          <w:p w14:paraId="773BD4C7" w14:textId="77777777" w:rsidR="008C42C7" w:rsidRPr="000F102F" w:rsidRDefault="008C42C7" w:rsidP="00431B02">
            <w:pPr>
              <w:rPr>
                <w:szCs w:val="24"/>
                <w:lang w:val="en-CA"/>
              </w:rPr>
            </w:pPr>
            <w:r w:rsidRPr="000F102F">
              <w:rPr>
                <w:szCs w:val="24"/>
                <w:lang w:val="en-CA" w:eastAsia="ja-JP"/>
              </w:rPr>
              <w:t>In considering section 3.3.1 on ‘</w:t>
            </w:r>
            <w:r w:rsidRPr="000F102F">
              <w:rPr>
                <w:szCs w:val="24"/>
                <w:lang w:val="en-CA"/>
              </w:rPr>
              <w:t xml:space="preserve">Resolution </w:t>
            </w:r>
            <w:r w:rsidRPr="000F102F">
              <w:rPr>
                <w:b/>
                <w:szCs w:val="24"/>
                <w:lang w:val="en-CA"/>
              </w:rPr>
              <w:t>49 (Rev.WRC-15)</w:t>
            </w:r>
            <w:r w:rsidRPr="000F102F">
              <w:rPr>
                <w:szCs w:val="24"/>
                <w:lang w:val="en-CA"/>
              </w:rPr>
              <w:t xml:space="preserve">’, WRC-19 decided to invite ITU-R to study the issue of requiring updates to the Resolution </w:t>
            </w:r>
            <w:r w:rsidRPr="000F102F">
              <w:rPr>
                <w:b/>
                <w:szCs w:val="24"/>
                <w:lang w:val="en-CA"/>
              </w:rPr>
              <w:t xml:space="preserve">49 (Rev.WRC-15) </w:t>
            </w:r>
            <w:r w:rsidRPr="000F102F">
              <w:rPr>
                <w:szCs w:val="24"/>
                <w:lang w:val="en-CA"/>
              </w:rPr>
              <w:t xml:space="preserve">data on an ongoing basis and streamlining the submission of Resolution </w:t>
            </w:r>
            <w:r w:rsidRPr="000F102F">
              <w:rPr>
                <w:b/>
                <w:szCs w:val="24"/>
                <w:lang w:val="en-CA"/>
              </w:rPr>
              <w:t>49 (Rev.WRC-15)</w:t>
            </w:r>
            <w:r w:rsidRPr="000F102F">
              <w:rPr>
                <w:szCs w:val="24"/>
                <w:lang w:val="en-CA"/>
              </w:rPr>
              <w:t xml:space="preserve"> data.</w:t>
            </w:r>
          </w:p>
          <w:p w14:paraId="4D5EC869" w14:textId="77777777" w:rsidR="008C42C7" w:rsidRPr="000F102F" w:rsidRDefault="008C42C7" w:rsidP="00431B02">
            <w:pPr>
              <w:rPr>
                <w:szCs w:val="24"/>
                <w:lang w:val="en-CA" w:eastAsia="zh-CN"/>
              </w:rPr>
            </w:pPr>
            <w:r w:rsidRPr="000F102F">
              <w:rPr>
                <w:szCs w:val="24"/>
                <w:lang w:val="en-CA" w:eastAsia="ja-JP"/>
              </w:rPr>
              <w:t>In considering section 3.4.2 on ‘</w:t>
            </w:r>
            <w:r w:rsidRPr="000F102F">
              <w:rPr>
                <w:szCs w:val="24"/>
                <w:lang w:val="en-CA" w:eastAsia="zh-CN"/>
              </w:rPr>
              <w:t xml:space="preserve">Typical earth stations in the fixed-satellite service’, </w:t>
            </w:r>
            <w:r w:rsidRPr="000F102F">
              <w:rPr>
                <w:szCs w:val="24"/>
                <w:lang w:val="en-CA"/>
              </w:rPr>
              <w:t xml:space="preserve">WRC-19 </w:t>
            </w:r>
            <w:r w:rsidRPr="000F102F">
              <w:rPr>
                <w:szCs w:val="24"/>
                <w:lang w:val="en-CA" w:eastAsia="zh-CN"/>
              </w:rPr>
              <w:t>instructs the Bureau to terminate the collection of information on typical earth stations in the fixed-satellite service.</w:t>
            </w:r>
          </w:p>
          <w:p w14:paraId="483B3032" w14:textId="77777777" w:rsidR="008C42C7" w:rsidRPr="000F102F" w:rsidRDefault="008C42C7" w:rsidP="00431B02">
            <w:pPr>
              <w:rPr>
                <w:szCs w:val="24"/>
                <w:lang w:val="en-CA"/>
              </w:rPr>
            </w:pPr>
            <w:r w:rsidRPr="000F102F">
              <w:rPr>
                <w:szCs w:val="24"/>
                <w:lang w:val="en-CA" w:eastAsia="ja-JP"/>
              </w:rPr>
              <w:t>In considering section 3.4.3 on ‘</w:t>
            </w:r>
            <w:r w:rsidRPr="000F102F">
              <w:rPr>
                <w:szCs w:val="24"/>
                <w:lang w:val="en-CA" w:eastAsia="zh-CN"/>
              </w:rPr>
              <w:t xml:space="preserve">Excessive parameters’, </w:t>
            </w:r>
            <w:r w:rsidRPr="000F102F">
              <w:rPr>
                <w:szCs w:val="24"/>
                <w:lang w:val="en-CA"/>
              </w:rPr>
              <w:t>WRC-19 invites the ITU-R to review the parameters discussed in this section of the Report in the next study cycle and to provide any necessary guidance to the Bureau.</w:t>
            </w:r>
          </w:p>
        </w:tc>
      </w:tr>
      <w:tr w:rsidR="008C42C7" w:rsidRPr="00B20114" w14:paraId="4EE0ED94" w14:textId="77777777" w:rsidTr="00CE6D50">
        <w:trPr>
          <w:trHeight w:val="1139"/>
        </w:trPr>
        <w:tc>
          <w:tcPr>
            <w:tcW w:w="1838" w:type="dxa"/>
            <w:vMerge/>
          </w:tcPr>
          <w:p w14:paraId="318327DA" w14:textId="77777777" w:rsidR="008C42C7" w:rsidRDefault="008C42C7" w:rsidP="00431B02">
            <w:pPr>
              <w:jc w:val="left"/>
              <w:rPr>
                <w:b/>
              </w:rPr>
            </w:pPr>
          </w:p>
        </w:tc>
        <w:tc>
          <w:tcPr>
            <w:tcW w:w="1733" w:type="dxa"/>
          </w:tcPr>
          <w:p w14:paraId="0F9CAC37" w14:textId="77777777" w:rsidR="008C42C7" w:rsidRDefault="008C42C7" w:rsidP="00431B02">
            <w:pPr>
              <w:jc w:val="left"/>
              <w:rPr>
                <w:rFonts w:cs="Times"/>
                <w:b/>
              </w:rPr>
            </w:pPr>
            <w:r>
              <w:rPr>
                <w:rFonts w:cs="Times"/>
                <w:b/>
              </w:rPr>
              <w:t>§§ 3.16 to 3.18</w:t>
            </w:r>
          </w:p>
          <w:p w14:paraId="0887818A" w14:textId="03DF2E6C"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30" w:history="1">
              <w:r w:rsidRPr="002849C7">
                <w:rPr>
                  <w:rStyle w:val="Hyperlink"/>
                  <w:rFonts w:cs="Times"/>
                  <w:b/>
                </w:rPr>
                <w:t>452</w:t>
              </w:r>
            </w:hyperlink>
          </w:p>
        </w:tc>
        <w:tc>
          <w:tcPr>
            <w:tcW w:w="10712" w:type="dxa"/>
          </w:tcPr>
          <w:p w14:paraId="51815084" w14:textId="77777777" w:rsidR="008C42C7" w:rsidRPr="000F102F" w:rsidRDefault="008C42C7" w:rsidP="00431B02">
            <w:pPr>
              <w:rPr>
                <w:szCs w:val="24"/>
                <w:lang w:val="en-CA"/>
              </w:rPr>
            </w:pPr>
            <w:r w:rsidRPr="000F102F">
              <w:rPr>
                <w:szCs w:val="24"/>
                <w:lang w:val="en-CA"/>
              </w:rPr>
              <w:t xml:space="preserve">In accordance with WRC-19 agenda item 9.3, the Conference received Document 15 from the Radio Regulations Board entitled </w:t>
            </w:r>
            <w:r w:rsidRPr="000F102F">
              <w:rPr>
                <w:i/>
                <w:szCs w:val="24"/>
                <w:lang w:val="en-CA"/>
              </w:rPr>
              <w:t xml:space="preserve">Report by the Radio Regulations Board on Resolution </w:t>
            </w:r>
            <w:r w:rsidRPr="000F102F">
              <w:rPr>
                <w:b/>
                <w:i/>
                <w:szCs w:val="24"/>
                <w:lang w:val="en-CA"/>
              </w:rPr>
              <w:t>80 (Rev.WRC-07)</w:t>
            </w:r>
            <w:r w:rsidRPr="000F102F">
              <w:rPr>
                <w:i/>
                <w:szCs w:val="24"/>
                <w:lang w:val="en-CA"/>
              </w:rPr>
              <w:t>.</w:t>
            </w:r>
            <w:r w:rsidRPr="000F102F">
              <w:rPr>
                <w:szCs w:val="24"/>
                <w:lang w:val="en-CA"/>
              </w:rPr>
              <w:t xml:space="preserve"> This report summarized RRB activity in relation to Resolution </w:t>
            </w:r>
            <w:r w:rsidRPr="000F102F">
              <w:rPr>
                <w:b/>
                <w:bCs/>
                <w:szCs w:val="24"/>
                <w:lang w:val="en-CA"/>
              </w:rPr>
              <w:t>80</w:t>
            </w:r>
            <w:r w:rsidRPr="000F102F">
              <w:rPr>
                <w:szCs w:val="24"/>
                <w:lang w:val="en-CA"/>
              </w:rPr>
              <w:t xml:space="preserve"> </w:t>
            </w:r>
            <w:r w:rsidRPr="000F102F">
              <w:rPr>
                <w:b/>
                <w:bCs/>
                <w:szCs w:val="24"/>
                <w:lang w:val="en-CA"/>
              </w:rPr>
              <w:t>(Rev.WRC-07)</w:t>
            </w:r>
            <w:r w:rsidRPr="000F102F">
              <w:rPr>
                <w:szCs w:val="24"/>
                <w:lang w:val="en-CA"/>
              </w:rPr>
              <w:t>.</w:t>
            </w:r>
          </w:p>
          <w:p w14:paraId="68FAB96F" w14:textId="77777777" w:rsidR="008C42C7" w:rsidRPr="000F102F" w:rsidRDefault="008C42C7" w:rsidP="00431B02">
            <w:pPr>
              <w:rPr>
                <w:bCs/>
                <w:szCs w:val="24"/>
                <w:lang w:val="en-CA"/>
              </w:rPr>
            </w:pPr>
            <w:r w:rsidRPr="000F102F">
              <w:rPr>
                <w:szCs w:val="24"/>
                <w:lang w:val="en-CA" w:eastAsia="ja-JP"/>
              </w:rPr>
              <w:t xml:space="preserve">In considering section 4.2 of this report on </w:t>
            </w:r>
            <w:bookmarkStart w:id="3" w:name="_Toc409538048"/>
            <w:r w:rsidRPr="000F102F">
              <w:rPr>
                <w:szCs w:val="24"/>
                <w:lang w:val="en-CA" w:eastAsia="ja-JP"/>
              </w:rPr>
              <w:t>‘L</w:t>
            </w:r>
            <w:r w:rsidRPr="000F102F">
              <w:rPr>
                <w:szCs w:val="24"/>
                <w:lang w:val="en-CA"/>
              </w:rPr>
              <w:t>inkage between bringing into use and notification for recording in the MIFR</w:t>
            </w:r>
            <w:bookmarkEnd w:id="3"/>
            <w:r w:rsidRPr="000F102F">
              <w:rPr>
                <w:szCs w:val="24"/>
                <w:lang w:val="en-CA"/>
              </w:rPr>
              <w:t xml:space="preserve">’, </w:t>
            </w:r>
            <w:r w:rsidRPr="000F102F">
              <w:rPr>
                <w:bCs/>
                <w:szCs w:val="24"/>
                <w:lang w:val="en-CA"/>
              </w:rPr>
              <w:t>WRC-19 decided that, in cases where:</w:t>
            </w:r>
          </w:p>
          <w:p w14:paraId="75A8BD39" w14:textId="77777777" w:rsidR="008C42C7" w:rsidRPr="000F102F" w:rsidRDefault="008C42C7" w:rsidP="00431B02">
            <w:pPr>
              <w:pStyle w:val="enumlev1"/>
              <w:rPr>
                <w:szCs w:val="24"/>
                <w:lang w:val="en-CA"/>
              </w:rPr>
            </w:pPr>
            <w:r w:rsidRPr="000F102F">
              <w:rPr>
                <w:i/>
                <w:szCs w:val="24"/>
                <w:lang w:val="en-CA"/>
              </w:rPr>
              <w:t>a)</w:t>
            </w:r>
            <w:r w:rsidRPr="000F102F">
              <w:rPr>
                <w:szCs w:val="24"/>
                <w:lang w:val="en-CA"/>
              </w:rPr>
              <w:tab/>
              <w:t xml:space="preserve">the information related to the bringing into use of frequency assignments in RR Appendices </w:t>
            </w:r>
            <w:r w:rsidRPr="000F102F">
              <w:rPr>
                <w:b/>
                <w:szCs w:val="24"/>
                <w:lang w:val="en-CA"/>
              </w:rPr>
              <w:t>30</w:t>
            </w:r>
            <w:r w:rsidRPr="000F102F">
              <w:rPr>
                <w:szCs w:val="24"/>
                <w:lang w:val="en-CA"/>
              </w:rPr>
              <w:t xml:space="preserve">, </w:t>
            </w:r>
            <w:r w:rsidRPr="000F102F">
              <w:rPr>
                <w:b/>
                <w:szCs w:val="24"/>
                <w:lang w:val="en-CA"/>
              </w:rPr>
              <w:t>30A</w:t>
            </w:r>
            <w:r w:rsidRPr="000F102F">
              <w:rPr>
                <w:szCs w:val="24"/>
                <w:lang w:val="en-CA"/>
              </w:rPr>
              <w:t xml:space="preserve"> or </w:t>
            </w:r>
            <w:r w:rsidRPr="000F102F">
              <w:rPr>
                <w:b/>
                <w:szCs w:val="24"/>
                <w:lang w:val="en-CA"/>
              </w:rPr>
              <w:t>30B</w:t>
            </w:r>
            <w:r w:rsidRPr="000F102F">
              <w:rPr>
                <w:szCs w:val="24"/>
                <w:lang w:val="en-CA"/>
              </w:rPr>
              <w:t xml:space="preserve"> is submitted prior to the end of examination of Part B and notification submissions of these frequency assignments;</w:t>
            </w:r>
          </w:p>
          <w:p w14:paraId="6570351B" w14:textId="77777777" w:rsidR="008C42C7" w:rsidRPr="000F102F" w:rsidRDefault="008C42C7" w:rsidP="00431B02">
            <w:pPr>
              <w:pStyle w:val="enumlev1"/>
              <w:rPr>
                <w:szCs w:val="24"/>
                <w:lang w:val="en-CA"/>
              </w:rPr>
            </w:pPr>
            <w:r w:rsidRPr="000F102F">
              <w:rPr>
                <w:i/>
                <w:szCs w:val="24"/>
                <w:lang w:val="en-CA"/>
              </w:rPr>
              <w:t>b)</w:t>
            </w:r>
            <w:r w:rsidRPr="000F102F">
              <w:rPr>
                <w:szCs w:val="24"/>
                <w:lang w:val="en-CA"/>
              </w:rPr>
              <w:tab/>
              <w:t xml:space="preserve">the requirements of RR Nos. </w:t>
            </w:r>
            <w:r w:rsidRPr="000F102F">
              <w:rPr>
                <w:b/>
                <w:szCs w:val="24"/>
                <w:lang w:val="en-CA"/>
              </w:rPr>
              <w:t>11.44</w:t>
            </w:r>
            <w:r w:rsidRPr="000F102F">
              <w:rPr>
                <w:szCs w:val="24"/>
                <w:lang w:val="en-CA"/>
              </w:rPr>
              <w:t xml:space="preserve"> and </w:t>
            </w:r>
            <w:r w:rsidRPr="000F102F">
              <w:rPr>
                <w:b/>
                <w:szCs w:val="24"/>
                <w:lang w:val="en-CA"/>
              </w:rPr>
              <w:t>11.44B</w:t>
            </w:r>
            <w:r w:rsidRPr="000F102F">
              <w:rPr>
                <w:szCs w:val="24"/>
                <w:lang w:val="en-CA"/>
              </w:rPr>
              <w:t xml:space="preserve"> have been met for these frequency assignments prior to the end of examination of their Part B and notification submissions;</w:t>
            </w:r>
          </w:p>
          <w:p w14:paraId="1CB24153" w14:textId="77777777" w:rsidR="008C42C7" w:rsidRPr="000F102F" w:rsidRDefault="008C42C7" w:rsidP="00431B02">
            <w:pPr>
              <w:pStyle w:val="enumlev1"/>
              <w:rPr>
                <w:szCs w:val="24"/>
                <w:lang w:val="en-CA"/>
              </w:rPr>
            </w:pPr>
            <w:r w:rsidRPr="000F102F">
              <w:rPr>
                <w:i/>
                <w:szCs w:val="24"/>
                <w:lang w:val="en-CA"/>
              </w:rPr>
              <w:lastRenderedPageBreak/>
              <w:t>c)</w:t>
            </w:r>
            <w:r w:rsidRPr="000F102F">
              <w:rPr>
                <w:szCs w:val="24"/>
                <w:lang w:val="en-CA"/>
              </w:rPr>
              <w:tab/>
              <w:t xml:space="preserve">after the fulfilment of the requirements of RR No. </w:t>
            </w:r>
            <w:r w:rsidRPr="000F102F">
              <w:rPr>
                <w:b/>
                <w:szCs w:val="24"/>
                <w:lang w:val="en-CA"/>
              </w:rPr>
              <w:t>11.44B</w:t>
            </w:r>
            <w:r w:rsidRPr="000F102F">
              <w:rPr>
                <w:szCs w:val="24"/>
                <w:lang w:val="en-CA"/>
              </w:rPr>
              <w:t>, the satellite has been relocated to another orbital location prior to the end of examination of the notification submission of these assignments;</w:t>
            </w:r>
          </w:p>
          <w:p w14:paraId="7D80D1EF" w14:textId="77777777" w:rsidR="008C42C7" w:rsidRPr="000F102F" w:rsidRDefault="008C42C7" w:rsidP="00431B02">
            <w:pPr>
              <w:pStyle w:val="enumlev1"/>
              <w:rPr>
                <w:szCs w:val="24"/>
                <w:lang w:val="en-CA"/>
              </w:rPr>
            </w:pPr>
            <w:r w:rsidRPr="000F102F">
              <w:rPr>
                <w:i/>
                <w:szCs w:val="24"/>
                <w:lang w:val="en-CA"/>
              </w:rPr>
              <w:t>d)</w:t>
            </w:r>
            <w:r w:rsidRPr="000F102F">
              <w:rPr>
                <w:szCs w:val="24"/>
                <w:lang w:val="en-CA"/>
              </w:rPr>
              <w:tab/>
              <w:t xml:space="preserve">the examination of the Part B submission of these assignments leads to the notice being returned to the notifying administration because of </w:t>
            </w:r>
            <w:proofErr w:type="gramStart"/>
            <w:r w:rsidRPr="000F102F">
              <w:rPr>
                <w:szCs w:val="24"/>
                <w:lang w:val="en-CA"/>
              </w:rPr>
              <w:t>an inadvertent error</w:t>
            </w:r>
            <w:proofErr w:type="gramEnd"/>
            <w:r w:rsidRPr="000F102F">
              <w:rPr>
                <w:szCs w:val="24"/>
                <w:lang w:val="en-CA"/>
              </w:rPr>
              <w:t xml:space="preserve"> of the notifying administration;</w:t>
            </w:r>
          </w:p>
          <w:p w14:paraId="5202B449" w14:textId="77777777" w:rsidR="008C42C7" w:rsidRPr="000F102F" w:rsidRDefault="008C42C7" w:rsidP="00431B02">
            <w:pPr>
              <w:pStyle w:val="enumlev1"/>
              <w:rPr>
                <w:szCs w:val="24"/>
                <w:lang w:val="en-CA"/>
              </w:rPr>
            </w:pPr>
            <w:r w:rsidRPr="000F102F">
              <w:rPr>
                <w:i/>
                <w:szCs w:val="24"/>
                <w:lang w:val="en-CA"/>
              </w:rPr>
              <w:t>e)</w:t>
            </w:r>
            <w:r w:rsidRPr="000F102F">
              <w:rPr>
                <w:szCs w:val="24"/>
                <w:lang w:val="en-CA"/>
              </w:rPr>
              <w:tab/>
              <w:t xml:space="preserve">the notifying administration informs the Bureau that it is unable to fulfil the requirements of RR Nos. </w:t>
            </w:r>
            <w:r w:rsidRPr="000F102F">
              <w:rPr>
                <w:b/>
                <w:szCs w:val="24"/>
                <w:lang w:val="en-CA"/>
              </w:rPr>
              <w:t>11.44</w:t>
            </w:r>
            <w:r w:rsidRPr="000F102F">
              <w:rPr>
                <w:szCs w:val="24"/>
                <w:lang w:val="en-CA"/>
              </w:rPr>
              <w:t xml:space="preserve"> and </w:t>
            </w:r>
            <w:r w:rsidRPr="000F102F">
              <w:rPr>
                <w:b/>
                <w:szCs w:val="24"/>
                <w:lang w:val="en-CA"/>
              </w:rPr>
              <w:t>11.44B</w:t>
            </w:r>
            <w:r w:rsidRPr="000F102F">
              <w:rPr>
                <w:szCs w:val="24"/>
                <w:lang w:val="en-CA"/>
              </w:rPr>
              <w:t xml:space="preserve"> at the time of resubmitting the Part B and notification information;</w:t>
            </w:r>
          </w:p>
          <w:p w14:paraId="4CCB351A" w14:textId="77777777" w:rsidR="008C42C7" w:rsidRPr="000F102F" w:rsidRDefault="008C42C7" w:rsidP="00431B02">
            <w:pPr>
              <w:rPr>
                <w:szCs w:val="24"/>
                <w:lang w:val="en-CA"/>
              </w:rPr>
            </w:pPr>
            <w:r w:rsidRPr="000F102F">
              <w:rPr>
                <w:bCs/>
                <w:szCs w:val="24"/>
                <w:lang w:val="en-CA"/>
              </w:rPr>
              <w:t xml:space="preserve">the Radio Regulations Board is instructed to consider, on a case-by-case basis, whether the fulfilment of the requirements of RR Nos. </w:t>
            </w:r>
            <w:r w:rsidRPr="000F102F">
              <w:rPr>
                <w:b/>
                <w:bCs/>
                <w:szCs w:val="24"/>
                <w:lang w:val="en-CA"/>
              </w:rPr>
              <w:t>11.44</w:t>
            </w:r>
            <w:r w:rsidRPr="000F102F">
              <w:rPr>
                <w:bCs/>
                <w:szCs w:val="24"/>
                <w:lang w:val="en-CA"/>
              </w:rPr>
              <w:t xml:space="preserve"> and </w:t>
            </w:r>
            <w:r w:rsidRPr="000F102F">
              <w:rPr>
                <w:b/>
                <w:bCs/>
                <w:szCs w:val="24"/>
                <w:lang w:val="en-CA"/>
              </w:rPr>
              <w:t>11.44B</w:t>
            </w:r>
            <w:r w:rsidRPr="000F102F">
              <w:rPr>
                <w:bCs/>
                <w:szCs w:val="24"/>
                <w:lang w:val="en-CA"/>
              </w:rPr>
              <w:t xml:space="preserve"> prior to the end of examination of their Part B and notification submissions can be accepted as the bringing into use of the frequency assignments.</w:t>
            </w:r>
          </w:p>
          <w:p w14:paraId="2AC10575" w14:textId="77777777" w:rsidR="008C42C7" w:rsidRPr="000F102F" w:rsidRDefault="008C42C7" w:rsidP="00431B02">
            <w:pPr>
              <w:rPr>
                <w:szCs w:val="24"/>
                <w:lang w:val="en-CA" w:eastAsia="zh-CN"/>
              </w:rPr>
            </w:pPr>
            <w:r w:rsidRPr="000F102F">
              <w:rPr>
                <w:szCs w:val="24"/>
                <w:lang w:val="en-CA" w:eastAsia="ja-JP"/>
              </w:rPr>
              <w:t>In considering section 4.3 of this report on ‘</w:t>
            </w:r>
            <w:r w:rsidRPr="000F102F">
              <w:rPr>
                <w:szCs w:val="24"/>
                <w:lang w:val="en-CA" w:eastAsia="zh-CN"/>
              </w:rPr>
              <w:t>Issues related to the extension of time-limits for bringing into use or bringing back into use a frequency assignment’:</w:t>
            </w:r>
          </w:p>
          <w:p w14:paraId="49FB1945" w14:textId="77777777" w:rsidR="008C42C7" w:rsidRPr="000F102F" w:rsidRDefault="008C42C7" w:rsidP="00431B02">
            <w:pPr>
              <w:rPr>
                <w:szCs w:val="24"/>
                <w:lang w:val="en-CA" w:eastAsia="ja-JP"/>
              </w:rPr>
            </w:pPr>
            <w:r w:rsidRPr="000F102F">
              <w:rPr>
                <w:szCs w:val="24"/>
                <w:lang w:val="en-CA" w:eastAsia="zh-CN"/>
              </w:rPr>
              <w:t xml:space="preserve">On section 4.3.4 Situations of co-passenger delay’, </w:t>
            </w:r>
            <w:r w:rsidRPr="000F102F">
              <w:rPr>
                <w:szCs w:val="24"/>
                <w:lang w:val="en-CA"/>
              </w:rPr>
              <w:t>WRC-19 decided that the Board shall consider the</w:t>
            </w:r>
            <w:r w:rsidRPr="000F102F">
              <w:rPr>
                <w:szCs w:val="24"/>
                <w:lang w:val="en-CA" w:eastAsia="ja-JP"/>
              </w:rPr>
              <w:t xml:space="preserve"> provision of the </w:t>
            </w:r>
            <w:r w:rsidRPr="000F102F">
              <w:rPr>
                <w:szCs w:val="24"/>
                <w:lang w:val="en-CA"/>
              </w:rPr>
              <w:t>following information as required when dealing with a request for extension of regulatory deadlines due to co-passenger delay:</w:t>
            </w:r>
          </w:p>
          <w:p w14:paraId="410535A5" w14:textId="77777777" w:rsidR="008C42C7" w:rsidRPr="000F102F" w:rsidRDefault="008C42C7" w:rsidP="00431B02">
            <w:pPr>
              <w:pStyle w:val="enumlev1"/>
              <w:rPr>
                <w:szCs w:val="24"/>
                <w:lang w:val="en-CA"/>
              </w:rPr>
            </w:pPr>
            <w:r w:rsidRPr="000F102F">
              <w:rPr>
                <w:szCs w:val="24"/>
                <w:lang w:val="en-CA"/>
              </w:rPr>
              <w:t>–</w:t>
            </w:r>
            <w:r w:rsidRPr="000F102F">
              <w:rPr>
                <w:szCs w:val="24"/>
                <w:lang w:val="en-CA"/>
              </w:rPr>
              <w:tab/>
              <w:t>a summary description of the satellite to be launched, including the frequency bands;</w:t>
            </w:r>
          </w:p>
          <w:p w14:paraId="7FE7E303" w14:textId="77777777" w:rsidR="008C42C7" w:rsidRPr="000F102F" w:rsidRDefault="008C42C7" w:rsidP="00431B02">
            <w:pPr>
              <w:pStyle w:val="enumlev1"/>
              <w:rPr>
                <w:szCs w:val="24"/>
                <w:lang w:val="en-CA"/>
              </w:rPr>
            </w:pPr>
            <w:r w:rsidRPr="000F102F">
              <w:rPr>
                <w:szCs w:val="24"/>
                <w:lang w:val="en-CA"/>
              </w:rPr>
              <w:t>–</w:t>
            </w:r>
            <w:r w:rsidRPr="000F102F">
              <w:rPr>
                <w:szCs w:val="24"/>
                <w:lang w:val="en-CA"/>
              </w:rPr>
              <w:tab/>
              <w:t>the name of the manufacturer selected to build the satellite and the contract signature date;</w:t>
            </w:r>
          </w:p>
          <w:p w14:paraId="7DFCF5C1" w14:textId="77777777" w:rsidR="008C42C7" w:rsidRPr="000F102F" w:rsidRDefault="008C42C7" w:rsidP="00431B02">
            <w:pPr>
              <w:pStyle w:val="enumlev1"/>
              <w:rPr>
                <w:szCs w:val="24"/>
                <w:lang w:val="en-CA"/>
              </w:rPr>
            </w:pPr>
            <w:r w:rsidRPr="000F102F">
              <w:rPr>
                <w:szCs w:val="24"/>
                <w:lang w:val="en-CA"/>
              </w:rPr>
              <w:t>–</w:t>
            </w:r>
            <w:r w:rsidRPr="000F102F">
              <w:rPr>
                <w:szCs w:val="24"/>
                <w:lang w:val="en-CA"/>
              </w:rPr>
              <w:tab/>
              <w:t>the status of the satellite construction, including the date it began and whether it was expected to be completed prior to the initial launch window;</w:t>
            </w:r>
          </w:p>
          <w:p w14:paraId="6C6CDD21" w14:textId="77777777" w:rsidR="008C42C7" w:rsidRPr="000F102F" w:rsidRDefault="008C42C7" w:rsidP="00431B02">
            <w:pPr>
              <w:pStyle w:val="enumlev1"/>
              <w:rPr>
                <w:szCs w:val="24"/>
                <w:lang w:val="en-CA"/>
              </w:rPr>
            </w:pPr>
            <w:r w:rsidRPr="000F102F">
              <w:rPr>
                <w:szCs w:val="24"/>
                <w:lang w:val="en-CA"/>
              </w:rPr>
              <w:t>–</w:t>
            </w:r>
            <w:r w:rsidRPr="000F102F">
              <w:rPr>
                <w:szCs w:val="24"/>
                <w:lang w:val="en-CA"/>
              </w:rPr>
              <w:tab/>
              <w:t>the name of the launch service provider and the contract signature date;</w:t>
            </w:r>
          </w:p>
          <w:p w14:paraId="276C2A1C" w14:textId="77777777" w:rsidR="008C42C7" w:rsidRPr="000F102F" w:rsidRDefault="008C42C7" w:rsidP="00431B02">
            <w:pPr>
              <w:pStyle w:val="enumlev1"/>
              <w:rPr>
                <w:szCs w:val="24"/>
                <w:lang w:val="en-CA"/>
              </w:rPr>
            </w:pPr>
            <w:r w:rsidRPr="000F102F">
              <w:rPr>
                <w:szCs w:val="24"/>
                <w:lang w:val="en-CA"/>
              </w:rPr>
              <w:t>–</w:t>
            </w:r>
            <w:r w:rsidRPr="000F102F">
              <w:rPr>
                <w:szCs w:val="24"/>
                <w:lang w:val="en-CA"/>
              </w:rPr>
              <w:tab/>
              <w:t>the initial and revised launch window;</w:t>
            </w:r>
          </w:p>
          <w:p w14:paraId="7B983608" w14:textId="77777777" w:rsidR="008C42C7" w:rsidRPr="000F102F" w:rsidRDefault="008C42C7" w:rsidP="00431B02">
            <w:pPr>
              <w:pStyle w:val="enumlev1"/>
              <w:rPr>
                <w:szCs w:val="24"/>
                <w:lang w:val="en-CA"/>
              </w:rPr>
            </w:pPr>
            <w:r w:rsidRPr="000F102F">
              <w:rPr>
                <w:szCs w:val="24"/>
                <w:lang w:val="en-CA"/>
              </w:rPr>
              <w:t>–</w:t>
            </w:r>
            <w:r w:rsidRPr="000F102F">
              <w:rPr>
                <w:szCs w:val="24"/>
                <w:lang w:val="en-CA"/>
              </w:rPr>
              <w:tab/>
            </w:r>
            <w:proofErr w:type="gramStart"/>
            <w:r w:rsidRPr="000F102F">
              <w:rPr>
                <w:szCs w:val="24"/>
                <w:lang w:val="en-CA"/>
              </w:rPr>
              <w:t>sufficient</w:t>
            </w:r>
            <w:proofErr w:type="gramEnd"/>
            <w:r w:rsidRPr="000F102F">
              <w:rPr>
                <w:szCs w:val="24"/>
                <w:lang w:val="en-CA"/>
              </w:rPr>
              <w:t xml:space="preserve"> detail to justify that the request for extension is due to co-passenger delay (e.g. a letter from the launch service provider indicating that the launch is delayed because of a delay affecting the co-passenger satellite);</w:t>
            </w:r>
          </w:p>
          <w:p w14:paraId="195DC426" w14:textId="77777777" w:rsidR="008C42C7" w:rsidRPr="000F102F" w:rsidRDefault="008C42C7" w:rsidP="00431B02">
            <w:pPr>
              <w:pStyle w:val="enumlev1"/>
              <w:rPr>
                <w:szCs w:val="24"/>
                <w:lang w:val="en-CA"/>
              </w:rPr>
            </w:pPr>
            <w:r w:rsidRPr="000F102F">
              <w:rPr>
                <w:szCs w:val="24"/>
                <w:lang w:val="en-CA"/>
              </w:rPr>
              <w:t>–</w:t>
            </w:r>
            <w:r w:rsidRPr="000F102F">
              <w:rPr>
                <w:szCs w:val="24"/>
                <w:lang w:val="en-CA"/>
              </w:rPr>
              <w:tab/>
            </w:r>
            <w:proofErr w:type="gramStart"/>
            <w:r w:rsidRPr="000F102F">
              <w:rPr>
                <w:szCs w:val="24"/>
                <w:lang w:val="en-CA"/>
              </w:rPr>
              <w:t>sufficient</w:t>
            </w:r>
            <w:proofErr w:type="gramEnd"/>
            <w:r w:rsidRPr="000F102F">
              <w:rPr>
                <w:szCs w:val="24"/>
                <w:lang w:val="en-CA"/>
              </w:rPr>
              <w:t xml:space="preserve"> detail to justify the length of the requested extension period; and</w:t>
            </w:r>
          </w:p>
          <w:p w14:paraId="3D3AA75E" w14:textId="77777777" w:rsidR="008C42C7" w:rsidRPr="000F102F" w:rsidRDefault="008C42C7" w:rsidP="00431B02">
            <w:pPr>
              <w:pStyle w:val="enumlev1"/>
              <w:rPr>
                <w:szCs w:val="24"/>
                <w:lang w:val="en-CA"/>
              </w:rPr>
            </w:pPr>
            <w:r w:rsidRPr="000F102F">
              <w:rPr>
                <w:szCs w:val="24"/>
                <w:lang w:val="en-CA"/>
              </w:rPr>
              <w:t>–</w:t>
            </w:r>
            <w:r w:rsidRPr="000F102F">
              <w:rPr>
                <w:szCs w:val="24"/>
                <w:lang w:val="en-CA"/>
              </w:rPr>
              <w:tab/>
              <w:t>any other relevant information and documentation.</w:t>
            </w:r>
          </w:p>
          <w:p w14:paraId="0E339885" w14:textId="77777777" w:rsidR="008C42C7" w:rsidRPr="000F102F" w:rsidRDefault="008C42C7" w:rsidP="00431B02">
            <w:pPr>
              <w:rPr>
                <w:szCs w:val="24"/>
                <w:lang w:val="en-CA" w:eastAsia="zh-CN"/>
              </w:rPr>
            </w:pPr>
            <w:r w:rsidRPr="000F102F">
              <w:rPr>
                <w:szCs w:val="24"/>
                <w:lang w:val="en-CA" w:eastAsia="zh-CN"/>
              </w:rPr>
              <w:lastRenderedPageBreak/>
              <w:t>On section 4.3.5 ‘</w:t>
            </w:r>
            <w:r w:rsidRPr="000F102F">
              <w:rPr>
                <w:szCs w:val="24"/>
                <w:lang w:val="en-CA"/>
              </w:rPr>
              <w:t>Compliance</w:t>
            </w:r>
            <w:r w:rsidRPr="000F102F">
              <w:rPr>
                <w:szCs w:val="24"/>
                <w:lang w:val="en-CA" w:eastAsia="zh-CN"/>
              </w:rPr>
              <w:t xml:space="preserve"> with the regulatory time limits for space stations using electric propulsion’, WRC-19 decided to invite the ITU-R to study whether the use of electric propulsion satellite technology should be taken into account in the Radio Regulations for consideration at a future competent WRC.</w:t>
            </w:r>
          </w:p>
          <w:p w14:paraId="6C6ED1D9" w14:textId="77777777" w:rsidR="008C42C7" w:rsidRPr="000F102F" w:rsidRDefault="008C42C7" w:rsidP="00431B02">
            <w:pPr>
              <w:rPr>
                <w:szCs w:val="24"/>
                <w:lang w:val="en-CA" w:eastAsia="zh-CN"/>
              </w:rPr>
            </w:pPr>
            <w:r w:rsidRPr="00D30702">
              <w:rPr>
                <w:szCs w:val="24"/>
                <w:lang w:val="en-CA" w:eastAsia="zh-CN"/>
              </w:rPr>
              <w:t xml:space="preserve">When considering requests that qualify as </w:t>
            </w:r>
            <w:r w:rsidRPr="00D30702">
              <w:rPr>
                <w:i/>
                <w:iCs/>
                <w:szCs w:val="24"/>
                <w:lang w:val="en-CA" w:eastAsia="zh-CN"/>
              </w:rPr>
              <w:t>force majeure</w:t>
            </w:r>
            <w:r w:rsidRPr="00D30702">
              <w:rPr>
                <w:szCs w:val="24"/>
                <w:lang w:val="en-CA" w:eastAsia="zh-CN"/>
              </w:rPr>
              <w:t xml:space="preserve"> or co-passenger delay, WRC-19 instructs</w:t>
            </w:r>
            <w:r w:rsidRPr="000F102F">
              <w:rPr>
                <w:szCs w:val="24"/>
                <w:lang w:val="en-CA" w:eastAsia="zh-CN"/>
              </w:rPr>
              <w:t xml:space="preserve"> the RRB to continue to take into account the use of electric propulsion on a case-by-case basis when deciding on the length of the extension, based on the merits of each individual case.</w:t>
            </w:r>
          </w:p>
          <w:p w14:paraId="72756020" w14:textId="77777777" w:rsidR="008C42C7" w:rsidRPr="000F102F" w:rsidRDefault="008C42C7" w:rsidP="00431B02">
            <w:pPr>
              <w:rPr>
                <w:iCs/>
                <w:szCs w:val="24"/>
                <w:lang w:val="en-CA" w:eastAsia="zh-CN"/>
              </w:rPr>
            </w:pPr>
            <w:r w:rsidRPr="000F102F">
              <w:rPr>
                <w:szCs w:val="24"/>
                <w:lang w:val="en-CA" w:eastAsia="zh-CN"/>
              </w:rPr>
              <w:t xml:space="preserve">On section 4.3.6 ‘Requests from developing countries that do not qualify as </w:t>
            </w:r>
            <w:r w:rsidRPr="000F102F">
              <w:rPr>
                <w:i/>
                <w:szCs w:val="24"/>
                <w:lang w:val="en-CA" w:eastAsia="zh-CN"/>
              </w:rPr>
              <w:t xml:space="preserve">force majeure </w:t>
            </w:r>
            <w:r w:rsidRPr="000F102F">
              <w:rPr>
                <w:iCs/>
                <w:szCs w:val="24"/>
                <w:lang w:val="en-CA" w:eastAsia="zh-CN"/>
              </w:rPr>
              <w:t>or co</w:t>
            </w:r>
            <w:r w:rsidRPr="000F102F">
              <w:rPr>
                <w:iCs/>
                <w:szCs w:val="24"/>
                <w:lang w:val="en-CA" w:eastAsia="zh-CN"/>
              </w:rPr>
              <w:noBreakHyphen/>
              <w:t xml:space="preserve">passenger delay’, </w:t>
            </w:r>
            <w:r w:rsidRPr="000F102F">
              <w:rPr>
                <w:szCs w:val="24"/>
                <w:lang w:val="en-CA"/>
              </w:rPr>
              <w:t xml:space="preserve">WRC-19 invites the ITU-R to study the matter of </w:t>
            </w:r>
            <w:r w:rsidRPr="000F102F">
              <w:rPr>
                <w:szCs w:val="24"/>
                <w:lang w:val="en-CA" w:eastAsia="zh-CN"/>
              </w:rPr>
              <w:t xml:space="preserve">requests for extensions of regulatory time limits from developing countries that do not qualify as </w:t>
            </w:r>
            <w:r w:rsidRPr="000F102F">
              <w:rPr>
                <w:i/>
                <w:szCs w:val="24"/>
                <w:lang w:val="en-CA" w:eastAsia="zh-CN"/>
              </w:rPr>
              <w:t xml:space="preserve">force majeure </w:t>
            </w:r>
            <w:r w:rsidRPr="000F102F">
              <w:rPr>
                <w:iCs/>
                <w:szCs w:val="24"/>
                <w:lang w:val="en-CA" w:eastAsia="zh-CN"/>
              </w:rPr>
              <w:t>or co</w:t>
            </w:r>
            <w:r w:rsidRPr="000F102F">
              <w:rPr>
                <w:iCs/>
                <w:szCs w:val="24"/>
                <w:lang w:val="en-CA" w:eastAsia="zh-CN"/>
              </w:rPr>
              <w:noBreakHyphen/>
              <w:t>passenger delay</w:t>
            </w:r>
            <w:r w:rsidRPr="000F102F">
              <w:rPr>
                <w:szCs w:val="24"/>
                <w:lang w:val="en-CA"/>
              </w:rPr>
              <w:t xml:space="preserve"> and to develop the specific criteria and conditions upon which the RRB could consider granting an extension of the regulatory deadline to a developing country.</w:t>
            </w:r>
          </w:p>
          <w:p w14:paraId="1BF593DA" w14:textId="77777777" w:rsidR="008C42C7" w:rsidRPr="000F102F" w:rsidRDefault="008C42C7" w:rsidP="00431B02">
            <w:pPr>
              <w:rPr>
                <w:bCs/>
                <w:szCs w:val="24"/>
                <w:lang w:val="en-CA"/>
              </w:rPr>
            </w:pPr>
            <w:r w:rsidRPr="000F102F">
              <w:rPr>
                <w:szCs w:val="24"/>
                <w:lang w:val="en-CA" w:eastAsia="ja-JP"/>
              </w:rPr>
              <w:t>In considering section 4.4 of this report on ‘</w:t>
            </w:r>
            <w:r w:rsidRPr="000F102F">
              <w:rPr>
                <w:szCs w:val="24"/>
                <w:lang w:val="en-CA"/>
              </w:rPr>
              <w:t xml:space="preserve">Requests for a transfer or change of the “notifying administration” from one to the other’, </w:t>
            </w:r>
            <w:bookmarkStart w:id="4" w:name="_Hlk24360461"/>
            <w:r w:rsidRPr="000F102F">
              <w:rPr>
                <w:bCs/>
                <w:szCs w:val="24"/>
                <w:lang w:val="en-CA"/>
              </w:rPr>
              <w:t>WRC-19 confirmed the approach so far used by the Board for treating cases of the change of notifying administration acting on behalf of an intergovernmental satellite organization for a satellite network of that intergovernmental organization, to an administration which is a member of that organization acting on its own behalf. WRC-19 further decided that a letter from an appropriate responsible authority of this intergovernmental satellite organization is required to confirm their agreement with the change of notifying administration. In addition, WRC-19 decided that the Board shall deny a request to change:</w:t>
            </w:r>
          </w:p>
          <w:p w14:paraId="3735DF26" w14:textId="77777777" w:rsidR="008C42C7" w:rsidRPr="000F102F" w:rsidRDefault="008C42C7" w:rsidP="00431B02">
            <w:pPr>
              <w:pStyle w:val="enumlev1"/>
              <w:rPr>
                <w:szCs w:val="24"/>
                <w:lang w:val="en-CA"/>
              </w:rPr>
            </w:pPr>
            <w:r w:rsidRPr="000F102F">
              <w:rPr>
                <w:szCs w:val="24"/>
                <w:lang w:val="en-CA"/>
              </w:rPr>
              <w:t>–</w:t>
            </w:r>
            <w:r w:rsidRPr="000F102F">
              <w:rPr>
                <w:szCs w:val="24"/>
                <w:lang w:val="en-CA"/>
              </w:rPr>
              <w:tab/>
              <w:t>the notifying administration acting on behalf of an intergovernmental satellite organization for a satellite network of that intergovernmental organization, to an administration that is not a member of that organization;</w:t>
            </w:r>
          </w:p>
          <w:p w14:paraId="28BE7D30" w14:textId="77777777" w:rsidR="008C42C7" w:rsidRPr="000F102F" w:rsidRDefault="008C42C7" w:rsidP="00431B02">
            <w:pPr>
              <w:pStyle w:val="enumlev1"/>
              <w:rPr>
                <w:szCs w:val="24"/>
                <w:lang w:val="en-CA"/>
              </w:rPr>
            </w:pPr>
            <w:r w:rsidRPr="000F102F">
              <w:rPr>
                <w:szCs w:val="24"/>
                <w:lang w:val="en-CA"/>
              </w:rPr>
              <w:t>–</w:t>
            </w:r>
            <w:r w:rsidRPr="000F102F">
              <w:rPr>
                <w:szCs w:val="24"/>
                <w:lang w:val="en-CA"/>
              </w:rPr>
              <w:tab/>
              <w:t xml:space="preserve">the notifying administration, acting on its own behalf, of a satellite network or system to another notifying administration acting on its own behalf; or </w:t>
            </w:r>
          </w:p>
          <w:p w14:paraId="2ED55FBF" w14:textId="77777777" w:rsidR="008C42C7" w:rsidRPr="000F102F" w:rsidRDefault="008C42C7" w:rsidP="00431B02">
            <w:pPr>
              <w:pStyle w:val="enumlev1"/>
              <w:rPr>
                <w:szCs w:val="24"/>
                <w:lang w:val="en-CA"/>
              </w:rPr>
            </w:pPr>
            <w:r w:rsidRPr="000F102F">
              <w:rPr>
                <w:szCs w:val="24"/>
                <w:lang w:val="en-CA"/>
              </w:rPr>
              <w:t>–</w:t>
            </w:r>
            <w:r w:rsidRPr="000F102F">
              <w:rPr>
                <w:szCs w:val="24"/>
                <w:lang w:val="en-CA"/>
              </w:rPr>
              <w:tab/>
              <w:t>the notifying administration acting on behalf of a group of named administrations which is not an intergovernmental satellite organization to another administration of that group</w:t>
            </w:r>
            <w:bookmarkEnd w:id="4"/>
            <w:r w:rsidRPr="000F102F">
              <w:rPr>
                <w:szCs w:val="24"/>
                <w:lang w:val="en-CA"/>
              </w:rPr>
              <w:t>.</w:t>
            </w:r>
            <w:bookmarkStart w:id="5" w:name="_Toc520420664"/>
            <w:bookmarkStart w:id="6" w:name="_Toc16501764"/>
            <w:bookmarkStart w:id="7" w:name="_Toc4119430"/>
          </w:p>
          <w:p w14:paraId="4AC6FCE6" w14:textId="77777777" w:rsidR="008C42C7" w:rsidRPr="000F102F" w:rsidRDefault="008C42C7" w:rsidP="00431B02">
            <w:pPr>
              <w:rPr>
                <w:szCs w:val="24"/>
                <w:lang w:val="en-CA"/>
              </w:rPr>
            </w:pPr>
            <w:r w:rsidRPr="000F102F">
              <w:rPr>
                <w:szCs w:val="24"/>
                <w:lang w:val="en-CA" w:eastAsia="ja-JP"/>
              </w:rPr>
              <w:lastRenderedPageBreak/>
              <w:t>In considering section 4.5 of this report on ‘</w:t>
            </w:r>
            <w:r w:rsidRPr="000F102F">
              <w:rPr>
                <w:szCs w:val="24"/>
                <w:lang w:val="en-CA"/>
              </w:rPr>
              <w:t xml:space="preserve">Interpretation of the definition of “satellite network” in RR No. </w:t>
            </w:r>
            <w:r w:rsidRPr="000F102F">
              <w:rPr>
                <w:b/>
                <w:bCs/>
                <w:szCs w:val="24"/>
                <w:lang w:val="en-CA"/>
              </w:rPr>
              <w:t>1.112</w:t>
            </w:r>
            <w:r w:rsidRPr="000F102F">
              <w:rPr>
                <w:szCs w:val="24"/>
                <w:lang w:val="en-CA"/>
              </w:rPr>
              <w:t xml:space="preserve"> and </w:t>
            </w:r>
            <w:proofErr w:type="spellStart"/>
            <w:r w:rsidRPr="000F102F">
              <w:rPr>
                <w:szCs w:val="24"/>
                <w:lang w:val="en-CA"/>
              </w:rPr>
              <w:t>RoP</w:t>
            </w:r>
            <w:proofErr w:type="spellEnd"/>
            <w:r w:rsidRPr="000F102F">
              <w:rPr>
                <w:szCs w:val="24"/>
                <w:lang w:val="en-CA"/>
              </w:rPr>
              <w:t xml:space="preserve"> No. </w:t>
            </w:r>
            <w:r w:rsidRPr="000F102F">
              <w:rPr>
                <w:b/>
                <w:bCs/>
                <w:szCs w:val="24"/>
                <w:lang w:val="en-CA"/>
              </w:rPr>
              <w:t>1.112</w:t>
            </w:r>
            <w:bookmarkEnd w:id="5"/>
            <w:bookmarkEnd w:id="6"/>
            <w:bookmarkEnd w:id="7"/>
            <w:r w:rsidRPr="000F102F">
              <w:rPr>
                <w:szCs w:val="24"/>
                <w:lang w:val="en-CA"/>
              </w:rPr>
              <w:t>’, WRC-19 decided that the issue raised in this section of the report was addressed directly under WRC-19 agenda item 7 Issue H.</w:t>
            </w:r>
          </w:p>
        </w:tc>
      </w:tr>
      <w:tr w:rsidR="008C42C7" w:rsidRPr="00B20114" w14:paraId="3C0D8B4D" w14:textId="77777777" w:rsidTr="00CE6D50">
        <w:trPr>
          <w:trHeight w:val="1139"/>
        </w:trPr>
        <w:tc>
          <w:tcPr>
            <w:tcW w:w="1838" w:type="dxa"/>
            <w:vMerge/>
          </w:tcPr>
          <w:p w14:paraId="2607216E" w14:textId="77777777" w:rsidR="008C42C7" w:rsidRDefault="008C42C7" w:rsidP="00431B02">
            <w:pPr>
              <w:jc w:val="left"/>
              <w:rPr>
                <w:b/>
              </w:rPr>
            </w:pPr>
          </w:p>
        </w:tc>
        <w:tc>
          <w:tcPr>
            <w:tcW w:w="1733" w:type="dxa"/>
          </w:tcPr>
          <w:p w14:paraId="7A9A4A8E" w14:textId="77777777" w:rsidR="008C42C7" w:rsidRDefault="008C42C7" w:rsidP="00431B02">
            <w:pPr>
              <w:jc w:val="left"/>
              <w:rPr>
                <w:rFonts w:cs="Times"/>
                <w:b/>
              </w:rPr>
            </w:pPr>
            <w:r>
              <w:rPr>
                <w:rFonts w:cs="Times"/>
                <w:b/>
              </w:rPr>
              <w:t>§§ 3.19 to 3.21</w:t>
            </w:r>
          </w:p>
          <w:p w14:paraId="0C2B2260" w14:textId="5D554774"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31" w:history="1">
              <w:r w:rsidRPr="002849C7">
                <w:rPr>
                  <w:rStyle w:val="Hyperlink"/>
                  <w:rFonts w:cs="Times"/>
                  <w:b/>
                </w:rPr>
                <w:t>471</w:t>
              </w:r>
            </w:hyperlink>
          </w:p>
        </w:tc>
        <w:tc>
          <w:tcPr>
            <w:tcW w:w="10712" w:type="dxa"/>
          </w:tcPr>
          <w:p w14:paraId="6DD268DB" w14:textId="77777777" w:rsidR="008C42C7" w:rsidRPr="000F102F" w:rsidRDefault="008C42C7" w:rsidP="00431B02">
            <w:pPr>
              <w:rPr>
                <w:szCs w:val="24"/>
                <w:lang w:val="en-CA"/>
              </w:rPr>
            </w:pPr>
            <w:r>
              <w:rPr>
                <w:iCs/>
                <w:szCs w:val="24"/>
                <w:lang w:val="en-CA"/>
              </w:rPr>
              <w:t>I</w:t>
            </w:r>
            <w:r w:rsidRPr="000F102F">
              <w:rPr>
                <w:iCs/>
                <w:szCs w:val="24"/>
                <w:lang w:val="en-CA"/>
              </w:rPr>
              <w:t xml:space="preserve">n interpreting Resolution </w:t>
            </w:r>
            <w:r w:rsidRPr="000F102F">
              <w:rPr>
                <w:b/>
                <w:bCs/>
                <w:iCs/>
                <w:szCs w:val="24"/>
                <w:lang w:val="en-CA"/>
              </w:rPr>
              <w:t>750 (Rev.WRC-15)</w:t>
            </w:r>
            <w:r w:rsidRPr="000F102F">
              <w:rPr>
                <w:iCs/>
                <w:szCs w:val="24"/>
                <w:lang w:val="en-CA"/>
              </w:rPr>
              <w:t>,</w:t>
            </w:r>
            <w:r w:rsidRPr="000F102F">
              <w:rPr>
                <w:i/>
                <w:szCs w:val="24"/>
                <w:lang w:val="en-CA"/>
              </w:rPr>
              <w:t xml:space="preserve"> resolves</w:t>
            </w:r>
            <w:r w:rsidRPr="000F102F">
              <w:rPr>
                <w:szCs w:val="24"/>
                <w:lang w:val="en-CA"/>
              </w:rPr>
              <w:t xml:space="preserve"> 1 and Table 1-1 of this resolution referred to mandatory limits while </w:t>
            </w:r>
            <w:r w:rsidRPr="000F102F">
              <w:rPr>
                <w:i/>
                <w:szCs w:val="24"/>
                <w:lang w:val="en-CA"/>
              </w:rPr>
              <w:t>resolves</w:t>
            </w:r>
            <w:r w:rsidRPr="000F102F">
              <w:rPr>
                <w:szCs w:val="24"/>
                <w:lang w:val="en-CA"/>
              </w:rPr>
              <w:t xml:space="preserve"> 2 and Table 1-2 of this resolution referred to non-mandatory limits.</w:t>
            </w:r>
          </w:p>
        </w:tc>
      </w:tr>
      <w:tr w:rsidR="008C42C7" w:rsidRPr="00B20114" w14:paraId="3EFECF4A" w14:textId="77777777" w:rsidTr="00CE6D50">
        <w:trPr>
          <w:trHeight w:val="1139"/>
        </w:trPr>
        <w:tc>
          <w:tcPr>
            <w:tcW w:w="1838" w:type="dxa"/>
            <w:vMerge w:val="restart"/>
          </w:tcPr>
          <w:p w14:paraId="6EA5D89E" w14:textId="4765A646" w:rsidR="008C42C7" w:rsidRDefault="008C42C7" w:rsidP="00431B02">
            <w:pPr>
              <w:jc w:val="left"/>
              <w:rPr>
                <w:b/>
              </w:rPr>
            </w:pPr>
            <w:r>
              <w:rPr>
                <w:b/>
              </w:rPr>
              <w:t xml:space="preserve">Document </w:t>
            </w:r>
            <w:hyperlink r:id="rId32" w:history="1">
              <w:r w:rsidRPr="002849C7">
                <w:rPr>
                  <w:rStyle w:val="Hyperlink"/>
                  <w:b/>
                </w:rPr>
                <w:t>CMR19/571</w:t>
              </w:r>
            </w:hyperlink>
            <w:r>
              <w:rPr>
                <w:b/>
              </w:rPr>
              <w:t xml:space="preserve"> – Minutes of </w:t>
            </w:r>
            <w:r w:rsidRPr="00B20114">
              <w:rPr>
                <w:b/>
              </w:rPr>
              <w:t xml:space="preserve">the </w:t>
            </w:r>
            <w:r>
              <w:rPr>
                <w:b/>
              </w:rPr>
              <w:t>ten</w:t>
            </w:r>
            <w:r w:rsidRPr="00B20114">
              <w:rPr>
                <w:b/>
              </w:rPr>
              <w:t>th Plenary meeting</w:t>
            </w:r>
          </w:p>
        </w:tc>
        <w:tc>
          <w:tcPr>
            <w:tcW w:w="1733" w:type="dxa"/>
          </w:tcPr>
          <w:p w14:paraId="6B7428D2" w14:textId="77777777" w:rsidR="008C42C7" w:rsidRDefault="008C42C7" w:rsidP="00431B02">
            <w:pPr>
              <w:jc w:val="left"/>
              <w:rPr>
                <w:rFonts w:cs="Times"/>
                <w:b/>
              </w:rPr>
            </w:pPr>
            <w:r>
              <w:rPr>
                <w:rFonts w:cs="Times"/>
                <w:b/>
              </w:rPr>
              <w:t>§§ 2.4 to 2.15</w:t>
            </w:r>
          </w:p>
          <w:p w14:paraId="624EF134" w14:textId="2C07120D"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33" w:history="1">
              <w:r w:rsidRPr="002849C7">
                <w:rPr>
                  <w:rStyle w:val="Hyperlink"/>
                  <w:rFonts w:cs="Times"/>
                  <w:b/>
                </w:rPr>
                <w:t>518</w:t>
              </w:r>
            </w:hyperlink>
          </w:p>
        </w:tc>
        <w:tc>
          <w:tcPr>
            <w:tcW w:w="10712" w:type="dxa"/>
          </w:tcPr>
          <w:p w14:paraId="09884DE8" w14:textId="77777777" w:rsidR="008C42C7" w:rsidRPr="005C675A" w:rsidRDefault="008C42C7" w:rsidP="00431B02">
            <w:r w:rsidRPr="005C675A">
              <w:t>WRC</w:t>
            </w:r>
            <w:r w:rsidRPr="005C675A">
              <w:noBreakHyphen/>
              <w:t>19 received several documents containing requests from notifying administrations regarding regulatory treatment for specific satellite networks. The results of WRC</w:t>
            </w:r>
            <w:r w:rsidRPr="005C675A">
              <w:noBreakHyphen/>
              <w:t>19 consideration of those requests is shown below.</w:t>
            </w:r>
          </w:p>
          <w:p w14:paraId="4D2173FA" w14:textId="77777777" w:rsidR="008C42C7" w:rsidRPr="009D79B1" w:rsidRDefault="008C42C7" w:rsidP="00431B02">
            <w:pPr>
              <w:pStyle w:val="Headingb"/>
              <w:rPr>
                <w:lang w:val="en-GB"/>
              </w:rPr>
            </w:pPr>
            <w:r w:rsidRPr="009D79B1">
              <w:rPr>
                <w:lang w:val="en-GB"/>
              </w:rPr>
              <w:t>Requests for WRC decisions on specific satellite network filings</w:t>
            </w:r>
          </w:p>
          <w:p w14:paraId="176B2E97" w14:textId="77777777" w:rsidR="008C42C7" w:rsidRPr="007A4E5D" w:rsidRDefault="008C42C7" w:rsidP="00431B02">
            <w:pPr>
              <w:pStyle w:val="Headingi"/>
            </w:pPr>
            <w:r w:rsidRPr="007A4E5D">
              <w:t>Request for ASIASAT-AK, ASIASAT-AK1 and ASIASAT-AKX satellite networks</w:t>
            </w:r>
          </w:p>
          <w:p w14:paraId="05E7187F" w14:textId="2CEB257C" w:rsidR="008C42C7" w:rsidRDefault="008C42C7" w:rsidP="00431B02">
            <w:r w:rsidRPr="005C675A">
              <w:t>WRC</w:t>
            </w:r>
            <w:r w:rsidRPr="005C675A">
              <w:noBreakHyphen/>
              <w:t xml:space="preserve">19 considered the specific request made by China in Document </w:t>
            </w:r>
            <w:r w:rsidRPr="00A13842">
              <w:t>28(Add.22)</w:t>
            </w:r>
            <w:r w:rsidRPr="005C675A">
              <w:t xml:space="preserve"> regarding the validity of certain C- and Ku-band assignments to the Chinese satellite networks ASIASAT-AK, ASIASAT-AK1 and ASIASAT-AKX. After considering the content of Document </w:t>
            </w:r>
            <w:r w:rsidRPr="00A13842">
              <w:t>28(Add.22)</w:t>
            </w:r>
            <w:r w:rsidRPr="005C675A">
              <w:t xml:space="preserve"> and the particular issues raised therein, WRC</w:t>
            </w:r>
            <w:r w:rsidRPr="005C675A">
              <w:noBreakHyphen/>
              <w:t>19 decided to accede to the request contained in Document </w:t>
            </w:r>
            <w:r w:rsidRPr="00A13842">
              <w:t>28(Add.22)</w:t>
            </w:r>
            <w:r w:rsidRPr="005C675A">
              <w:t xml:space="preserve"> and consequently instructed the Radiocommunication Bureau to maintain in the Master International Frequency Register the frequency assignments to the ASIASAT-AK, ASIASAT-AK1 and ASIASAT-AKX satellite networks listed in the table below.</w:t>
            </w:r>
          </w:p>
          <w:p w14:paraId="5409DA0A" w14:textId="18FEA33A" w:rsidR="00CE6D50" w:rsidRDefault="00CE6D50" w:rsidP="00431B02"/>
          <w:p w14:paraId="7BC8A9A1" w14:textId="5C208337" w:rsidR="00CE6D50" w:rsidRDefault="00CE6D50" w:rsidP="00431B02"/>
          <w:p w14:paraId="6656CD63" w14:textId="2B124B33" w:rsidR="00CE6D50" w:rsidRDefault="00CE6D50" w:rsidP="00431B02"/>
          <w:p w14:paraId="77DB9D25" w14:textId="77777777" w:rsidR="00CE6D50" w:rsidRDefault="00CE6D50" w:rsidP="00431B02"/>
          <w:p w14:paraId="7E96062E" w14:textId="77777777" w:rsidR="008C42C7" w:rsidRDefault="008C42C7" w:rsidP="00431B02"/>
          <w:p w14:paraId="0DA3781D" w14:textId="77777777" w:rsidR="008C42C7" w:rsidRPr="005C675A" w:rsidRDefault="008C42C7" w:rsidP="00431B02"/>
          <w:tbl>
            <w:tblPr>
              <w:tblW w:w="6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004"/>
              <w:gridCol w:w="1753"/>
              <w:gridCol w:w="1791"/>
            </w:tblGrid>
            <w:tr w:rsidR="008C42C7" w:rsidRPr="00C02055" w14:paraId="7042F7BC" w14:textId="77777777" w:rsidTr="00431B02">
              <w:trPr>
                <w:cantSplit/>
                <w:trHeight w:val="300"/>
                <w:tblHeader/>
                <w:jc w:val="center"/>
              </w:trPr>
              <w:tc>
                <w:tcPr>
                  <w:tcW w:w="1922" w:type="dxa"/>
                  <w:shd w:val="clear" w:color="auto" w:fill="D9D9D9"/>
                  <w:noWrap/>
                  <w:vAlign w:val="center"/>
                  <w:hideMark/>
                </w:tcPr>
                <w:p w14:paraId="534397F2" w14:textId="77777777" w:rsidR="008C42C7" w:rsidRPr="00C02055" w:rsidRDefault="008C42C7" w:rsidP="00431B02">
                  <w:pPr>
                    <w:pStyle w:val="Tablehead"/>
                  </w:pPr>
                  <w:r w:rsidRPr="00C02055">
                    <w:t>Satellite Network</w:t>
                  </w:r>
                </w:p>
              </w:tc>
              <w:tc>
                <w:tcPr>
                  <w:tcW w:w="1004" w:type="dxa"/>
                  <w:shd w:val="clear" w:color="auto" w:fill="D9D9D9"/>
                  <w:noWrap/>
                  <w:vAlign w:val="center"/>
                  <w:hideMark/>
                </w:tcPr>
                <w:p w14:paraId="63290D95" w14:textId="77777777" w:rsidR="008C42C7" w:rsidRPr="00C02055" w:rsidRDefault="008C42C7" w:rsidP="00431B02">
                  <w:pPr>
                    <w:pStyle w:val="Tablehead"/>
                  </w:pPr>
                  <w:r w:rsidRPr="00C02055">
                    <w:t>Long</w:t>
                  </w:r>
                </w:p>
              </w:tc>
              <w:tc>
                <w:tcPr>
                  <w:tcW w:w="1753" w:type="dxa"/>
                  <w:shd w:val="clear" w:color="auto" w:fill="D9D9D9"/>
                  <w:noWrap/>
                  <w:vAlign w:val="center"/>
                  <w:hideMark/>
                </w:tcPr>
                <w:p w14:paraId="38FAF1D5" w14:textId="77777777" w:rsidR="008C42C7" w:rsidRPr="00C02055" w:rsidRDefault="008C42C7" w:rsidP="00431B02">
                  <w:pPr>
                    <w:pStyle w:val="Tablehead"/>
                  </w:pPr>
                  <w:r w:rsidRPr="00C02055">
                    <w:t>Min Freq (MHz)</w:t>
                  </w:r>
                </w:p>
              </w:tc>
              <w:tc>
                <w:tcPr>
                  <w:tcW w:w="1791" w:type="dxa"/>
                  <w:shd w:val="clear" w:color="auto" w:fill="D9D9D9"/>
                  <w:noWrap/>
                  <w:vAlign w:val="center"/>
                  <w:hideMark/>
                </w:tcPr>
                <w:p w14:paraId="0E1C5704" w14:textId="77777777" w:rsidR="008C42C7" w:rsidRPr="00C02055" w:rsidRDefault="008C42C7" w:rsidP="00431B02">
                  <w:pPr>
                    <w:pStyle w:val="Tablehead"/>
                  </w:pPr>
                  <w:r w:rsidRPr="00C02055">
                    <w:t>Max Freq (MHz)</w:t>
                  </w:r>
                </w:p>
              </w:tc>
            </w:tr>
            <w:tr w:rsidR="008C42C7" w:rsidRPr="00C02055" w14:paraId="2EF8E9CE" w14:textId="77777777" w:rsidTr="00431B02">
              <w:trPr>
                <w:trHeight w:val="300"/>
                <w:jc w:val="center"/>
              </w:trPr>
              <w:tc>
                <w:tcPr>
                  <w:tcW w:w="1922" w:type="dxa"/>
                  <w:noWrap/>
                  <w:vAlign w:val="center"/>
                </w:tcPr>
                <w:p w14:paraId="5426EBD8" w14:textId="77777777" w:rsidR="008C42C7" w:rsidRPr="00C02055" w:rsidRDefault="008C42C7" w:rsidP="00431B02">
                  <w:pPr>
                    <w:pStyle w:val="Tabletext"/>
                    <w:jc w:val="center"/>
                  </w:pPr>
                  <w:r w:rsidRPr="00C02055">
                    <w:t>ASIASAT-AK</w:t>
                  </w:r>
                </w:p>
              </w:tc>
              <w:tc>
                <w:tcPr>
                  <w:tcW w:w="1004" w:type="dxa"/>
                  <w:noWrap/>
                </w:tcPr>
                <w:p w14:paraId="7432A3BE" w14:textId="77777777" w:rsidR="008C42C7" w:rsidRPr="00C02055" w:rsidRDefault="008C42C7" w:rsidP="00431B02">
                  <w:pPr>
                    <w:pStyle w:val="Tabletext"/>
                    <w:jc w:val="center"/>
                  </w:pPr>
                  <w:r w:rsidRPr="00C02055">
                    <w:t>122°E</w:t>
                  </w:r>
                </w:p>
              </w:tc>
              <w:tc>
                <w:tcPr>
                  <w:tcW w:w="1753" w:type="dxa"/>
                  <w:noWrap/>
                  <w:vAlign w:val="center"/>
                </w:tcPr>
                <w:p w14:paraId="55C0ADE7" w14:textId="77777777" w:rsidR="008C42C7" w:rsidRPr="00C02055" w:rsidRDefault="008C42C7" w:rsidP="00431B02">
                  <w:pPr>
                    <w:pStyle w:val="Tabletext"/>
                    <w:jc w:val="center"/>
                  </w:pPr>
                  <w:r w:rsidRPr="00C02055">
                    <w:t>6 425</w:t>
                  </w:r>
                </w:p>
              </w:tc>
              <w:tc>
                <w:tcPr>
                  <w:tcW w:w="1791" w:type="dxa"/>
                  <w:noWrap/>
                  <w:vAlign w:val="center"/>
                </w:tcPr>
                <w:p w14:paraId="5BDC56C0" w14:textId="77777777" w:rsidR="008C42C7" w:rsidRPr="00C02055" w:rsidRDefault="008C42C7" w:rsidP="00431B02">
                  <w:pPr>
                    <w:pStyle w:val="Tabletext"/>
                    <w:jc w:val="center"/>
                  </w:pPr>
                  <w:r w:rsidRPr="00C02055">
                    <w:t>6 723</w:t>
                  </w:r>
                </w:p>
              </w:tc>
            </w:tr>
            <w:tr w:rsidR="008C42C7" w:rsidRPr="00C02055" w14:paraId="293D777F" w14:textId="77777777" w:rsidTr="00431B02">
              <w:trPr>
                <w:trHeight w:val="300"/>
                <w:jc w:val="center"/>
              </w:trPr>
              <w:tc>
                <w:tcPr>
                  <w:tcW w:w="1922" w:type="dxa"/>
                  <w:noWrap/>
                  <w:vAlign w:val="center"/>
                </w:tcPr>
                <w:p w14:paraId="1E2E4673" w14:textId="77777777" w:rsidR="008C42C7" w:rsidRPr="00C02055" w:rsidRDefault="008C42C7" w:rsidP="00431B02">
                  <w:pPr>
                    <w:pStyle w:val="Tabletext"/>
                    <w:jc w:val="center"/>
                  </w:pPr>
                  <w:r w:rsidRPr="00C02055">
                    <w:t>ASIASAT-AK</w:t>
                  </w:r>
                </w:p>
              </w:tc>
              <w:tc>
                <w:tcPr>
                  <w:tcW w:w="1004" w:type="dxa"/>
                  <w:noWrap/>
                </w:tcPr>
                <w:p w14:paraId="70516F9C" w14:textId="77777777" w:rsidR="008C42C7" w:rsidRPr="00C02055" w:rsidRDefault="008C42C7" w:rsidP="00431B02">
                  <w:pPr>
                    <w:pStyle w:val="Tabletext"/>
                    <w:jc w:val="center"/>
                  </w:pPr>
                  <w:r w:rsidRPr="00C02055">
                    <w:t>122°E</w:t>
                  </w:r>
                </w:p>
              </w:tc>
              <w:tc>
                <w:tcPr>
                  <w:tcW w:w="1753" w:type="dxa"/>
                  <w:noWrap/>
                  <w:vAlign w:val="center"/>
                </w:tcPr>
                <w:p w14:paraId="7F339899" w14:textId="77777777" w:rsidR="008C42C7" w:rsidRPr="00C02055" w:rsidRDefault="008C42C7" w:rsidP="00431B02">
                  <w:pPr>
                    <w:pStyle w:val="Tabletext"/>
                    <w:jc w:val="center"/>
                  </w:pPr>
                  <w:r w:rsidRPr="00C02055">
                    <w:t>10 950</w:t>
                  </w:r>
                </w:p>
              </w:tc>
              <w:tc>
                <w:tcPr>
                  <w:tcW w:w="1791" w:type="dxa"/>
                  <w:noWrap/>
                  <w:vAlign w:val="center"/>
                </w:tcPr>
                <w:p w14:paraId="79721931" w14:textId="77777777" w:rsidR="008C42C7" w:rsidRPr="00C02055" w:rsidRDefault="008C42C7" w:rsidP="00431B02">
                  <w:pPr>
                    <w:pStyle w:val="Tabletext"/>
                    <w:jc w:val="center"/>
                  </w:pPr>
                  <w:r w:rsidRPr="00C02055">
                    <w:t>11 197</w:t>
                  </w:r>
                </w:p>
              </w:tc>
            </w:tr>
            <w:tr w:rsidR="008C42C7" w:rsidRPr="00C02055" w14:paraId="1D820934" w14:textId="77777777" w:rsidTr="00431B02">
              <w:trPr>
                <w:trHeight w:val="300"/>
                <w:jc w:val="center"/>
              </w:trPr>
              <w:tc>
                <w:tcPr>
                  <w:tcW w:w="1922" w:type="dxa"/>
                  <w:noWrap/>
                  <w:vAlign w:val="center"/>
                </w:tcPr>
                <w:p w14:paraId="361DFF01" w14:textId="77777777" w:rsidR="008C42C7" w:rsidRPr="00C02055" w:rsidRDefault="008C42C7" w:rsidP="00431B02">
                  <w:pPr>
                    <w:pStyle w:val="Tabletext"/>
                    <w:jc w:val="center"/>
                  </w:pPr>
                  <w:r w:rsidRPr="00C02055">
                    <w:t>ASIASAT-AK</w:t>
                  </w:r>
                </w:p>
              </w:tc>
              <w:tc>
                <w:tcPr>
                  <w:tcW w:w="1004" w:type="dxa"/>
                  <w:noWrap/>
                </w:tcPr>
                <w:p w14:paraId="37CCA839" w14:textId="77777777" w:rsidR="008C42C7" w:rsidRPr="00C02055" w:rsidRDefault="008C42C7" w:rsidP="00431B02">
                  <w:pPr>
                    <w:pStyle w:val="Tabletext"/>
                    <w:jc w:val="center"/>
                  </w:pPr>
                  <w:r w:rsidRPr="00C02055">
                    <w:t>122°E</w:t>
                  </w:r>
                </w:p>
              </w:tc>
              <w:tc>
                <w:tcPr>
                  <w:tcW w:w="1753" w:type="dxa"/>
                  <w:noWrap/>
                  <w:vAlign w:val="center"/>
                </w:tcPr>
                <w:p w14:paraId="415E6AE6" w14:textId="77777777" w:rsidR="008C42C7" w:rsidRPr="00C02055" w:rsidRDefault="008C42C7" w:rsidP="00431B02">
                  <w:pPr>
                    <w:pStyle w:val="Tabletext"/>
                    <w:jc w:val="center"/>
                  </w:pPr>
                  <w:r w:rsidRPr="00C02055">
                    <w:t>11 453</w:t>
                  </w:r>
                </w:p>
              </w:tc>
              <w:tc>
                <w:tcPr>
                  <w:tcW w:w="1791" w:type="dxa"/>
                  <w:noWrap/>
                  <w:vAlign w:val="center"/>
                </w:tcPr>
                <w:p w14:paraId="5E37CB60" w14:textId="77777777" w:rsidR="008C42C7" w:rsidRPr="00C02055" w:rsidRDefault="008C42C7" w:rsidP="00431B02">
                  <w:pPr>
                    <w:pStyle w:val="Tabletext"/>
                    <w:jc w:val="center"/>
                  </w:pPr>
                  <w:r w:rsidRPr="00C02055">
                    <w:t>11 700</w:t>
                  </w:r>
                </w:p>
              </w:tc>
            </w:tr>
            <w:tr w:rsidR="008C42C7" w:rsidRPr="00C02055" w14:paraId="18D56C96" w14:textId="77777777" w:rsidTr="00431B02">
              <w:trPr>
                <w:trHeight w:val="300"/>
                <w:jc w:val="center"/>
              </w:trPr>
              <w:tc>
                <w:tcPr>
                  <w:tcW w:w="1922" w:type="dxa"/>
                  <w:noWrap/>
                  <w:vAlign w:val="center"/>
                </w:tcPr>
                <w:p w14:paraId="20A7D5E0" w14:textId="77777777" w:rsidR="008C42C7" w:rsidRPr="00C02055" w:rsidRDefault="008C42C7" w:rsidP="00431B02">
                  <w:pPr>
                    <w:pStyle w:val="Tabletext"/>
                    <w:jc w:val="center"/>
                  </w:pPr>
                  <w:r w:rsidRPr="00C02055">
                    <w:t>ASIASAT-AK1</w:t>
                  </w:r>
                </w:p>
              </w:tc>
              <w:tc>
                <w:tcPr>
                  <w:tcW w:w="1004" w:type="dxa"/>
                  <w:noWrap/>
                </w:tcPr>
                <w:p w14:paraId="61C4BEE0" w14:textId="77777777" w:rsidR="008C42C7" w:rsidRPr="00C02055" w:rsidRDefault="008C42C7" w:rsidP="00431B02">
                  <w:pPr>
                    <w:pStyle w:val="Tabletext"/>
                    <w:jc w:val="center"/>
                  </w:pPr>
                  <w:r w:rsidRPr="00C02055">
                    <w:t>122°E</w:t>
                  </w:r>
                </w:p>
              </w:tc>
              <w:tc>
                <w:tcPr>
                  <w:tcW w:w="1753" w:type="dxa"/>
                  <w:noWrap/>
                  <w:vAlign w:val="center"/>
                </w:tcPr>
                <w:p w14:paraId="53DB82AC" w14:textId="77777777" w:rsidR="008C42C7" w:rsidRPr="00C02055" w:rsidRDefault="008C42C7" w:rsidP="00431B02">
                  <w:pPr>
                    <w:pStyle w:val="Tabletext"/>
                    <w:jc w:val="center"/>
                  </w:pPr>
                  <w:r w:rsidRPr="00C02055">
                    <w:t>12 200</w:t>
                  </w:r>
                </w:p>
              </w:tc>
              <w:tc>
                <w:tcPr>
                  <w:tcW w:w="1791" w:type="dxa"/>
                  <w:noWrap/>
                  <w:vAlign w:val="center"/>
                </w:tcPr>
                <w:p w14:paraId="2730DE85" w14:textId="77777777" w:rsidR="008C42C7" w:rsidRPr="00C02055" w:rsidRDefault="008C42C7" w:rsidP="00431B02">
                  <w:pPr>
                    <w:pStyle w:val="Tabletext"/>
                    <w:jc w:val="center"/>
                  </w:pPr>
                  <w:r w:rsidRPr="00C02055">
                    <w:t>12 250</w:t>
                  </w:r>
                </w:p>
              </w:tc>
            </w:tr>
            <w:tr w:rsidR="008C42C7" w:rsidRPr="00C02055" w14:paraId="2EA4D327" w14:textId="77777777" w:rsidTr="00431B02">
              <w:trPr>
                <w:trHeight w:val="300"/>
                <w:jc w:val="center"/>
              </w:trPr>
              <w:tc>
                <w:tcPr>
                  <w:tcW w:w="1922" w:type="dxa"/>
                  <w:noWrap/>
                  <w:vAlign w:val="center"/>
                </w:tcPr>
                <w:p w14:paraId="4EB368EB" w14:textId="77777777" w:rsidR="008C42C7" w:rsidRPr="00C02055" w:rsidRDefault="008C42C7" w:rsidP="00431B02">
                  <w:pPr>
                    <w:pStyle w:val="Tabletext"/>
                    <w:jc w:val="center"/>
                  </w:pPr>
                  <w:r w:rsidRPr="00C02055">
                    <w:t>ASIASAT-AKX</w:t>
                  </w:r>
                </w:p>
              </w:tc>
              <w:tc>
                <w:tcPr>
                  <w:tcW w:w="1004" w:type="dxa"/>
                  <w:noWrap/>
                </w:tcPr>
                <w:p w14:paraId="53CCE293" w14:textId="77777777" w:rsidR="008C42C7" w:rsidRPr="00C02055" w:rsidRDefault="008C42C7" w:rsidP="00431B02">
                  <w:pPr>
                    <w:pStyle w:val="Tabletext"/>
                    <w:jc w:val="center"/>
                  </w:pPr>
                  <w:r w:rsidRPr="00C02055">
                    <w:t>122°E</w:t>
                  </w:r>
                </w:p>
              </w:tc>
              <w:tc>
                <w:tcPr>
                  <w:tcW w:w="1753" w:type="dxa"/>
                  <w:noWrap/>
                  <w:vAlign w:val="center"/>
                </w:tcPr>
                <w:p w14:paraId="761D0E1F" w14:textId="77777777" w:rsidR="008C42C7" w:rsidRPr="00C02055" w:rsidRDefault="008C42C7" w:rsidP="00431B02">
                  <w:pPr>
                    <w:pStyle w:val="Tabletext"/>
                    <w:jc w:val="center"/>
                  </w:pPr>
                  <w:r w:rsidRPr="00C02055">
                    <w:t>6 425</w:t>
                  </w:r>
                </w:p>
              </w:tc>
              <w:tc>
                <w:tcPr>
                  <w:tcW w:w="1791" w:type="dxa"/>
                  <w:noWrap/>
                  <w:vAlign w:val="center"/>
                </w:tcPr>
                <w:p w14:paraId="53B3AA9B" w14:textId="77777777" w:rsidR="008C42C7" w:rsidRPr="00C02055" w:rsidRDefault="008C42C7" w:rsidP="00431B02">
                  <w:pPr>
                    <w:pStyle w:val="Tabletext"/>
                    <w:jc w:val="center"/>
                  </w:pPr>
                  <w:r w:rsidRPr="00C02055">
                    <w:t>6 725</w:t>
                  </w:r>
                </w:p>
              </w:tc>
            </w:tr>
            <w:tr w:rsidR="008C42C7" w:rsidRPr="00C02055" w14:paraId="7D13A9EC" w14:textId="77777777" w:rsidTr="00431B02">
              <w:trPr>
                <w:trHeight w:val="300"/>
                <w:jc w:val="center"/>
              </w:trPr>
              <w:tc>
                <w:tcPr>
                  <w:tcW w:w="1922" w:type="dxa"/>
                  <w:noWrap/>
                  <w:vAlign w:val="center"/>
                </w:tcPr>
                <w:p w14:paraId="044546A7" w14:textId="77777777" w:rsidR="008C42C7" w:rsidRPr="00C02055" w:rsidRDefault="008C42C7" w:rsidP="00431B02">
                  <w:pPr>
                    <w:pStyle w:val="Tabletext"/>
                    <w:jc w:val="center"/>
                  </w:pPr>
                  <w:r w:rsidRPr="00C02055">
                    <w:t>ASIASAT-AKX</w:t>
                  </w:r>
                </w:p>
              </w:tc>
              <w:tc>
                <w:tcPr>
                  <w:tcW w:w="1004" w:type="dxa"/>
                  <w:noWrap/>
                </w:tcPr>
                <w:p w14:paraId="70B43315" w14:textId="77777777" w:rsidR="008C42C7" w:rsidRPr="00C02055" w:rsidRDefault="008C42C7" w:rsidP="00431B02">
                  <w:pPr>
                    <w:pStyle w:val="Tabletext"/>
                    <w:jc w:val="center"/>
                  </w:pPr>
                  <w:r w:rsidRPr="00C02055">
                    <w:t>122°E</w:t>
                  </w:r>
                </w:p>
              </w:tc>
              <w:tc>
                <w:tcPr>
                  <w:tcW w:w="1753" w:type="dxa"/>
                  <w:noWrap/>
                  <w:vAlign w:val="center"/>
                </w:tcPr>
                <w:p w14:paraId="4C18923B" w14:textId="77777777" w:rsidR="008C42C7" w:rsidRPr="00C02055" w:rsidRDefault="008C42C7" w:rsidP="00431B02">
                  <w:pPr>
                    <w:pStyle w:val="Tabletext"/>
                    <w:jc w:val="center"/>
                  </w:pPr>
                  <w:r w:rsidRPr="00C02055">
                    <w:t>10 953</w:t>
                  </w:r>
                </w:p>
              </w:tc>
              <w:tc>
                <w:tcPr>
                  <w:tcW w:w="1791" w:type="dxa"/>
                  <w:noWrap/>
                  <w:vAlign w:val="center"/>
                </w:tcPr>
                <w:p w14:paraId="65AEC6F6" w14:textId="77777777" w:rsidR="008C42C7" w:rsidRPr="00C02055" w:rsidRDefault="008C42C7" w:rsidP="00431B02">
                  <w:pPr>
                    <w:pStyle w:val="Tabletext"/>
                    <w:jc w:val="center"/>
                  </w:pPr>
                  <w:r w:rsidRPr="00C02055">
                    <w:t>11 200</w:t>
                  </w:r>
                </w:p>
              </w:tc>
            </w:tr>
            <w:tr w:rsidR="008C42C7" w:rsidRPr="00C02055" w14:paraId="17A4E425" w14:textId="77777777" w:rsidTr="00431B02">
              <w:trPr>
                <w:trHeight w:val="300"/>
                <w:jc w:val="center"/>
              </w:trPr>
              <w:tc>
                <w:tcPr>
                  <w:tcW w:w="1922" w:type="dxa"/>
                  <w:noWrap/>
                  <w:vAlign w:val="center"/>
                </w:tcPr>
                <w:p w14:paraId="766ACBC6" w14:textId="77777777" w:rsidR="008C42C7" w:rsidRPr="00C02055" w:rsidRDefault="008C42C7" w:rsidP="00431B02">
                  <w:pPr>
                    <w:pStyle w:val="Tabletext"/>
                    <w:jc w:val="center"/>
                  </w:pPr>
                  <w:r w:rsidRPr="00C02055">
                    <w:t>ASIASAT-AKX</w:t>
                  </w:r>
                </w:p>
              </w:tc>
              <w:tc>
                <w:tcPr>
                  <w:tcW w:w="1004" w:type="dxa"/>
                  <w:noWrap/>
                </w:tcPr>
                <w:p w14:paraId="7A1873AC" w14:textId="77777777" w:rsidR="008C42C7" w:rsidRPr="00C02055" w:rsidRDefault="008C42C7" w:rsidP="00431B02">
                  <w:pPr>
                    <w:pStyle w:val="Tabletext"/>
                    <w:jc w:val="center"/>
                  </w:pPr>
                  <w:r w:rsidRPr="00C02055">
                    <w:t>122°E</w:t>
                  </w:r>
                </w:p>
              </w:tc>
              <w:tc>
                <w:tcPr>
                  <w:tcW w:w="1753" w:type="dxa"/>
                  <w:noWrap/>
                  <w:vAlign w:val="center"/>
                </w:tcPr>
                <w:p w14:paraId="171A7A5C" w14:textId="77777777" w:rsidR="008C42C7" w:rsidRPr="00C02055" w:rsidRDefault="008C42C7" w:rsidP="00431B02">
                  <w:pPr>
                    <w:pStyle w:val="Tabletext"/>
                    <w:jc w:val="center"/>
                  </w:pPr>
                  <w:r w:rsidRPr="00C02055">
                    <w:t>11 450</w:t>
                  </w:r>
                </w:p>
              </w:tc>
              <w:tc>
                <w:tcPr>
                  <w:tcW w:w="1791" w:type="dxa"/>
                  <w:noWrap/>
                  <w:vAlign w:val="center"/>
                </w:tcPr>
                <w:p w14:paraId="6DD4CC0C" w14:textId="77777777" w:rsidR="008C42C7" w:rsidRPr="00C02055" w:rsidRDefault="008C42C7" w:rsidP="00431B02">
                  <w:pPr>
                    <w:pStyle w:val="Tabletext"/>
                    <w:jc w:val="center"/>
                  </w:pPr>
                  <w:r w:rsidRPr="00C02055">
                    <w:t>11 699</w:t>
                  </w:r>
                </w:p>
              </w:tc>
            </w:tr>
            <w:tr w:rsidR="008C42C7" w:rsidRPr="00C02055" w14:paraId="4E1F96D6" w14:textId="77777777" w:rsidTr="00431B02">
              <w:trPr>
                <w:trHeight w:val="300"/>
                <w:jc w:val="center"/>
              </w:trPr>
              <w:tc>
                <w:tcPr>
                  <w:tcW w:w="1922" w:type="dxa"/>
                  <w:noWrap/>
                  <w:vAlign w:val="center"/>
                </w:tcPr>
                <w:p w14:paraId="2BD1159E" w14:textId="77777777" w:rsidR="008C42C7" w:rsidRPr="00C02055" w:rsidRDefault="008C42C7" w:rsidP="00431B02">
                  <w:pPr>
                    <w:pStyle w:val="Tabletext"/>
                    <w:jc w:val="center"/>
                  </w:pPr>
                  <w:r w:rsidRPr="00C02055">
                    <w:t>ASIASAT-AKX</w:t>
                  </w:r>
                </w:p>
              </w:tc>
              <w:tc>
                <w:tcPr>
                  <w:tcW w:w="1004" w:type="dxa"/>
                  <w:noWrap/>
                </w:tcPr>
                <w:p w14:paraId="0F370E64" w14:textId="77777777" w:rsidR="008C42C7" w:rsidRPr="00C02055" w:rsidRDefault="008C42C7" w:rsidP="00431B02">
                  <w:pPr>
                    <w:pStyle w:val="Tabletext"/>
                    <w:jc w:val="center"/>
                  </w:pPr>
                  <w:r w:rsidRPr="00C02055">
                    <w:t>122°E</w:t>
                  </w:r>
                </w:p>
              </w:tc>
              <w:tc>
                <w:tcPr>
                  <w:tcW w:w="1753" w:type="dxa"/>
                  <w:noWrap/>
                  <w:vAlign w:val="center"/>
                </w:tcPr>
                <w:p w14:paraId="4E2FCA73" w14:textId="77777777" w:rsidR="008C42C7" w:rsidRPr="00C02055" w:rsidRDefault="008C42C7" w:rsidP="00431B02">
                  <w:pPr>
                    <w:pStyle w:val="Tabletext"/>
                    <w:jc w:val="center"/>
                  </w:pPr>
                  <w:r w:rsidRPr="00C02055">
                    <w:t>13 753</w:t>
                  </w:r>
                </w:p>
              </w:tc>
              <w:tc>
                <w:tcPr>
                  <w:tcW w:w="1791" w:type="dxa"/>
                  <w:noWrap/>
                  <w:vAlign w:val="center"/>
                </w:tcPr>
                <w:p w14:paraId="1A76797E" w14:textId="77777777" w:rsidR="008C42C7" w:rsidRPr="00C02055" w:rsidRDefault="008C42C7" w:rsidP="00431B02">
                  <w:pPr>
                    <w:pStyle w:val="Tabletext"/>
                    <w:jc w:val="center"/>
                  </w:pPr>
                  <w:r w:rsidRPr="00C02055">
                    <w:t>14 000</w:t>
                  </w:r>
                </w:p>
              </w:tc>
            </w:tr>
          </w:tbl>
          <w:p w14:paraId="2CEA7532" w14:textId="77777777" w:rsidR="008C42C7" w:rsidRPr="007A4E5D" w:rsidRDefault="008C42C7" w:rsidP="00431B02">
            <w:pPr>
              <w:pStyle w:val="Headingi"/>
            </w:pPr>
            <w:r w:rsidRPr="007A4E5D">
              <w:t>Request for INTELSAT8 328.5E and INTELSAT9 328.5E satellite networks</w:t>
            </w:r>
          </w:p>
          <w:p w14:paraId="399ED6C2" w14:textId="77777777" w:rsidR="008C42C7" w:rsidRPr="005C675A" w:rsidRDefault="008C42C7" w:rsidP="00431B02">
            <w:r w:rsidRPr="005C675A">
              <w:t>WRC</w:t>
            </w:r>
            <w:r w:rsidRPr="005C675A">
              <w:noBreakHyphen/>
              <w:t xml:space="preserve">19 considered the specific request in Document </w:t>
            </w:r>
            <w:r w:rsidRPr="00A13842">
              <w:t>46(Add.22)</w:t>
            </w:r>
            <w:r w:rsidRPr="005C675A">
              <w:t xml:space="preserve"> regarding the retention of frequency assignments to the INTELSAT8 328.5E and INTELSAT9 328.5E satellite networks in the frequency bands 10 950</w:t>
            </w:r>
            <w:r w:rsidRPr="005C675A">
              <w:noBreakHyphen/>
              <w:t>11 195 MHz and 11 197.98</w:t>
            </w:r>
            <w:r w:rsidRPr="005C675A">
              <w:noBreakHyphen/>
              <w:t>11 198.03 </w:t>
            </w:r>
            <w:proofErr w:type="spellStart"/>
            <w:r w:rsidRPr="005C675A">
              <w:t>MHz.</w:t>
            </w:r>
            <w:proofErr w:type="spellEnd"/>
            <w:r w:rsidRPr="005C675A">
              <w:t xml:space="preserve"> WRC</w:t>
            </w:r>
            <w:r w:rsidRPr="005C675A">
              <w:noBreakHyphen/>
              <w:t xml:space="preserve">19 decided to accede to the specific request made in that document given the </w:t>
            </w:r>
            <w:proofErr w:type="gramStart"/>
            <w:r w:rsidRPr="005C675A">
              <w:t>particular issues</w:t>
            </w:r>
            <w:proofErr w:type="gramEnd"/>
            <w:r w:rsidRPr="005C675A">
              <w:t xml:space="preserve"> raised in the document. WRC</w:t>
            </w:r>
            <w:r w:rsidRPr="005C675A">
              <w:noBreakHyphen/>
              <w:t xml:space="preserve">19 consequently instructed the Radiocommunication Bureau to maintain the above-mentioned frequency assignments in the Master International Frequency Register. </w:t>
            </w:r>
          </w:p>
          <w:p w14:paraId="1DA190EB" w14:textId="77777777" w:rsidR="008C42C7" w:rsidRPr="009D79B1" w:rsidRDefault="008C42C7" w:rsidP="00ED3B2E">
            <w:pPr>
              <w:pStyle w:val="Headingb"/>
              <w:jc w:val="center"/>
            </w:pPr>
            <w:r w:rsidRPr="009D79B1">
              <w:t>Request for inclusion in the RR Appendix 30 and 30A Plans of 10 assignments at orbital position 1.9</w:t>
            </w:r>
            <w:r w:rsidRPr="009D79B1">
              <w:sym w:font="Symbol" w:char="F0B0"/>
            </w:r>
            <w:r w:rsidRPr="009D79B1">
              <w:t xml:space="preserve"> E, in replacement of Bulgaria’s assignments appearing in the current Plans at 1.2</w:t>
            </w:r>
            <w:r w:rsidRPr="009D79B1">
              <w:sym w:font="Symbol" w:char="F0B0"/>
            </w:r>
            <w:r w:rsidRPr="009D79B1">
              <w:t> W</w:t>
            </w:r>
          </w:p>
          <w:p w14:paraId="5A4142F0" w14:textId="77777777" w:rsidR="008C42C7" w:rsidRPr="005C675A" w:rsidRDefault="008C42C7" w:rsidP="00431B02">
            <w:r w:rsidRPr="005C675A">
              <w:t>WRC</w:t>
            </w:r>
            <w:r w:rsidRPr="005C675A">
              <w:noBreakHyphen/>
              <w:t xml:space="preserve">19 considered the specific request in Document </w:t>
            </w:r>
            <w:r w:rsidRPr="00A13842">
              <w:t>43(Add.2)</w:t>
            </w:r>
            <w:r w:rsidRPr="005C675A">
              <w:t xml:space="preserve"> to consider the inclusion in the </w:t>
            </w:r>
            <w:r w:rsidRPr="005C675A">
              <w:rPr>
                <w:rFonts w:ascii="Roboto" w:hAnsi="Roboto"/>
                <w:szCs w:val="24"/>
              </w:rPr>
              <w:t xml:space="preserve">RR </w:t>
            </w:r>
            <w:r w:rsidRPr="005C675A">
              <w:t>Appendix </w:t>
            </w:r>
            <w:r w:rsidRPr="005C675A">
              <w:rPr>
                <w:b/>
                <w:bCs/>
              </w:rPr>
              <w:t>30</w:t>
            </w:r>
            <w:r w:rsidRPr="005C675A">
              <w:t xml:space="preserve"> and </w:t>
            </w:r>
            <w:r w:rsidRPr="005C675A">
              <w:rPr>
                <w:b/>
                <w:bCs/>
              </w:rPr>
              <w:t>30A</w:t>
            </w:r>
            <w:r w:rsidRPr="005C675A">
              <w:t xml:space="preserve"> Plans of 10 assignments at orbital position 1.9</w:t>
            </w:r>
            <w:r w:rsidRPr="005C675A">
              <w:rPr>
                <w:szCs w:val="24"/>
              </w:rPr>
              <w:sym w:font="Symbol" w:char="F0B0"/>
            </w:r>
            <w:r w:rsidRPr="005C675A">
              <w:rPr>
                <w:szCs w:val="24"/>
              </w:rPr>
              <w:t> </w:t>
            </w:r>
            <w:r w:rsidRPr="005C675A">
              <w:t>E, in replacement of Bulgaria’s assignments appearing in the current Plans at 1.2</w:t>
            </w:r>
            <w:r w:rsidRPr="005C675A">
              <w:rPr>
                <w:szCs w:val="24"/>
              </w:rPr>
              <w:sym w:font="Symbol" w:char="F0B0"/>
            </w:r>
            <w:r w:rsidRPr="005C675A">
              <w:rPr>
                <w:szCs w:val="24"/>
              </w:rPr>
              <w:t> </w:t>
            </w:r>
            <w:r w:rsidRPr="005C675A">
              <w:t xml:space="preserve">W, pursuant to paragraph 4.1.27 of Article 4 of </w:t>
            </w:r>
            <w:r w:rsidRPr="005C675A">
              <w:rPr>
                <w:rFonts w:ascii="Roboto" w:hAnsi="Roboto"/>
                <w:szCs w:val="24"/>
              </w:rPr>
              <w:t xml:space="preserve">RR </w:t>
            </w:r>
            <w:r w:rsidRPr="005C675A">
              <w:t>Appendices </w:t>
            </w:r>
            <w:r w:rsidRPr="005C675A">
              <w:rPr>
                <w:b/>
                <w:bCs/>
              </w:rPr>
              <w:t>30</w:t>
            </w:r>
            <w:r w:rsidRPr="005C675A">
              <w:t xml:space="preserve"> and </w:t>
            </w:r>
            <w:r w:rsidRPr="005C675A">
              <w:rPr>
                <w:b/>
                <w:bCs/>
              </w:rPr>
              <w:t>30A</w:t>
            </w:r>
            <w:r w:rsidRPr="005C675A">
              <w:rPr>
                <w:bCs/>
              </w:rPr>
              <w:t>. Recognizing that this request was associated with a decision of WRC</w:t>
            </w:r>
            <w:r w:rsidRPr="005C675A">
              <w:noBreakHyphen/>
            </w:r>
            <w:r w:rsidRPr="005C675A">
              <w:rPr>
                <w:bCs/>
              </w:rPr>
              <w:t xml:space="preserve">12 on this same issue, and considering </w:t>
            </w:r>
            <w:r w:rsidRPr="005C675A">
              <w:t>the results of the activities conducted after WRC</w:t>
            </w:r>
            <w:r w:rsidRPr="005C675A">
              <w:noBreakHyphen/>
              <w:t xml:space="preserve">12 and the successful completion of the procedure of Article 4 of RR Appendix </w:t>
            </w:r>
            <w:r w:rsidRPr="005C675A">
              <w:rPr>
                <w:b/>
                <w:bCs/>
              </w:rPr>
              <w:t>30</w:t>
            </w:r>
            <w:r w:rsidRPr="005C675A">
              <w:t xml:space="preserve"> and notification </w:t>
            </w:r>
            <w:r w:rsidRPr="005C675A">
              <w:lastRenderedPageBreak/>
              <w:t>of the RR Appendix </w:t>
            </w:r>
            <w:r w:rsidRPr="005C675A">
              <w:rPr>
                <w:b/>
                <w:bCs/>
              </w:rPr>
              <w:t>30</w:t>
            </w:r>
            <w:r w:rsidRPr="005C675A">
              <w:t xml:space="preserve"> Article 4 filing for BSS channels in the band 11.7-12.2 GHz at the orbital position 1.9</w:t>
            </w:r>
            <w:r w:rsidRPr="005C675A">
              <w:rPr>
                <w:szCs w:val="24"/>
              </w:rPr>
              <w:sym w:font="Symbol" w:char="F0B0"/>
            </w:r>
            <w:r w:rsidRPr="005C675A">
              <w:t xml:space="preserve"> E, WRC-19 decided to accede to the request. </w:t>
            </w:r>
          </w:p>
          <w:p w14:paraId="14B1DA8A" w14:textId="77777777" w:rsidR="008C42C7" w:rsidRPr="005C675A" w:rsidRDefault="008C42C7" w:rsidP="00431B02">
            <w:r w:rsidRPr="005C675A">
              <w:t>WRC</w:t>
            </w:r>
            <w:r w:rsidRPr="005C675A">
              <w:noBreakHyphen/>
              <w:t>19 instructs the Radiocommunication Bureau to include in the RR Appendix </w:t>
            </w:r>
            <w:r w:rsidRPr="005C675A">
              <w:rPr>
                <w:b/>
                <w:bCs/>
              </w:rPr>
              <w:t>30</w:t>
            </w:r>
            <w:r w:rsidRPr="005C675A">
              <w:t xml:space="preserve"> and </w:t>
            </w:r>
            <w:r w:rsidRPr="005C675A">
              <w:rPr>
                <w:b/>
                <w:bCs/>
              </w:rPr>
              <w:t>30A</w:t>
            </w:r>
            <w:r w:rsidRPr="005C675A">
              <w:t xml:space="preserve"> Plans ten 33 MHz BSS and BSS feeder</w:t>
            </w:r>
            <w:r>
              <w:t>-</w:t>
            </w:r>
            <w:r w:rsidRPr="005C675A">
              <w:t xml:space="preserve">link </w:t>
            </w:r>
            <w:r w:rsidRPr="005C675A">
              <w:rPr>
                <w:rFonts w:eastAsia="Times New Roman+FPEF"/>
                <w:szCs w:val="24"/>
              </w:rPr>
              <w:t xml:space="preserve">channels 1, 2, 3, 4, 5, 6, 7, 8, 17 and 18 with the characteristics listed in Table 1 below for the Administration of Bulgaria. </w:t>
            </w:r>
            <w:r w:rsidRPr="005C675A">
              <w:t>Once the inclusion has been finished, the Radiocommunication Bureau shall remove the current Plan assignments at 1.2</w:t>
            </w:r>
            <w:r w:rsidRPr="005C675A">
              <w:rPr>
                <w:szCs w:val="24"/>
              </w:rPr>
              <w:sym w:font="Symbol" w:char="F0B0"/>
            </w:r>
            <w:r w:rsidRPr="005C675A">
              <w:rPr>
                <w:szCs w:val="24"/>
              </w:rPr>
              <w:t> </w:t>
            </w:r>
            <w:r w:rsidRPr="005C675A">
              <w:t xml:space="preserve">W of the Administration of Bulgaria in the Appendices </w:t>
            </w:r>
            <w:r w:rsidRPr="005C675A">
              <w:rPr>
                <w:b/>
                <w:bCs/>
              </w:rPr>
              <w:t>30</w:t>
            </w:r>
            <w:r w:rsidRPr="005C675A">
              <w:t xml:space="preserve"> and </w:t>
            </w:r>
            <w:r w:rsidRPr="005C675A">
              <w:rPr>
                <w:b/>
                <w:bCs/>
              </w:rPr>
              <w:t>30</w:t>
            </w:r>
            <w:r w:rsidRPr="005C675A">
              <w:t xml:space="preserve"> Plans and cancel the frequency assignments corresponding to the above-mentioned 10 channels in the List of additional use and the Master Register of the BULSAT-BSS-1.2W-W satellite network identified in the Table 2 below.</w:t>
            </w:r>
          </w:p>
          <w:p w14:paraId="0619A273" w14:textId="77777777" w:rsidR="008C42C7" w:rsidRPr="005C675A" w:rsidRDefault="008C42C7" w:rsidP="00431B02">
            <w:pPr>
              <w:pStyle w:val="TableNo"/>
              <w:rPr>
                <w:lang w:val="en-US"/>
              </w:rPr>
            </w:pPr>
            <w:r w:rsidRPr="005C675A">
              <w:rPr>
                <w:lang w:val="en-US"/>
              </w:rPr>
              <w:t>Table 1</w:t>
            </w:r>
          </w:p>
          <w:p w14:paraId="2079BFBD" w14:textId="77777777" w:rsidR="008C42C7" w:rsidRPr="00C02055" w:rsidRDefault="008C42C7" w:rsidP="00431B02">
            <w:pPr>
              <w:pStyle w:val="Tabletitle"/>
            </w:pPr>
            <w:r w:rsidRPr="00C02055">
              <w:t>List of characteristics of the new RR Appendix 30 and 30A Plan assignments for the Administration of Bulgaria</w:t>
            </w:r>
          </w:p>
          <w:tbl>
            <w:tblPr>
              <w:tblStyle w:val="TableGrid"/>
              <w:tblW w:w="8642" w:type="dxa"/>
              <w:jc w:val="center"/>
              <w:tblLayout w:type="fixed"/>
              <w:tblLook w:val="04A0" w:firstRow="1" w:lastRow="0" w:firstColumn="1" w:lastColumn="0" w:noHBand="0" w:noVBand="1"/>
            </w:tblPr>
            <w:tblGrid>
              <w:gridCol w:w="3384"/>
              <w:gridCol w:w="2565"/>
              <w:gridCol w:w="2693"/>
            </w:tblGrid>
            <w:tr w:rsidR="008C42C7" w:rsidRPr="00C02055" w14:paraId="3A95ABB8" w14:textId="77777777" w:rsidTr="00431B02">
              <w:trPr>
                <w:tblHeader/>
                <w:jc w:val="center"/>
              </w:trPr>
              <w:tc>
                <w:tcPr>
                  <w:tcW w:w="3384" w:type="dxa"/>
                </w:tcPr>
                <w:p w14:paraId="79BD84B5" w14:textId="77777777" w:rsidR="008C42C7" w:rsidRPr="00C02055" w:rsidRDefault="008C42C7" w:rsidP="00431B02">
                  <w:pPr>
                    <w:pStyle w:val="Tablehead"/>
                  </w:pPr>
                  <w:r w:rsidRPr="00C02055">
                    <w:t>Parameter</w:t>
                  </w:r>
                </w:p>
              </w:tc>
              <w:tc>
                <w:tcPr>
                  <w:tcW w:w="2565" w:type="dxa"/>
                </w:tcPr>
                <w:p w14:paraId="769905CB" w14:textId="77777777" w:rsidR="008C42C7" w:rsidRPr="00C02055" w:rsidRDefault="008C42C7" w:rsidP="00431B02">
                  <w:pPr>
                    <w:pStyle w:val="Tablehead"/>
                  </w:pPr>
                  <w:r w:rsidRPr="00C02055">
                    <w:t>Downlink</w:t>
                  </w:r>
                </w:p>
              </w:tc>
              <w:tc>
                <w:tcPr>
                  <w:tcW w:w="2693" w:type="dxa"/>
                </w:tcPr>
                <w:p w14:paraId="67802844" w14:textId="77777777" w:rsidR="008C42C7" w:rsidRPr="00C02055" w:rsidRDefault="008C42C7" w:rsidP="00431B02">
                  <w:pPr>
                    <w:pStyle w:val="Tablehead"/>
                  </w:pPr>
                  <w:r w:rsidRPr="00C02055">
                    <w:t>Feeder-link</w:t>
                  </w:r>
                </w:p>
              </w:tc>
            </w:tr>
            <w:tr w:rsidR="008C42C7" w:rsidRPr="005C675A" w14:paraId="764FF471" w14:textId="77777777" w:rsidTr="00431B02">
              <w:trPr>
                <w:jc w:val="center"/>
              </w:trPr>
              <w:tc>
                <w:tcPr>
                  <w:tcW w:w="3384" w:type="dxa"/>
                </w:tcPr>
                <w:p w14:paraId="1AE984B8" w14:textId="77777777" w:rsidR="008C42C7" w:rsidRPr="00C02055" w:rsidRDefault="008C42C7" w:rsidP="00431B02">
                  <w:pPr>
                    <w:pStyle w:val="Tabletext"/>
                  </w:pPr>
                  <w:r w:rsidRPr="00C02055">
                    <w:t>Orbital position</w:t>
                  </w:r>
                </w:p>
              </w:tc>
              <w:tc>
                <w:tcPr>
                  <w:tcW w:w="5258" w:type="dxa"/>
                  <w:gridSpan w:val="2"/>
                </w:tcPr>
                <w:p w14:paraId="0B953647" w14:textId="77777777" w:rsidR="008C42C7" w:rsidRPr="00C02055" w:rsidRDefault="008C42C7" w:rsidP="00431B02">
                  <w:pPr>
                    <w:pStyle w:val="Tabletext"/>
                    <w:jc w:val="center"/>
                  </w:pPr>
                  <w:r w:rsidRPr="00C02055">
                    <w:t>1.9°E</w:t>
                  </w:r>
                </w:p>
              </w:tc>
            </w:tr>
            <w:tr w:rsidR="008C42C7" w:rsidRPr="005C675A" w14:paraId="5CF55BA9" w14:textId="77777777" w:rsidTr="00431B02">
              <w:trPr>
                <w:jc w:val="center"/>
              </w:trPr>
              <w:tc>
                <w:tcPr>
                  <w:tcW w:w="3384" w:type="dxa"/>
                </w:tcPr>
                <w:p w14:paraId="74618B28" w14:textId="77777777" w:rsidR="008C42C7" w:rsidRPr="00C02055" w:rsidRDefault="008C42C7" w:rsidP="00431B02">
                  <w:pPr>
                    <w:pStyle w:val="Tabletext"/>
                  </w:pPr>
                  <w:r w:rsidRPr="00C02055">
                    <w:t>Station keeping (East-West)</w:t>
                  </w:r>
                </w:p>
              </w:tc>
              <w:tc>
                <w:tcPr>
                  <w:tcW w:w="5258" w:type="dxa"/>
                  <w:gridSpan w:val="2"/>
                </w:tcPr>
                <w:p w14:paraId="5D248453" w14:textId="77777777" w:rsidR="008C42C7" w:rsidRPr="00C02055" w:rsidRDefault="008C42C7" w:rsidP="00431B02">
                  <w:pPr>
                    <w:pStyle w:val="Tabletext"/>
                    <w:jc w:val="center"/>
                  </w:pPr>
                  <w:r w:rsidRPr="00C02055">
                    <w:t>0.05°</w:t>
                  </w:r>
                </w:p>
              </w:tc>
            </w:tr>
            <w:tr w:rsidR="008C42C7" w:rsidRPr="005C675A" w14:paraId="59CBF1DB" w14:textId="77777777" w:rsidTr="00431B02">
              <w:trPr>
                <w:jc w:val="center"/>
              </w:trPr>
              <w:tc>
                <w:tcPr>
                  <w:tcW w:w="3384" w:type="dxa"/>
                </w:tcPr>
                <w:p w14:paraId="4BCA57BB" w14:textId="77777777" w:rsidR="008C42C7" w:rsidRPr="00C02055" w:rsidRDefault="008C42C7" w:rsidP="00431B02">
                  <w:pPr>
                    <w:pStyle w:val="Tabletext"/>
                  </w:pPr>
                  <w:r w:rsidRPr="00C02055">
                    <w:t>Beam identification</w:t>
                  </w:r>
                </w:p>
              </w:tc>
              <w:tc>
                <w:tcPr>
                  <w:tcW w:w="5258" w:type="dxa"/>
                  <w:gridSpan w:val="2"/>
                </w:tcPr>
                <w:p w14:paraId="2C948C02" w14:textId="77777777" w:rsidR="008C42C7" w:rsidRPr="00C02055" w:rsidRDefault="008C42C7" w:rsidP="00431B02">
                  <w:pPr>
                    <w:pStyle w:val="Tabletext"/>
                    <w:jc w:val="center"/>
                  </w:pPr>
                  <w:r w:rsidRPr="00C02055">
                    <w:t>BUL02000</w:t>
                  </w:r>
                </w:p>
              </w:tc>
            </w:tr>
            <w:tr w:rsidR="008C42C7" w:rsidRPr="005C675A" w14:paraId="0333B338" w14:textId="77777777" w:rsidTr="00431B02">
              <w:trPr>
                <w:jc w:val="center"/>
              </w:trPr>
              <w:tc>
                <w:tcPr>
                  <w:tcW w:w="3384" w:type="dxa"/>
                </w:tcPr>
                <w:p w14:paraId="000A4331" w14:textId="77777777" w:rsidR="008C42C7" w:rsidRPr="00C02055" w:rsidRDefault="008C42C7" w:rsidP="00431B02">
                  <w:pPr>
                    <w:pStyle w:val="Tabletext"/>
                  </w:pPr>
                  <w:r w:rsidRPr="00C02055">
                    <w:t>Date of receipt</w:t>
                  </w:r>
                </w:p>
              </w:tc>
              <w:tc>
                <w:tcPr>
                  <w:tcW w:w="5258" w:type="dxa"/>
                  <w:gridSpan w:val="2"/>
                </w:tcPr>
                <w:p w14:paraId="24C0601B" w14:textId="77777777" w:rsidR="008C42C7" w:rsidRPr="00C02055" w:rsidRDefault="008C42C7" w:rsidP="00431B02">
                  <w:pPr>
                    <w:pStyle w:val="Tabletext"/>
                    <w:jc w:val="center"/>
                  </w:pPr>
                  <w:r w:rsidRPr="00C02055">
                    <w:t>23.11.2019</w:t>
                  </w:r>
                </w:p>
              </w:tc>
            </w:tr>
            <w:tr w:rsidR="008C42C7" w:rsidRPr="005C675A" w14:paraId="2702FDA7" w14:textId="77777777" w:rsidTr="00431B02">
              <w:trPr>
                <w:jc w:val="center"/>
              </w:trPr>
              <w:tc>
                <w:tcPr>
                  <w:tcW w:w="3384" w:type="dxa"/>
                </w:tcPr>
                <w:p w14:paraId="716F306D" w14:textId="77777777" w:rsidR="008C42C7" w:rsidRPr="00C02055" w:rsidRDefault="008C42C7" w:rsidP="00431B02">
                  <w:pPr>
                    <w:pStyle w:val="Tabletext"/>
                  </w:pPr>
                  <w:r w:rsidRPr="00C02055">
                    <w:t>Date of protection</w:t>
                  </w:r>
                </w:p>
              </w:tc>
              <w:tc>
                <w:tcPr>
                  <w:tcW w:w="2565" w:type="dxa"/>
                </w:tcPr>
                <w:p w14:paraId="51A1B192" w14:textId="77777777" w:rsidR="008C42C7" w:rsidRPr="00C02055" w:rsidRDefault="008C42C7" w:rsidP="00431B02">
                  <w:pPr>
                    <w:pStyle w:val="Tabletext"/>
                    <w:jc w:val="center"/>
                  </w:pPr>
                  <w:r w:rsidRPr="00C02055">
                    <w:t>19.03.2012</w:t>
                  </w:r>
                </w:p>
              </w:tc>
              <w:tc>
                <w:tcPr>
                  <w:tcW w:w="2693" w:type="dxa"/>
                </w:tcPr>
                <w:p w14:paraId="43261511" w14:textId="77777777" w:rsidR="008C42C7" w:rsidRPr="00C02055" w:rsidRDefault="008C42C7" w:rsidP="00431B02">
                  <w:pPr>
                    <w:pStyle w:val="Tabletext"/>
                    <w:jc w:val="center"/>
                  </w:pPr>
                  <w:r w:rsidRPr="00C02055">
                    <w:t>04.11.2010</w:t>
                  </w:r>
                </w:p>
              </w:tc>
            </w:tr>
            <w:tr w:rsidR="008C42C7" w:rsidRPr="005C675A" w14:paraId="52C05555" w14:textId="77777777" w:rsidTr="00431B02">
              <w:trPr>
                <w:jc w:val="center"/>
              </w:trPr>
              <w:tc>
                <w:tcPr>
                  <w:tcW w:w="3384" w:type="dxa"/>
                </w:tcPr>
                <w:p w14:paraId="38C9A64B" w14:textId="77777777" w:rsidR="008C42C7" w:rsidRPr="00C02055" w:rsidRDefault="008C42C7" w:rsidP="00431B02">
                  <w:pPr>
                    <w:pStyle w:val="Tabletext"/>
                  </w:pPr>
                  <w:r w:rsidRPr="00C02055">
                    <w:t>Satellite beam name</w:t>
                  </w:r>
                </w:p>
              </w:tc>
              <w:tc>
                <w:tcPr>
                  <w:tcW w:w="5258" w:type="dxa"/>
                  <w:gridSpan w:val="2"/>
                </w:tcPr>
                <w:p w14:paraId="2AFD4EAF" w14:textId="77777777" w:rsidR="008C42C7" w:rsidRPr="00C02055" w:rsidRDefault="008C42C7" w:rsidP="00431B02">
                  <w:pPr>
                    <w:pStyle w:val="Tabletext"/>
                    <w:jc w:val="center"/>
                  </w:pPr>
                  <w:r w:rsidRPr="00C02055">
                    <w:t>E001</w:t>
                  </w:r>
                </w:p>
              </w:tc>
            </w:tr>
            <w:tr w:rsidR="008C42C7" w:rsidRPr="005C675A" w14:paraId="2CC42455" w14:textId="77777777" w:rsidTr="00431B02">
              <w:trPr>
                <w:jc w:val="center"/>
              </w:trPr>
              <w:tc>
                <w:tcPr>
                  <w:tcW w:w="3384" w:type="dxa"/>
                </w:tcPr>
                <w:p w14:paraId="37967BD7" w14:textId="77777777" w:rsidR="008C42C7" w:rsidRPr="00C02055" w:rsidRDefault="008C42C7" w:rsidP="00431B02">
                  <w:pPr>
                    <w:pStyle w:val="Tabletext"/>
                  </w:pPr>
                  <w:r w:rsidRPr="00C02055">
                    <w:t>Beam Type</w:t>
                  </w:r>
                </w:p>
              </w:tc>
              <w:tc>
                <w:tcPr>
                  <w:tcW w:w="5258" w:type="dxa"/>
                  <w:gridSpan w:val="2"/>
                </w:tcPr>
                <w:p w14:paraId="2319B868" w14:textId="77777777" w:rsidR="008C42C7" w:rsidRPr="00C02055" w:rsidRDefault="008C42C7" w:rsidP="00431B02">
                  <w:pPr>
                    <w:pStyle w:val="Tabletext"/>
                    <w:jc w:val="center"/>
                  </w:pPr>
                  <w:r w:rsidRPr="00C02055">
                    <w:t>Shaped</w:t>
                  </w:r>
                </w:p>
              </w:tc>
            </w:tr>
            <w:tr w:rsidR="008C42C7" w:rsidRPr="005C675A" w14:paraId="1EDD4174" w14:textId="77777777" w:rsidTr="00431B02">
              <w:trPr>
                <w:jc w:val="center"/>
              </w:trPr>
              <w:tc>
                <w:tcPr>
                  <w:tcW w:w="3384" w:type="dxa"/>
                </w:tcPr>
                <w:p w14:paraId="7BB28D58" w14:textId="77777777" w:rsidR="008C42C7" w:rsidRPr="00C02055" w:rsidRDefault="008C42C7" w:rsidP="00431B02">
                  <w:pPr>
                    <w:pStyle w:val="Tabletext"/>
                  </w:pPr>
                  <w:r w:rsidRPr="00C02055">
                    <w:t>Maximum co-polar antenna gain</w:t>
                  </w:r>
                </w:p>
              </w:tc>
              <w:tc>
                <w:tcPr>
                  <w:tcW w:w="2565" w:type="dxa"/>
                </w:tcPr>
                <w:p w14:paraId="0BE55937" w14:textId="77777777" w:rsidR="008C42C7" w:rsidRPr="00C02055" w:rsidRDefault="008C42C7" w:rsidP="00431B02">
                  <w:pPr>
                    <w:pStyle w:val="Tabletext"/>
                    <w:jc w:val="center"/>
                  </w:pPr>
                  <w:r w:rsidRPr="00C02055">
                    <w:t xml:space="preserve">33.8 </w:t>
                  </w:r>
                  <w:proofErr w:type="spellStart"/>
                  <w:r w:rsidRPr="00C02055">
                    <w:t>dBi</w:t>
                  </w:r>
                  <w:proofErr w:type="spellEnd"/>
                </w:p>
              </w:tc>
              <w:tc>
                <w:tcPr>
                  <w:tcW w:w="2693" w:type="dxa"/>
                </w:tcPr>
                <w:p w14:paraId="789C4A59" w14:textId="77777777" w:rsidR="008C42C7" w:rsidRPr="00C02055" w:rsidRDefault="008C42C7" w:rsidP="00431B02">
                  <w:pPr>
                    <w:pStyle w:val="Tabletext"/>
                    <w:jc w:val="center"/>
                  </w:pPr>
                  <w:r w:rsidRPr="00C02055">
                    <w:t xml:space="preserve">36.5 </w:t>
                  </w:r>
                  <w:proofErr w:type="spellStart"/>
                  <w:r w:rsidRPr="00C02055">
                    <w:t>dBi</w:t>
                  </w:r>
                  <w:proofErr w:type="spellEnd"/>
                </w:p>
              </w:tc>
            </w:tr>
            <w:tr w:rsidR="008C42C7" w:rsidRPr="005C675A" w14:paraId="1DAB52DE" w14:textId="77777777" w:rsidTr="00431B02">
              <w:trPr>
                <w:jc w:val="center"/>
              </w:trPr>
              <w:tc>
                <w:tcPr>
                  <w:tcW w:w="3384" w:type="dxa"/>
                </w:tcPr>
                <w:p w14:paraId="2924C234" w14:textId="77777777" w:rsidR="008C42C7" w:rsidRPr="00C02055" w:rsidRDefault="008C42C7" w:rsidP="00431B02">
                  <w:pPr>
                    <w:pStyle w:val="Tabletext"/>
                  </w:pPr>
                  <w:r w:rsidRPr="00C02055">
                    <w:t>Maximum cross-polar antenna gain</w:t>
                  </w:r>
                </w:p>
              </w:tc>
              <w:tc>
                <w:tcPr>
                  <w:tcW w:w="2565" w:type="dxa"/>
                </w:tcPr>
                <w:p w14:paraId="023B0E2D" w14:textId="77777777" w:rsidR="008C42C7" w:rsidRPr="00C02055" w:rsidRDefault="008C42C7" w:rsidP="00431B02">
                  <w:pPr>
                    <w:pStyle w:val="Tabletext"/>
                    <w:jc w:val="center"/>
                  </w:pPr>
                  <w:r w:rsidRPr="00C02055">
                    <w:t xml:space="preserve">–2 </w:t>
                  </w:r>
                  <w:proofErr w:type="spellStart"/>
                  <w:r w:rsidRPr="00C02055">
                    <w:t>dBi</w:t>
                  </w:r>
                  <w:proofErr w:type="spellEnd"/>
                </w:p>
              </w:tc>
              <w:tc>
                <w:tcPr>
                  <w:tcW w:w="2693" w:type="dxa"/>
                </w:tcPr>
                <w:p w14:paraId="2E9B7A30" w14:textId="77777777" w:rsidR="008C42C7" w:rsidRPr="00C02055" w:rsidRDefault="008C42C7" w:rsidP="00431B02">
                  <w:pPr>
                    <w:pStyle w:val="Tabletext"/>
                    <w:jc w:val="center"/>
                  </w:pPr>
                  <w:r w:rsidRPr="00C02055">
                    <w:t xml:space="preserve">0 </w:t>
                  </w:r>
                  <w:proofErr w:type="spellStart"/>
                  <w:r w:rsidRPr="00C02055">
                    <w:t>dBi</w:t>
                  </w:r>
                  <w:proofErr w:type="spellEnd"/>
                </w:p>
              </w:tc>
            </w:tr>
            <w:tr w:rsidR="008C42C7" w:rsidRPr="005C675A" w14:paraId="74EBF63C" w14:textId="77777777" w:rsidTr="00431B02">
              <w:trPr>
                <w:jc w:val="center"/>
              </w:trPr>
              <w:tc>
                <w:tcPr>
                  <w:tcW w:w="3384" w:type="dxa"/>
                </w:tcPr>
                <w:p w14:paraId="5096C772" w14:textId="77777777" w:rsidR="008C42C7" w:rsidRPr="00C02055" w:rsidRDefault="008C42C7" w:rsidP="00431B02">
                  <w:pPr>
                    <w:pStyle w:val="Tabletext"/>
                  </w:pPr>
                  <w:r w:rsidRPr="00C02055">
                    <w:t>Co-polar and cross-polar antenna gain contours</w:t>
                  </w:r>
                </w:p>
              </w:tc>
              <w:tc>
                <w:tcPr>
                  <w:tcW w:w="5258" w:type="dxa"/>
                  <w:gridSpan w:val="2"/>
                </w:tcPr>
                <w:p w14:paraId="436E2E1D" w14:textId="77777777" w:rsidR="008C42C7" w:rsidRPr="00C02055" w:rsidRDefault="008C42C7" w:rsidP="00431B02">
                  <w:pPr>
                    <w:pStyle w:val="Tabletext"/>
                  </w:pPr>
                  <w:r w:rsidRPr="00C02055">
                    <w:t>Corresponding to the CEED downlink beam and the CER feeder-link beam of the BULSAT-BSS-1.2W-W satellite network in Table 2 below</w:t>
                  </w:r>
                </w:p>
              </w:tc>
            </w:tr>
            <w:tr w:rsidR="008C42C7" w:rsidRPr="005C675A" w14:paraId="559C9ADB" w14:textId="77777777" w:rsidTr="00431B02">
              <w:trPr>
                <w:jc w:val="center"/>
              </w:trPr>
              <w:tc>
                <w:tcPr>
                  <w:tcW w:w="3384" w:type="dxa"/>
                </w:tcPr>
                <w:p w14:paraId="1B5244A0" w14:textId="77777777" w:rsidR="008C42C7" w:rsidRPr="00C02055" w:rsidRDefault="008C42C7" w:rsidP="00431B02">
                  <w:pPr>
                    <w:pStyle w:val="Tabletext"/>
                  </w:pPr>
                  <w:r w:rsidRPr="00C02055">
                    <w:t>Boresight</w:t>
                  </w:r>
                </w:p>
              </w:tc>
              <w:tc>
                <w:tcPr>
                  <w:tcW w:w="5258" w:type="dxa"/>
                  <w:gridSpan w:val="2"/>
                </w:tcPr>
                <w:p w14:paraId="3E1F6619" w14:textId="77777777" w:rsidR="008C42C7" w:rsidRPr="00C02055" w:rsidRDefault="008C42C7" w:rsidP="00431B02">
                  <w:pPr>
                    <w:pStyle w:val="Tabletext"/>
                  </w:pPr>
                  <w:r w:rsidRPr="00C02055">
                    <w:t>Same as in the GIMS data</w:t>
                  </w:r>
                </w:p>
              </w:tc>
            </w:tr>
            <w:tr w:rsidR="008C42C7" w:rsidRPr="005C675A" w14:paraId="762A6D90" w14:textId="77777777" w:rsidTr="00431B02">
              <w:trPr>
                <w:jc w:val="center"/>
              </w:trPr>
              <w:tc>
                <w:tcPr>
                  <w:tcW w:w="3384" w:type="dxa"/>
                </w:tcPr>
                <w:p w14:paraId="73EDB23A" w14:textId="77777777" w:rsidR="008C42C7" w:rsidRPr="00C02055" w:rsidRDefault="008C42C7" w:rsidP="00431B02">
                  <w:pPr>
                    <w:pStyle w:val="Tabletext"/>
                  </w:pPr>
                  <w:r w:rsidRPr="00C02055">
                    <w:lastRenderedPageBreak/>
                    <w:t>Service area</w:t>
                  </w:r>
                </w:p>
              </w:tc>
              <w:tc>
                <w:tcPr>
                  <w:tcW w:w="5258" w:type="dxa"/>
                  <w:gridSpan w:val="2"/>
                </w:tcPr>
                <w:p w14:paraId="00DB3FC7" w14:textId="77777777" w:rsidR="008C42C7" w:rsidRPr="00C02055" w:rsidRDefault="008C42C7" w:rsidP="00431B02">
                  <w:pPr>
                    <w:pStyle w:val="Tabletext"/>
                  </w:pPr>
                  <w:r w:rsidRPr="00C02055">
                    <w:t>National territory defined as “BUL” in the GIMS software application</w:t>
                  </w:r>
                </w:p>
              </w:tc>
            </w:tr>
            <w:tr w:rsidR="008C42C7" w:rsidRPr="005C675A" w14:paraId="124C9CB1" w14:textId="77777777" w:rsidTr="00431B02">
              <w:trPr>
                <w:jc w:val="center"/>
              </w:trPr>
              <w:tc>
                <w:tcPr>
                  <w:tcW w:w="3384" w:type="dxa"/>
                </w:tcPr>
                <w:p w14:paraId="54BA16F6" w14:textId="77777777" w:rsidR="008C42C7" w:rsidRPr="00C02055" w:rsidRDefault="008C42C7" w:rsidP="00431B02">
                  <w:pPr>
                    <w:pStyle w:val="Tabletext"/>
                  </w:pPr>
                  <w:r w:rsidRPr="00C02055">
                    <w:t>Test-points</w:t>
                  </w:r>
                </w:p>
              </w:tc>
              <w:tc>
                <w:tcPr>
                  <w:tcW w:w="5258" w:type="dxa"/>
                  <w:gridSpan w:val="2"/>
                </w:tcPr>
                <w:tbl>
                  <w:tblPr>
                    <w:tblW w:w="2600" w:type="dxa"/>
                    <w:jc w:val="center"/>
                    <w:tblLayout w:type="fixed"/>
                    <w:tblLook w:val="04A0" w:firstRow="1" w:lastRow="0" w:firstColumn="1" w:lastColumn="0" w:noHBand="0" w:noVBand="1"/>
                  </w:tblPr>
                  <w:tblGrid>
                    <w:gridCol w:w="1300"/>
                    <w:gridCol w:w="1300"/>
                  </w:tblGrid>
                  <w:tr w:rsidR="008C42C7" w:rsidRPr="00C02055" w14:paraId="1ACCA550" w14:textId="77777777" w:rsidTr="00431B02">
                    <w:trPr>
                      <w:trHeight w:val="300"/>
                      <w:jc w:val="center"/>
                    </w:trPr>
                    <w:tc>
                      <w:tcPr>
                        <w:tcW w:w="1300" w:type="dxa"/>
                        <w:tcBorders>
                          <w:top w:val="nil"/>
                          <w:left w:val="nil"/>
                          <w:bottom w:val="nil"/>
                          <w:right w:val="nil"/>
                        </w:tcBorders>
                        <w:shd w:val="clear" w:color="auto" w:fill="auto"/>
                        <w:noWrap/>
                        <w:vAlign w:val="bottom"/>
                        <w:hideMark/>
                      </w:tcPr>
                      <w:p w14:paraId="020FC518" w14:textId="77777777" w:rsidR="008C42C7" w:rsidRPr="00C02055" w:rsidRDefault="008C42C7" w:rsidP="00431B02">
                        <w:pPr>
                          <w:pStyle w:val="Tabletext"/>
                        </w:pPr>
                        <w:r w:rsidRPr="00C02055">
                          <w:t>Longitude (deg. E)</w:t>
                        </w:r>
                      </w:p>
                    </w:tc>
                    <w:tc>
                      <w:tcPr>
                        <w:tcW w:w="1300" w:type="dxa"/>
                        <w:tcBorders>
                          <w:top w:val="nil"/>
                          <w:left w:val="nil"/>
                          <w:bottom w:val="nil"/>
                          <w:right w:val="nil"/>
                        </w:tcBorders>
                        <w:shd w:val="clear" w:color="auto" w:fill="auto"/>
                        <w:noWrap/>
                        <w:vAlign w:val="bottom"/>
                        <w:hideMark/>
                      </w:tcPr>
                      <w:p w14:paraId="3208E883" w14:textId="77777777" w:rsidR="008C42C7" w:rsidRPr="00C02055" w:rsidRDefault="008C42C7" w:rsidP="00431B02">
                        <w:pPr>
                          <w:pStyle w:val="Tabletext"/>
                        </w:pPr>
                        <w:r w:rsidRPr="00C02055">
                          <w:t>Latitude (deg. N)</w:t>
                        </w:r>
                      </w:p>
                    </w:tc>
                  </w:tr>
                  <w:tr w:rsidR="008C42C7" w:rsidRPr="00C02055" w14:paraId="212007AC" w14:textId="77777777" w:rsidTr="00431B02">
                    <w:trPr>
                      <w:trHeight w:val="300"/>
                      <w:jc w:val="center"/>
                    </w:trPr>
                    <w:tc>
                      <w:tcPr>
                        <w:tcW w:w="1300" w:type="dxa"/>
                        <w:tcBorders>
                          <w:top w:val="nil"/>
                          <w:left w:val="nil"/>
                          <w:bottom w:val="nil"/>
                          <w:right w:val="nil"/>
                        </w:tcBorders>
                        <w:shd w:val="clear" w:color="auto" w:fill="auto"/>
                        <w:noWrap/>
                        <w:vAlign w:val="bottom"/>
                        <w:hideMark/>
                      </w:tcPr>
                      <w:p w14:paraId="37EEAFA0" w14:textId="77777777" w:rsidR="008C42C7" w:rsidRPr="00C02055" w:rsidRDefault="008C42C7" w:rsidP="00431B02">
                        <w:pPr>
                          <w:pStyle w:val="Tabletext"/>
                        </w:pPr>
                        <w:r w:rsidRPr="00C02055">
                          <w:t>27.91</w:t>
                        </w:r>
                      </w:p>
                    </w:tc>
                    <w:tc>
                      <w:tcPr>
                        <w:tcW w:w="1300" w:type="dxa"/>
                        <w:tcBorders>
                          <w:top w:val="nil"/>
                          <w:left w:val="nil"/>
                          <w:bottom w:val="nil"/>
                          <w:right w:val="nil"/>
                        </w:tcBorders>
                        <w:shd w:val="clear" w:color="auto" w:fill="auto"/>
                        <w:noWrap/>
                        <w:vAlign w:val="bottom"/>
                        <w:hideMark/>
                      </w:tcPr>
                      <w:p w14:paraId="5AD4647D" w14:textId="77777777" w:rsidR="008C42C7" w:rsidRPr="00C02055" w:rsidRDefault="008C42C7" w:rsidP="00431B02">
                        <w:pPr>
                          <w:pStyle w:val="Tabletext"/>
                        </w:pPr>
                        <w:r w:rsidRPr="00C02055">
                          <w:t>42.06</w:t>
                        </w:r>
                      </w:p>
                    </w:tc>
                  </w:tr>
                  <w:tr w:rsidR="008C42C7" w:rsidRPr="00C02055" w14:paraId="64CDFC2C" w14:textId="77777777" w:rsidTr="00431B02">
                    <w:trPr>
                      <w:trHeight w:val="300"/>
                      <w:jc w:val="center"/>
                    </w:trPr>
                    <w:tc>
                      <w:tcPr>
                        <w:tcW w:w="1300" w:type="dxa"/>
                        <w:tcBorders>
                          <w:top w:val="nil"/>
                          <w:left w:val="nil"/>
                          <w:bottom w:val="nil"/>
                          <w:right w:val="nil"/>
                        </w:tcBorders>
                        <w:shd w:val="clear" w:color="auto" w:fill="auto"/>
                        <w:noWrap/>
                        <w:vAlign w:val="bottom"/>
                        <w:hideMark/>
                      </w:tcPr>
                      <w:p w14:paraId="64D3196A" w14:textId="77777777" w:rsidR="008C42C7" w:rsidRPr="00C02055" w:rsidRDefault="008C42C7" w:rsidP="00431B02">
                        <w:pPr>
                          <w:pStyle w:val="Tabletext"/>
                        </w:pPr>
                        <w:r w:rsidRPr="00C02055">
                          <w:t>28.47</w:t>
                        </w:r>
                      </w:p>
                    </w:tc>
                    <w:tc>
                      <w:tcPr>
                        <w:tcW w:w="1300" w:type="dxa"/>
                        <w:tcBorders>
                          <w:top w:val="nil"/>
                          <w:left w:val="nil"/>
                          <w:bottom w:val="nil"/>
                          <w:right w:val="nil"/>
                        </w:tcBorders>
                        <w:shd w:val="clear" w:color="auto" w:fill="auto"/>
                        <w:noWrap/>
                        <w:vAlign w:val="bottom"/>
                        <w:hideMark/>
                      </w:tcPr>
                      <w:p w14:paraId="1182DFBC" w14:textId="77777777" w:rsidR="008C42C7" w:rsidRPr="00C02055" w:rsidRDefault="008C42C7" w:rsidP="00431B02">
                        <w:pPr>
                          <w:pStyle w:val="Tabletext"/>
                        </w:pPr>
                        <w:r w:rsidRPr="00C02055">
                          <w:t>43.70</w:t>
                        </w:r>
                      </w:p>
                    </w:tc>
                  </w:tr>
                  <w:tr w:rsidR="008C42C7" w:rsidRPr="00C02055" w14:paraId="369D8E35" w14:textId="77777777" w:rsidTr="00431B02">
                    <w:trPr>
                      <w:trHeight w:val="300"/>
                      <w:jc w:val="center"/>
                    </w:trPr>
                    <w:tc>
                      <w:tcPr>
                        <w:tcW w:w="1300" w:type="dxa"/>
                        <w:tcBorders>
                          <w:top w:val="nil"/>
                          <w:left w:val="nil"/>
                          <w:bottom w:val="nil"/>
                          <w:right w:val="nil"/>
                        </w:tcBorders>
                        <w:shd w:val="clear" w:color="auto" w:fill="auto"/>
                        <w:noWrap/>
                        <w:vAlign w:val="bottom"/>
                        <w:hideMark/>
                      </w:tcPr>
                      <w:p w14:paraId="4D500BC2" w14:textId="77777777" w:rsidR="008C42C7" w:rsidRPr="00C02055" w:rsidRDefault="008C42C7" w:rsidP="00431B02">
                        <w:pPr>
                          <w:pStyle w:val="Tabletext"/>
                        </w:pPr>
                        <w:r w:rsidRPr="00C02055">
                          <w:t>25.28</w:t>
                        </w:r>
                      </w:p>
                    </w:tc>
                    <w:tc>
                      <w:tcPr>
                        <w:tcW w:w="1300" w:type="dxa"/>
                        <w:tcBorders>
                          <w:top w:val="nil"/>
                          <w:left w:val="nil"/>
                          <w:bottom w:val="nil"/>
                          <w:right w:val="nil"/>
                        </w:tcBorders>
                        <w:shd w:val="clear" w:color="auto" w:fill="auto"/>
                        <w:noWrap/>
                        <w:vAlign w:val="bottom"/>
                        <w:hideMark/>
                      </w:tcPr>
                      <w:p w14:paraId="12E00146" w14:textId="77777777" w:rsidR="008C42C7" w:rsidRPr="00C02055" w:rsidRDefault="008C42C7" w:rsidP="00431B02">
                        <w:pPr>
                          <w:pStyle w:val="Tabletext"/>
                        </w:pPr>
                        <w:r w:rsidRPr="00C02055">
                          <w:t>41.35</w:t>
                        </w:r>
                      </w:p>
                    </w:tc>
                  </w:tr>
                  <w:tr w:rsidR="008C42C7" w:rsidRPr="00C02055" w14:paraId="618781F1" w14:textId="77777777" w:rsidTr="00431B02">
                    <w:trPr>
                      <w:trHeight w:val="300"/>
                      <w:jc w:val="center"/>
                    </w:trPr>
                    <w:tc>
                      <w:tcPr>
                        <w:tcW w:w="1300" w:type="dxa"/>
                        <w:tcBorders>
                          <w:top w:val="nil"/>
                          <w:left w:val="nil"/>
                          <w:bottom w:val="nil"/>
                          <w:right w:val="nil"/>
                        </w:tcBorders>
                        <w:shd w:val="clear" w:color="auto" w:fill="auto"/>
                        <w:noWrap/>
                        <w:vAlign w:val="bottom"/>
                        <w:hideMark/>
                      </w:tcPr>
                      <w:p w14:paraId="55654E6F" w14:textId="77777777" w:rsidR="008C42C7" w:rsidRPr="00C02055" w:rsidRDefault="008C42C7" w:rsidP="00431B02">
                        <w:pPr>
                          <w:pStyle w:val="Tabletext"/>
                        </w:pPr>
                        <w:r w:rsidRPr="00C02055">
                          <w:t>22.40</w:t>
                        </w:r>
                      </w:p>
                    </w:tc>
                    <w:tc>
                      <w:tcPr>
                        <w:tcW w:w="1300" w:type="dxa"/>
                        <w:tcBorders>
                          <w:top w:val="nil"/>
                          <w:left w:val="nil"/>
                          <w:bottom w:val="nil"/>
                          <w:right w:val="nil"/>
                        </w:tcBorders>
                        <w:shd w:val="clear" w:color="auto" w:fill="auto"/>
                        <w:noWrap/>
                        <w:vAlign w:val="bottom"/>
                        <w:hideMark/>
                      </w:tcPr>
                      <w:p w14:paraId="2A7EE798" w14:textId="77777777" w:rsidR="008C42C7" w:rsidRPr="00C02055" w:rsidRDefault="008C42C7" w:rsidP="00431B02">
                        <w:pPr>
                          <w:pStyle w:val="Tabletext"/>
                        </w:pPr>
                        <w:r w:rsidRPr="00C02055">
                          <w:t>42.30</w:t>
                        </w:r>
                      </w:p>
                    </w:tc>
                  </w:tr>
                  <w:tr w:rsidR="008C42C7" w:rsidRPr="00C02055" w14:paraId="0A5D6486" w14:textId="77777777" w:rsidTr="00431B02">
                    <w:trPr>
                      <w:trHeight w:val="300"/>
                      <w:jc w:val="center"/>
                    </w:trPr>
                    <w:tc>
                      <w:tcPr>
                        <w:tcW w:w="1300" w:type="dxa"/>
                        <w:tcBorders>
                          <w:top w:val="nil"/>
                          <w:left w:val="nil"/>
                          <w:bottom w:val="nil"/>
                          <w:right w:val="nil"/>
                        </w:tcBorders>
                        <w:shd w:val="clear" w:color="auto" w:fill="auto"/>
                        <w:noWrap/>
                        <w:vAlign w:val="bottom"/>
                        <w:hideMark/>
                      </w:tcPr>
                      <w:p w14:paraId="2690DE95" w14:textId="77777777" w:rsidR="008C42C7" w:rsidRPr="00C02055" w:rsidRDefault="008C42C7" w:rsidP="00431B02">
                        <w:pPr>
                          <w:pStyle w:val="Tabletext"/>
                        </w:pPr>
                        <w:r w:rsidRPr="00C02055">
                          <w:t>23.01</w:t>
                        </w:r>
                      </w:p>
                    </w:tc>
                    <w:tc>
                      <w:tcPr>
                        <w:tcW w:w="1300" w:type="dxa"/>
                        <w:tcBorders>
                          <w:top w:val="nil"/>
                          <w:left w:val="nil"/>
                          <w:bottom w:val="nil"/>
                          <w:right w:val="nil"/>
                        </w:tcBorders>
                        <w:shd w:val="clear" w:color="auto" w:fill="auto"/>
                        <w:noWrap/>
                        <w:vAlign w:val="bottom"/>
                        <w:hideMark/>
                      </w:tcPr>
                      <w:p w14:paraId="1EB7C06A" w14:textId="77777777" w:rsidR="008C42C7" w:rsidRPr="00C02055" w:rsidRDefault="008C42C7" w:rsidP="00431B02">
                        <w:pPr>
                          <w:pStyle w:val="Tabletext"/>
                        </w:pPr>
                        <w:r w:rsidRPr="00C02055">
                          <w:t>41.44</w:t>
                        </w:r>
                      </w:p>
                    </w:tc>
                  </w:tr>
                  <w:tr w:rsidR="008C42C7" w:rsidRPr="00C02055" w14:paraId="23B590DC" w14:textId="77777777" w:rsidTr="00431B02">
                    <w:trPr>
                      <w:trHeight w:val="300"/>
                      <w:jc w:val="center"/>
                    </w:trPr>
                    <w:tc>
                      <w:tcPr>
                        <w:tcW w:w="1300" w:type="dxa"/>
                        <w:tcBorders>
                          <w:top w:val="nil"/>
                          <w:left w:val="nil"/>
                          <w:bottom w:val="nil"/>
                          <w:right w:val="nil"/>
                        </w:tcBorders>
                        <w:shd w:val="clear" w:color="auto" w:fill="auto"/>
                        <w:noWrap/>
                        <w:vAlign w:val="bottom"/>
                        <w:hideMark/>
                      </w:tcPr>
                      <w:p w14:paraId="3BE61D21" w14:textId="77777777" w:rsidR="008C42C7" w:rsidRPr="00C02055" w:rsidRDefault="008C42C7" w:rsidP="00431B02">
                        <w:pPr>
                          <w:pStyle w:val="Tabletext"/>
                        </w:pPr>
                        <w:r w:rsidRPr="00C02055">
                          <w:t>22.69</w:t>
                        </w:r>
                      </w:p>
                    </w:tc>
                    <w:tc>
                      <w:tcPr>
                        <w:tcW w:w="1300" w:type="dxa"/>
                        <w:tcBorders>
                          <w:top w:val="nil"/>
                          <w:left w:val="nil"/>
                          <w:bottom w:val="nil"/>
                          <w:right w:val="nil"/>
                        </w:tcBorders>
                        <w:shd w:val="clear" w:color="auto" w:fill="auto"/>
                        <w:noWrap/>
                        <w:vAlign w:val="bottom"/>
                        <w:hideMark/>
                      </w:tcPr>
                      <w:p w14:paraId="05F85A87" w14:textId="77777777" w:rsidR="008C42C7" w:rsidRPr="00C02055" w:rsidRDefault="008C42C7" w:rsidP="00431B02">
                        <w:pPr>
                          <w:pStyle w:val="Tabletext"/>
                        </w:pPr>
                        <w:r w:rsidRPr="00C02055">
                          <w:t>44.17</w:t>
                        </w:r>
                      </w:p>
                    </w:tc>
                  </w:tr>
                  <w:tr w:rsidR="008C42C7" w:rsidRPr="00C02055" w14:paraId="4672CBD2" w14:textId="77777777" w:rsidTr="00431B02">
                    <w:trPr>
                      <w:trHeight w:val="300"/>
                      <w:jc w:val="center"/>
                    </w:trPr>
                    <w:tc>
                      <w:tcPr>
                        <w:tcW w:w="1300" w:type="dxa"/>
                        <w:tcBorders>
                          <w:top w:val="nil"/>
                          <w:left w:val="nil"/>
                          <w:bottom w:val="nil"/>
                          <w:right w:val="nil"/>
                        </w:tcBorders>
                        <w:shd w:val="clear" w:color="auto" w:fill="auto"/>
                        <w:noWrap/>
                        <w:vAlign w:val="bottom"/>
                        <w:hideMark/>
                      </w:tcPr>
                      <w:p w14:paraId="07831B05" w14:textId="77777777" w:rsidR="008C42C7" w:rsidRPr="00C02055" w:rsidRDefault="008C42C7" w:rsidP="00431B02">
                        <w:pPr>
                          <w:pStyle w:val="Tabletext"/>
                          <w:rPr>
                            <w:highlight w:val="yellow"/>
                          </w:rPr>
                        </w:pPr>
                      </w:p>
                    </w:tc>
                    <w:tc>
                      <w:tcPr>
                        <w:tcW w:w="1300" w:type="dxa"/>
                        <w:tcBorders>
                          <w:top w:val="nil"/>
                          <w:left w:val="nil"/>
                          <w:bottom w:val="nil"/>
                          <w:right w:val="nil"/>
                        </w:tcBorders>
                        <w:shd w:val="clear" w:color="auto" w:fill="auto"/>
                        <w:noWrap/>
                        <w:vAlign w:val="bottom"/>
                        <w:hideMark/>
                      </w:tcPr>
                      <w:p w14:paraId="4BB05327" w14:textId="77777777" w:rsidR="008C42C7" w:rsidRPr="00C02055" w:rsidRDefault="008C42C7" w:rsidP="00431B02">
                        <w:pPr>
                          <w:pStyle w:val="Tabletext"/>
                          <w:rPr>
                            <w:highlight w:val="yellow"/>
                          </w:rPr>
                        </w:pPr>
                      </w:p>
                    </w:tc>
                  </w:tr>
                </w:tbl>
                <w:p w14:paraId="3D020A29" w14:textId="77777777" w:rsidR="008C42C7" w:rsidRPr="00C02055" w:rsidRDefault="008C42C7" w:rsidP="00431B02">
                  <w:pPr>
                    <w:pStyle w:val="Tabletext"/>
                  </w:pPr>
                </w:p>
              </w:tc>
            </w:tr>
            <w:tr w:rsidR="008C42C7" w:rsidRPr="005C675A" w14:paraId="1521BE42" w14:textId="77777777" w:rsidTr="00431B02">
              <w:trPr>
                <w:jc w:val="center"/>
              </w:trPr>
              <w:tc>
                <w:tcPr>
                  <w:tcW w:w="3384" w:type="dxa"/>
                </w:tcPr>
                <w:p w14:paraId="2023E4F4" w14:textId="77777777" w:rsidR="008C42C7" w:rsidRPr="00C02055" w:rsidRDefault="008C42C7" w:rsidP="00431B02">
                  <w:pPr>
                    <w:pStyle w:val="Tabletext"/>
                  </w:pPr>
                  <w:r w:rsidRPr="00C02055">
                    <w:t>Maximum input power</w:t>
                  </w:r>
                </w:p>
              </w:tc>
              <w:tc>
                <w:tcPr>
                  <w:tcW w:w="2565" w:type="dxa"/>
                </w:tcPr>
                <w:p w14:paraId="1C133664" w14:textId="77777777" w:rsidR="008C42C7" w:rsidRPr="00C02055" w:rsidRDefault="008C42C7" w:rsidP="00431B02">
                  <w:pPr>
                    <w:pStyle w:val="Tabletext"/>
                    <w:jc w:val="center"/>
                  </w:pPr>
                  <w:r w:rsidRPr="00C02055">
                    <w:t xml:space="preserve">13.7 </w:t>
                  </w:r>
                  <w:proofErr w:type="spellStart"/>
                  <w:r w:rsidRPr="00C02055">
                    <w:t>dBW</w:t>
                  </w:r>
                  <w:proofErr w:type="spellEnd"/>
                </w:p>
              </w:tc>
              <w:tc>
                <w:tcPr>
                  <w:tcW w:w="2693" w:type="dxa"/>
                </w:tcPr>
                <w:p w14:paraId="281A5453" w14:textId="77777777" w:rsidR="008C42C7" w:rsidRPr="00C02055" w:rsidRDefault="008C42C7" w:rsidP="00431B02">
                  <w:pPr>
                    <w:pStyle w:val="Tabletext"/>
                    <w:jc w:val="center"/>
                  </w:pPr>
                  <w:r w:rsidRPr="00C02055">
                    <w:t xml:space="preserve">18.8 </w:t>
                  </w:r>
                  <w:proofErr w:type="spellStart"/>
                  <w:r w:rsidRPr="00C02055">
                    <w:t>dBW</w:t>
                  </w:r>
                  <w:proofErr w:type="spellEnd"/>
                </w:p>
              </w:tc>
            </w:tr>
            <w:tr w:rsidR="008C42C7" w:rsidRPr="005C675A" w14:paraId="199E0194" w14:textId="77777777" w:rsidTr="00431B02">
              <w:trPr>
                <w:jc w:val="center"/>
              </w:trPr>
              <w:tc>
                <w:tcPr>
                  <w:tcW w:w="3384" w:type="dxa"/>
                </w:tcPr>
                <w:p w14:paraId="4A8CB61A" w14:textId="77777777" w:rsidR="008C42C7" w:rsidRPr="00C02055" w:rsidRDefault="008C42C7" w:rsidP="00431B02">
                  <w:pPr>
                    <w:pStyle w:val="Tabletext"/>
                  </w:pPr>
                  <w:r w:rsidRPr="00C02055">
                    <w:t>Maximum input power density</w:t>
                  </w:r>
                </w:p>
              </w:tc>
              <w:tc>
                <w:tcPr>
                  <w:tcW w:w="2565" w:type="dxa"/>
                </w:tcPr>
                <w:p w14:paraId="1332F244" w14:textId="77777777" w:rsidR="008C42C7" w:rsidRPr="00C02055" w:rsidRDefault="008C42C7" w:rsidP="00431B02">
                  <w:pPr>
                    <w:pStyle w:val="Tabletext"/>
                    <w:jc w:val="center"/>
                  </w:pPr>
                  <w:r w:rsidRPr="00C02055">
                    <w:t xml:space="preserve">−61.5 </w:t>
                  </w:r>
                  <w:proofErr w:type="spellStart"/>
                  <w:r w:rsidRPr="00C02055">
                    <w:t>dBW</w:t>
                  </w:r>
                  <w:proofErr w:type="spellEnd"/>
                  <w:r w:rsidRPr="00C02055">
                    <w:t>/Hz</w:t>
                  </w:r>
                </w:p>
              </w:tc>
              <w:tc>
                <w:tcPr>
                  <w:tcW w:w="2693" w:type="dxa"/>
                </w:tcPr>
                <w:p w14:paraId="2484E6FB" w14:textId="77777777" w:rsidR="008C42C7" w:rsidRPr="00C02055" w:rsidRDefault="008C42C7" w:rsidP="00431B02">
                  <w:pPr>
                    <w:pStyle w:val="Tabletext"/>
                    <w:jc w:val="center"/>
                  </w:pPr>
                  <w:r w:rsidRPr="00C02055">
                    <w:t xml:space="preserve">−56.4 </w:t>
                  </w:r>
                  <w:proofErr w:type="spellStart"/>
                  <w:r w:rsidRPr="00C02055">
                    <w:t>dBW</w:t>
                  </w:r>
                  <w:proofErr w:type="spellEnd"/>
                  <w:r w:rsidRPr="00C02055">
                    <w:t>/Hz</w:t>
                  </w:r>
                </w:p>
              </w:tc>
            </w:tr>
            <w:tr w:rsidR="008C42C7" w:rsidRPr="005C675A" w14:paraId="21351FA0" w14:textId="77777777" w:rsidTr="00431B02">
              <w:trPr>
                <w:jc w:val="center"/>
              </w:trPr>
              <w:tc>
                <w:tcPr>
                  <w:tcW w:w="3384" w:type="dxa"/>
                </w:tcPr>
                <w:p w14:paraId="5DAF4ECD" w14:textId="77777777" w:rsidR="008C42C7" w:rsidRPr="00C02055" w:rsidRDefault="008C42C7" w:rsidP="00431B02">
                  <w:pPr>
                    <w:pStyle w:val="Tabletext"/>
                  </w:pPr>
                  <w:r w:rsidRPr="00C02055">
                    <w:t>Earth station antenna gain</w:t>
                  </w:r>
                </w:p>
              </w:tc>
              <w:tc>
                <w:tcPr>
                  <w:tcW w:w="2565" w:type="dxa"/>
                </w:tcPr>
                <w:p w14:paraId="296EE59E" w14:textId="77777777" w:rsidR="008C42C7" w:rsidRPr="00C02055" w:rsidRDefault="008C42C7" w:rsidP="00431B02">
                  <w:pPr>
                    <w:pStyle w:val="Tabletext"/>
                    <w:jc w:val="center"/>
                  </w:pPr>
                  <w:r w:rsidRPr="00C02055">
                    <w:t xml:space="preserve">33.5 </w:t>
                  </w:r>
                  <w:proofErr w:type="spellStart"/>
                  <w:r w:rsidRPr="00C02055">
                    <w:t>dBi</w:t>
                  </w:r>
                  <w:proofErr w:type="spellEnd"/>
                  <w:r>
                    <w:rPr>
                      <w:rStyle w:val="FootnoteReference"/>
                    </w:rPr>
                    <w:footnoteReference w:id="2"/>
                  </w:r>
                </w:p>
              </w:tc>
              <w:tc>
                <w:tcPr>
                  <w:tcW w:w="2693" w:type="dxa"/>
                </w:tcPr>
                <w:p w14:paraId="1E6B9B64" w14:textId="77777777" w:rsidR="008C42C7" w:rsidRPr="00C02055" w:rsidRDefault="008C42C7" w:rsidP="00431B02">
                  <w:pPr>
                    <w:pStyle w:val="Tabletext"/>
                    <w:jc w:val="center"/>
                  </w:pPr>
                  <w:r w:rsidRPr="00C02055">
                    <w:t xml:space="preserve">57 </w:t>
                  </w:r>
                  <w:proofErr w:type="spellStart"/>
                  <w:r w:rsidRPr="00C02055">
                    <w:t>dBi</w:t>
                  </w:r>
                  <w:proofErr w:type="spellEnd"/>
                </w:p>
              </w:tc>
            </w:tr>
            <w:tr w:rsidR="008C42C7" w:rsidRPr="005C675A" w14:paraId="770DB27F" w14:textId="77777777" w:rsidTr="00431B02">
              <w:trPr>
                <w:jc w:val="center"/>
              </w:trPr>
              <w:tc>
                <w:tcPr>
                  <w:tcW w:w="3384" w:type="dxa"/>
                </w:tcPr>
                <w:p w14:paraId="0E0AFDDE" w14:textId="77777777" w:rsidR="008C42C7" w:rsidRPr="00C02055" w:rsidRDefault="008C42C7" w:rsidP="00431B02">
                  <w:pPr>
                    <w:pStyle w:val="Tabletext"/>
                  </w:pPr>
                  <w:r w:rsidRPr="00C02055">
                    <w:t>Earth station antenna diameter</w:t>
                  </w:r>
                </w:p>
              </w:tc>
              <w:tc>
                <w:tcPr>
                  <w:tcW w:w="2565" w:type="dxa"/>
                </w:tcPr>
                <w:p w14:paraId="56B9DEBA" w14:textId="77777777" w:rsidR="008C42C7" w:rsidRPr="00C02055" w:rsidRDefault="008C42C7" w:rsidP="00431B02">
                  <w:pPr>
                    <w:pStyle w:val="Tabletext"/>
                    <w:jc w:val="center"/>
                  </w:pPr>
                  <w:r w:rsidRPr="00C02055">
                    <w:t>0.6 m</w:t>
                  </w:r>
                </w:p>
              </w:tc>
              <w:tc>
                <w:tcPr>
                  <w:tcW w:w="2693" w:type="dxa"/>
                </w:tcPr>
                <w:p w14:paraId="33A25E70" w14:textId="77777777" w:rsidR="008C42C7" w:rsidRPr="00C02055" w:rsidRDefault="008C42C7" w:rsidP="00431B02">
                  <w:pPr>
                    <w:pStyle w:val="Tabletext"/>
                    <w:jc w:val="center"/>
                  </w:pPr>
                  <w:r w:rsidRPr="00C02055">
                    <w:t>5 m</w:t>
                  </w:r>
                </w:p>
              </w:tc>
            </w:tr>
            <w:tr w:rsidR="008C42C7" w:rsidRPr="005C675A" w14:paraId="3DEBFF6E" w14:textId="77777777" w:rsidTr="00431B02">
              <w:trPr>
                <w:jc w:val="center"/>
              </w:trPr>
              <w:tc>
                <w:tcPr>
                  <w:tcW w:w="3384" w:type="dxa"/>
                </w:tcPr>
                <w:p w14:paraId="63859ABC" w14:textId="77777777" w:rsidR="008C42C7" w:rsidRPr="00C02055" w:rsidRDefault="008C42C7" w:rsidP="00431B02">
                  <w:pPr>
                    <w:pStyle w:val="Tabletext"/>
                  </w:pPr>
                  <w:r w:rsidRPr="00C02055">
                    <w:t>Earth station antenna pattern</w:t>
                  </w:r>
                </w:p>
              </w:tc>
              <w:tc>
                <w:tcPr>
                  <w:tcW w:w="2565" w:type="dxa"/>
                </w:tcPr>
                <w:p w14:paraId="178E0E05" w14:textId="77777777" w:rsidR="008C42C7" w:rsidRPr="00C02055" w:rsidRDefault="008C42C7" w:rsidP="00431B02">
                  <w:pPr>
                    <w:pStyle w:val="Tabletext"/>
                    <w:jc w:val="center"/>
                  </w:pPr>
                  <w:r w:rsidRPr="00C02055">
                    <w:t>MODRES</w:t>
                  </w:r>
                </w:p>
              </w:tc>
              <w:tc>
                <w:tcPr>
                  <w:tcW w:w="2693" w:type="dxa"/>
                </w:tcPr>
                <w:p w14:paraId="3FBC82A0" w14:textId="77777777" w:rsidR="008C42C7" w:rsidRPr="00C02055" w:rsidRDefault="008C42C7" w:rsidP="00431B02">
                  <w:pPr>
                    <w:pStyle w:val="Tabletext"/>
                    <w:jc w:val="center"/>
                  </w:pPr>
                  <w:r w:rsidRPr="00C02055">
                    <w:t>MODTES</w:t>
                  </w:r>
                </w:p>
              </w:tc>
            </w:tr>
            <w:tr w:rsidR="008C42C7" w:rsidRPr="005C675A" w14:paraId="0426E0C5" w14:textId="77777777" w:rsidTr="00431B02">
              <w:trPr>
                <w:jc w:val="center"/>
              </w:trPr>
              <w:tc>
                <w:tcPr>
                  <w:tcW w:w="3384" w:type="dxa"/>
                </w:tcPr>
                <w:p w14:paraId="21B2E77E" w14:textId="77777777" w:rsidR="008C42C7" w:rsidRPr="00C02055" w:rsidRDefault="008C42C7" w:rsidP="00431B02">
                  <w:pPr>
                    <w:pStyle w:val="Tabletext"/>
                  </w:pPr>
                  <w:r w:rsidRPr="00C02055">
                    <w:t>Earth station 3dB beam width</w:t>
                  </w:r>
                </w:p>
              </w:tc>
              <w:tc>
                <w:tcPr>
                  <w:tcW w:w="2565" w:type="dxa"/>
                </w:tcPr>
                <w:p w14:paraId="6767A004" w14:textId="77777777" w:rsidR="008C42C7" w:rsidRPr="00C02055" w:rsidRDefault="008C42C7" w:rsidP="00431B02">
                  <w:pPr>
                    <w:pStyle w:val="Tabletext"/>
                    <w:jc w:val="center"/>
                  </w:pPr>
                  <w:r w:rsidRPr="00C02055">
                    <w:t>2.86</w:t>
                  </w:r>
                  <w:r w:rsidRPr="00C02055">
                    <w:sym w:font="Symbol" w:char="F0B0"/>
                  </w:r>
                </w:p>
              </w:tc>
              <w:tc>
                <w:tcPr>
                  <w:tcW w:w="2693" w:type="dxa"/>
                </w:tcPr>
                <w:p w14:paraId="0D72B217" w14:textId="77777777" w:rsidR="008C42C7" w:rsidRPr="00C02055" w:rsidRDefault="008C42C7" w:rsidP="00431B02">
                  <w:pPr>
                    <w:pStyle w:val="Tabletext"/>
                    <w:jc w:val="center"/>
                  </w:pPr>
                  <w:r w:rsidRPr="00C02055">
                    <w:t>0.25</w:t>
                  </w:r>
                  <w:r w:rsidRPr="00C02055">
                    <w:sym w:font="Symbol" w:char="F0B0"/>
                  </w:r>
                </w:p>
              </w:tc>
            </w:tr>
            <w:tr w:rsidR="008C42C7" w:rsidRPr="005C675A" w14:paraId="58C0CFFC" w14:textId="77777777" w:rsidTr="00431B02">
              <w:trPr>
                <w:jc w:val="center"/>
              </w:trPr>
              <w:tc>
                <w:tcPr>
                  <w:tcW w:w="3384" w:type="dxa"/>
                </w:tcPr>
                <w:p w14:paraId="628992D2" w14:textId="77777777" w:rsidR="008C42C7" w:rsidRPr="00C02055" w:rsidRDefault="008C42C7" w:rsidP="00431B02">
                  <w:pPr>
                    <w:pStyle w:val="Tabletext"/>
                  </w:pPr>
                  <w:r w:rsidRPr="00C02055">
                    <w:t>10 channels</w:t>
                  </w:r>
                </w:p>
              </w:tc>
              <w:tc>
                <w:tcPr>
                  <w:tcW w:w="2565" w:type="dxa"/>
                </w:tcPr>
                <w:p w14:paraId="52D27767" w14:textId="77777777" w:rsidR="008C42C7" w:rsidRPr="00C02055" w:rsidRDefault="008C42C7" w:rsidP="00431B02">
                  <w:pPr>
                    <w:pStyle w:val="Tabletext"/>
                    <w:jc w:val="center"/>
                  </w:pPr>
                  <w:r w:rsidRPr="00C02055">
                    <w:t>1, 2, 3, 4, 5, 6, 7, 8, 17, 18</w:t>
                  </w:r>
                </w:p>
              </w:tc>
              <w:tc>
                <w:tcPr>
                  <w:tcW w:w="2693" w:type="dxa"/>
                </w:tcPr>
                <w:p w14:paraId="6F3B8095" w14:textId="77777777" w:rsidR="008C42C7" w:rsidRPr="00C02055" w:rsidRDefault="008C42C7" w:rsidP="00431B02">
                  <w:pPr>
                    <w:pStyle w:val="Tabletext"/>
                    <w:jc w:val="center"/>
                  </w:pPr>
                  <w:r w:rsidRPr="00C02055">
                    <w:t>1, 2, 3, 4, 5, 6, 7, 8, 17, 18</w:t>
                  </w:r>
                </w:p>
              </w:tc>
            </w:tr>
            <w:tr w:rsidR="008C42C7" w:rsidRPr="005C675A" w14:paraId="5B2B5FF8" w14:textId="77777777" w:rsidTr="00431B02">
              <w:trPr>
                <w:jc w:val="center"/>
              </w:trPr>
              <w:tc>
                <w:tcPr>
                  <w:tcW w:w="3384" w:type="dxa"/>
                </w:tcPr>
                <w:p w14:paraId="77F7DA20" w14:textId="77777777" w:rsidR="008C42C7" w:rsidRPr="00C02055" w:rsidRDefault="008C42C7" w:rsidP="00431B02">
                  <w:pPr>
                    <w:pStyle w:val="Tabletext"/>
                  </w:pPr>
                  <w:r w:rsidRPr="00C02055">
                    <w:t>Bandwidth per channel</w:t>
                  </w:r>
                </w:p>
              </w:tc>
              <w:tc>
                <w:tcPr>
                  <w:tcW w:w="2565" w:type="dxa"/>
                </w:tcPr>
                <w:p w14:paraId="7A77E6D2" w14:textId="77777777" w:rsidR="008C42C7" w:rsidRPr="00C02055" w:rsidRDefault="008C42C7" w:rsidP="00431B02">
                  <w:pPr>
                    <w:pStyle w:val="Tabletext"/>
                    <w:jc w:val="center"/>
                  </w:pPr>
                  <w:r w:rsidRPr="00C02055">
                    <w:t>33 MHz</w:t>
                  </w:r>
                </w:p>
              </w:tc>
              <w:tc>
                <w:tcPr>
                  <w:tcW w:w="2693" w:type="dxa"/>
                </w:tcPr>
                <w:p w14:paraId="64DF0763" w14:textId="77777777" w:rsidR="008C42C7" w:rsidRPr="00C02055" w:rsidRDefault="008C42C7" w:rsidP="00431B02">
                  <w:pPr>
                    <w:pStyle w:val="Tabletext"/>
                    <w:jc w:val="center"/>
                  </w:pPr>
                  <w:r w:rsidRPr="00C02055">
                    <w:t>33 MHz</w:t>
                  </w:r>
                </w:p>
              </w:tc>
            </w:tr>
            <w:tr w:rsidR="008C42C7" w:rsidRPr="005C675A" w14:paraId="600D72F9" w14:textId="77777777" w:rsidTr="00431B02">
              <w:trPr>
                <w:jc w:val="center"/>
              </w:trPr>
              <w:tc>
                <w:tcPr>
                  <w:tcW w:w="3384" w:type="dxa"/>
                </w:tcPr>
                <w:p w14:paraId="2A0D825D" w14:textId="77777777" w:rsidR="008C42C7" w:rsidRPr="00C02055" w:rsidRDefault="008C42C7" w:rsidP="00431B02">
                  <w:pPr>
                    <w:pStyle w:val="Tabletext"/>
                  </w:pPr>
                  <w:r w:rsidRPr="00C02055">
                    <w:t>Polarization</w:t>
                  </w:r>
                </w:p>
              </w:tc>
              <w:tc>
                <w:tcPr>
                  <w:tcW w:w="2565" w:type="dxa"/>
                </w:tcPr>
                <w:p w14:paraId="634EF862" w14:textId="77777777" w:rsidR="008C42C7" w:rsidRPr="00C02055" w:rsidRDefault="008C42C7" w:rsidP="00431B02">
                  <w:pPr>
                    <w:pStyle w:val="Tabletext"/>
                    <w:jc w:val="center"/>
                  </w:pPr>
                  <w:r w:rsidRPr="00C02055">
                    <w:t>Odd linear 0</w:t>
                  </w:r>
                  <w:r w:rsidRPr="00C02055">
                    <w:sym w:font="Symbol" w:char="F0B0"/>
                  </w:r>
                </w:p>
                <w:p w14:paraId="679BB632" w14:textId="77777777" w:rsidR="008C42C7" w:rsidRPr="00C02055" w:rsidRDefault="008C42C7" w:rsidP="00431B02">
                  <w:pPr>
                    <w:pStyle w:val="Tabletext"/>
                    <w:jc w:val="center"/>
                  </w:pPr>
                  <w:r w:rsidRPr="00C02055">
                    <w:t>Even linear 90</w:t>
                  </w:r>
                  <w:r w:rsidRPr="00C02055">
                    <w:sym w:font="Symbol" w:char="F0B0"/>
                  </w:r>
                </w:p>
              </w:tc>
              <w:tc>
                <w:tcPr>
                  <w:tcW w:w="2693" w:type="dxa"/>
                </w:tcPr>
                <w:p w14:paraId="5BA979E6" w14:textId="77777777" w:rsidR="008C42C7" w:rsidRPr="00C02055" w:rsidRDefault="008C42C7" w:rsidP="00431B02">
                  <w:pPr>
                    <w:pStyle w:val="Tabletext"/>
                    <w:jc w:val="center"/>
                  </w:pPr>
                  <w:r w:rsidRPr="00C02055">
                    <w:t>Odd linear 0</w:t>
                  </w:r>
                  <w:r w:rsidRPr="00C02055">
                    <w:sym w:font="Symbol" w:char="F0B0"/>
                  </w:r>
                </w:p>
                <w:p w14:paraId="0FB64F50" w14:textId="77777777" w:rsidR="008C42C7" w:rsidRPr="00C02055" w:rsidRDefault="008C42C7" w:rsidP="00431B02">
                  <w:pPr>
                    <w:pStyle w:val="Tabletext"/>
                    <w:jc w:val="center"/>
                  </w:pPr>
                  <w:r w:rsidRPr="00C02055">
                    <w:t>Even linear 90</w:t>
                  </w:r>
                  <w:r w:rsidRPr="00C02055">
                    <w:sym w:font="Symbol" w:char="F0B0"/>
                  </w:r>
                </w:p>
              </w:tc>
            </w:tr>
            <w:tr w:rsidR="008C42C7" w:rsidRPr="005C675A" w14:paraId="69FF463E" w14:textId="77777777" w:rsidTr="00431B02">
              <w:trPr>
                <w:jc w:val="center"/>
              </w:trPr>
              <w:tc>
                <w:tcPr>
                  <w:tcW w:w="3384" w:type="dxa"/>
                </w:tcPr>
                <w:p w14:paraId="7F009C29" w14:textId="77777777" w:rsidR="008C42C7" w:rsidRPr="00C02055" w:rsidRDefault="008C42C7" w:rsidP="00431B02">
                  <w:pPr>
                    <w:pStyle w:val="Tabletext"/>
                  </w:pPr>
                  <w:r w:rsidRPr="00C02055">
                    <w:t>Designation of emission</w:t>
                  </w:r>
                </w:p>
              </w:tc>
              <w:tc>
                <w:tcPr>
                  <w:tcW w:w="2565" w:type="dxa"/>
                </w:tcPr>
                <w:p w14:paraId="5573CBB3" w14:textId="77777777" w:rsidR="008C42C7" w:rsidRPr="00C02055" w:rsidRDefault="008C42C7" w:rsidP="00431B02">
                  <w:pPr>
                    <w:pStyle w:val="Tabletext"/>
                    <w:jc w:val="center"/>
                  </w:pPr>
                  <w:r w:rsidRPr="00C02055">
                    <w:t>33M0G7W--</w:t>
                  </w:r>
                </w:p>
              </w:tc>
              <w:tc>
                <w:tcPr>
                  <w:tcW w:w="2693" w:type="dxa"/>
                </w:tcPr>
                <w:p w14:paraId="565A8724" w14:textId="77777777" w:rsidR="008C42C7" w:rsidRPr="00C02055" w:rsidRDefault="008C42C7" w:rsidP="00431B02">
                  <w:pPr>
                    <w:pStyle w:val="Tabletext"/>
                    <w:jc w:val="center"/>
                  </w:pPr>
                  <w:r w:rsidRPr="00C02055">
                    <w:t>33M0G7W--</w:t>
                  </w:r>
                </w:p>
              </w:tc>
            </w:tr>
            <w:tr w:rsidR="008C42C7" w:rsidRPr="005C675A" w14:paraId="569406F9" w14:textId="77777777" w:rsidTr="00431B02">
              <w:trPr>
                <w:jc w:val="center"/>
              </w:trPr>
              <w:tc>
                <w:tcPr>
                  <w:tcW w:w="3384" w:type="dxa"/>
                </w:tcPr>
                <w:p w14:paraId="0136B462" w14:textId="77777777" w:rsidR="008C42C7" w:rsidRPr="00C02055" w:rsidRDefault="008C42C7" w:rsidP="00431B02">
                  <w:pPr>
                    <w:pStyle w:val="Tabletext"/>
                  </w:pPr>
                  <w:r w:rsidRPr="00C02055">
                    <w:t>Power control</w:t>
                  </w:r>
                </w:p>
              </w:tc>
              <w:tc>
                <w:tcPr>
                  <w:tcW w:w="2565" w:type="dxa"/>
                </w:tcPr>
                <w:p w14:paraId="2AB2D0BF" w14:textId="77777777" w:rsidR="008C42C7" w:rsidRPr="00C02055" w:rsidRDefault="008C42C7" w:rsidP="00431B02">
                  <w:pPr>
                    <w:pStyle w:val="Tabletext"/>
                    <w:jc w:val="center"/>
                  </w:pPr>
                </w:p>
              </w:tc>
              <w:tc>
                <w:tcPr>
                  <w:tcW w:w="2693" w:type="dxa"/>
                </w:tcPr>
                <w:p w14:paraId="28FEEB42" w14:textId="77777777" w:rsidR="008C42C7" w:rsidRPr="00C02055" w:rsidRDefault="008C42C7" w:rsidP="00431B02">
                  <w:pPr>
                    <w:pStyle w:val="Tabletext"/>
                    <w:jc w:val="center"/>
                  </w:pPr>
                  <w:r w:rsidRPr="00C02055">
                    <w:t>3 dB</w:t>
                  </w:r>
                </w:p>
              </w:tc>
            </w:tr>
            <w:tr w:rsidR="008C42C7" w:rsidRPr="005C675A" w14:paraId="2C75E536" w14:textId="77777777" w:rsidTr="00431B02">
              <w:trPr>
                <w:jc w:val="center"/>
              </w:trPr>
              <w:tc>
                <w:tcPr>
                  <w:tcW w:w="3384" w:type="dxa"/>
                </w:tcPr>
                <w:p w14:paraId="07DC654D" w14:textId="77777777" w:rsidR="008C42C7" w:rsidRPr="00C02055" w:rsidRDefault="008C42C7" w:rsidP="00431B02">
                  <w:pPr>
                    <w:pStyle w:val="Tabletext"/>
                  </w:pPr>
                  <w:r w:rsidRPr="00C02055">
                    <w:lastRenderedPageBreak/>
                    <w:t>Automatic gain control</w:t>
                  </w:r>
                </w:p>
              </w:tc>
              <w:tc>
                <w:tcPr>
                  <w:tcW w:w="2565" w:type="dxa"/>
                </w:tcPr>
                <w:p w14:paraId="2D26E6E2" w14:textId="77777777" w:rsidR="008C42C7" w:rsidRPr="00C02055" w:rsidRDefault="008C42C7" w:rsidP="00431B02">
                  <w:pPr>
                    <w:pStyle w:val="Tabletext"/>
                    <w:jc w:val="center"/>
                  </w:pPr>
                </w:p>
              </w:tc>
              <w:tc>
                <w:tcPr>
                  <w:tcW w:w="2693" w:type="dxa"/>
                </w:tcPr>
                <w:p w14:paraId="48743083" w14:textId="77777777" w:rsidR="008C42C7" w:rsidRPr="00C02055" w:rsidRDefault="008C42C7" w:rsidP="00431B02">
                  <w:pPr>
                    <w:pStyle w:val="Tabletext"/>
                    <w:jc w:val="center"/>
                  </w:pPr>
                  <w:r w:rsidRPr="00C02055">
                    <w:t>15 dB</w:t>
                  </w:r>
                </w:p>
              </w:tc>
            </w:tr>
            <w:tr w:rsidR="008C42C7" w:rsidRPr="005C675A" w14:paraId="2CECF1E1" w14:textId="77777777" w:rsidTr="00431B02">
              <w:trPr>
                <w:jc w:val="center"/>
              </w:trPr>
              <w:tc>
                <w:tcPr>
                  <w:tcW w:w="3384" w:type="dxa"/>
                </w:tcPr>
                <w:p w14:paraId="41E7175E" w14:textId="77777777" w:rsidR="008C42C7" w:rsidRPr="00C02055" w:rsidRDefault="008C42C7" w:rsidP="00431B02">
                  <w:pPr>
                    <w:pStyle w:val="Tabletext"/>
                  </w:pPr>
                  <w:r w:rsidRPr="00C02055">
                    <w:t>Noise temperature</w:t>
                  </w:r>
                </w:p>
              </w:tc>
              <w:tc>
                <w:tcPr>
                  <w:tcW w:w="2565" w:type="dxa"/>
                </w:tcPr>
                <w:p w14:paraId="59784751" w14:textId="77777777" w:rsidR="008C42C7" w:rsidRPr="00C02055" w:rsidRDefault="008C42C7" w:rsidP="00431B02">
                  <w:pPr>
                    <w:pStyle w:val="Tabletext"/>
                    <w:jc w:val="center"/>
                  </w:pPr>
                </w:p>
              </w:tc>
              <w:tc>
                <w:tcPr>
                  <w:tcW w:w="2693" w:type="dxa"/>
                </w:tcPr>
                <w:p w14:paraId="7654C3EA" w14:textId="77777777" w:rsidR="008C42C7" w:rsidRPr="00C02055" w:rsidRDefault="008C42C7" w:rsidP="00431B02">
                  <w:pPr>
                    <w:pStyle w:val="Tabletext"/>
                    <w:jc w:val="center"/>
                  </w:pPr>
                  <w:r w:rsidRPr="00C02055">
                    <w:t>600 K</w:t>
                  </w:r>
                </w:p>
              </w:tc>
            </w:tr>
            <w:tr w:rsidR="008C42C7" w:rsidRPr="005C675A" w14:paraId="27F82363" w14:textId="77777777" w:rsidTr="00431B02">
              <w:trPr>
                <w:jc w:val="center"/>
              </w:trPr>
              <w:tc>
                <w:tcPr>
                  <w:tcW w:w="3384" w:type="dxa"/>
                </w:tcPr>
                <w:p w14:paraId="1908009C" w14:textId="77777777" w:rsidR="008C42C7" w:rsidRPr="00C02055" w:rsidRDefault="008C42C7" w:rsidP="00431B02">
                  <w:pPr>
                    <w:pStyle w:val="Tabletext"/>
                  </w:pPr>
                  <w:r w:rsidRPr="00C02055">
                    <w:t>Exclusive operation group code</w:t>
                  </w:r>
                </w:p>
              </w:tc>
              <w:tc>
                <w:tcPr>
                  <w:tcW w:w="2565" w:type="dxa"/>
                </w:tcPr>
                <w:p w14:paraId="630C192A" w14:textId="77777777" w:rsidR="008C42C7" w:rsidRPr="00C02055" w:rsidRDefault="008C42C7" w:rsidP="00431B02">
                  <w:pPr>
                    <w:pStyle w:val="Tabletext"/>
                    <w:jc w:val="center"/>
                  </w:pPr>
                  <w:r w:rsidRPr="00C02055">
                    <w:t>E5</w:t>
                  </w:r>
                </w:p>
              </w:tc>
              <w:tc>
                <w:tcPr>
                  <w:tcW w:w="2693" w:type="dxa"/>
                </w:tcPr>
                <w:p w14:paraId="622E5ECF" w14:textId="77777777" w:rsidR="008C42C7" w:rsidRPr="00C02055" w:rsidRDefault="008C42C7" w:rsidP="00431B02">
                  <w:pPr>
                    <w:pStyle w:val="Tabletext"/>
                    <w:jc w:val="center"/>
                  </w:pPr>
                  <w:r w:rsidRPr="00C02055">
                    <w:t>E5</w:t>
                  </w:r>
                </w:p>
              </w:tc>
            </w:tr>
          </w:tbl>
          <w:p w14:paraId="75724DED" w14:textId="77777777" w:rsidR="008C42C7" w:rsidRPr="00C02055" w:rsidRDefault="008C42C7" w:rsidP="00431B02">
            <w:pPr>
              <w:pStyle w:val="TableNo"/>
            </w:pPr>
            <w:r w:rsidRPr="00C02055">
              <w:t>Table 2</w:t>
            </w:r>
          </w:p>
          <w:p w14:paraId="3D246972" w14:textId="77777777" w:rsidR="008C42C7" w:rsidRPr="00C02055" w:rsidRDefault="008C42C7" w:rsidP="00431B02">
            <w:pPr>
              <w:pStyle w:val="Tabletitle"/>
            </w:pPr>
            <w:r w:rsidRPr="00C02055">
              <w:t xml:space="preserve">The relevant beams of the BULSAT-BSS-1.2W-W satellite network in which </w:t>
            </w:r>
            <w:r w:rsidRPr="00C02055">
              <w:br/>
              <w:t>the frequency assignments are to be cancelled</w:t>
            </w:r>
          </w:p>
          <w:tbl>
            <w:tblPr>
              <w:tblStyle w:val="TableGrid"/>
              <w:tblW w:w="0" w:type="auto"/>
              <w:jc w:val="center"/>
              <w:tblLayout w:type="fixed"/>
              <w:tblLook w:val="04A0" w:firstRow="1" w:lastRow="0" w:firstColumn="1" w:lastColumn="0" w:noHBand="0" w:noVBand="1"/>
            </w:tblPr>
            <w:tblGrid>
              <w:gridCol w:w="2690"/>
              <w:gridCol w:w="1926"/>
              <w:gridCol w:w="2664"/>
              <w:gridCol w:w="2012"/>
            </w:tblGrid>
            <w:tr w:rsidR="008C42C7" w:rsidRPr="00C02055" w14:paraId="16E4EDD3" w14:textId="77777777" w:rsidTr="00431B02">
              <w:trPr>
                <w:jc w:val="center"/>
              </w:trPr>
              <w:tc>
                <w:tcPr>
                  <w:tcW w:w="2690" w:type="dxa"/>
                </w:tcPr>
                <w:p w14:paraId="38EE0711" w14:textId="77777777" w:rsidR="008C42C7" w:rsidRPr="00C02055" w:rsidRDefault="008C42C7" w:rsidP="00431B02">
                  <w:pPr>
                    <w:pStyle w:val="Tablehead"/>
                  </w:pPr>
                  <w:r w:rsidRPr="00C02055">
                    <w:t>Satellite name</w:t>
                  </w:r>
                </w:p>
              </w:tc>
              <w:tc>
                <w:tcPr>
                  <w:tcW w:w="1926" w:type="dxa"/>
                </w:tcPr>
                <w:p w14:paraId="1E91EA0D" w14:textId="77777777" w:rsidR="008C42C7" w:rsidRPr="00C02055" w:rsidRDefault="008C42C7" w:rsidP="00431B02">
                  <w:pPr>
                    <w:pStyle w:val="Tablehead"/>
                  </w:pPr>
                  <w:r w:rsidRPr="00C02055">
                    <w:t>Orbital position</w:t>
                  </w:r>
                </w:p>
              </w:tc>
              <w:tc>
                <w:tcPr>
                  <w:tcW w:w="2664" w:type="dxa"/>
                </w:tcPr>
                <w:p w14:paraId="5ECCA427" w14:textId="77777777" w:rsidR="008C42C7" w:rsidRPr="00C02055" w:rsidRDefault="008C42C7" w:rsidP="00431B02">
                  <w:pPr>
                    <w:pStyle w:val="Tablehead"/>
                  </w:pPr>
                  <w:r w:rsidRPr="00C02055">
                    <w:t>Special Section (Part B)</w:t>
                  </w:r>
                </w:p>
              </w:tc>
              <w:tc>
                <w:tcPr>
                  <w:tcW w:w="2012" w:type="dxa"/>
                </w:tcPr>
                <w:p w14:paraId="6BC2452E" w14:textId="77777777" w:rsidR="008C42C7" w:rsidRPr="00C02055" w:rsidRDefault="008C42C7" w:rsidP="00431B02">
                  <w:pPr>
                    <w:pStyle w:val="Tablehead"/>
                  </w:pPr>
                  <w:r w:rsidRPr="00C02055">
                    <w:t>Beam</w:t>
                  </w:r>
                </w:p>
              </w:tc>
            </w:tr>
            <w:tr w:rsidR="008C42C7" w:rsidRPr="00C02055" w14:paraId="3E74141C" w14:textId="77777777" w:rsidTr="00431B02">
              <w:trPr>
                <w:jc w:val="center"/>
              </w:trPr>
              <w:tc>
                <w:tcPr>
                  <w:tcW w:w="2690" w:type="dxa"/>
                  <w:vMerge w:val="restart"/>
                  <w:vAlign w:val="center"/>
                </w:tcPr>
                <w:p w14:paraId="678471B8" w14:textId="77777777" w:rsidR="008C42C7" w:rsidRPr="00C02055" w:rsidRDefault="008C42C7" w:rsidP="00431B02">
                  <w:pPr>
                    <w:pStyle w:val="Tabletext"/>
                  </w:pPr>
                  <w:r w:rsidRPr="00C02055">
                    <w:t>BULSAT-BSS-1.2W-W</w:t>
                  </w:r>
                </w:p>
              </w:tc>
              <w:tc>
                <w:tcPr>
                  <w:tcW w:w="1926" w:type="dxa"/>
                  <w:vMerge w:val="restart"/>
                  <w:vAlign w:val="center"/>
                </w:tcPr>
                <w:p w14:paraId="5F0B9747" w14:textId="77777777" w:rsidR="008C42C7" w:rsidRPr="00C02055" w:rsidRDefault="008C42C7" w:rsidP="00431B02">
                  <w:pPr>
                    <w:pStyle w:val="Tabletext"/>
                    <w:jc w:val="center"/>
                  </w:pPr>
                  <w:r w:rsidRPr="00C02055">
                    <w:t>1.9° E</w:t>
                  </w:r>
                </w:p>
              </w:tc>
              <w:tc>
                <w:tcPr>
                  <w:tcW w:w="2664" w:type="dxa"/>
                  <w:vAlign w:val="center"/>
                </w:tcPr>
                <w:p w14:paraId="5AB76D29" w14:textId="77777777" w:rsidR="008C42C7" w:rsidRPr="00C02055" w:rsidRDefault="008C42C7" w:rsidP="00431B02">
                  <w:pPr>
                    <w:pStyle w:val="Tabletext"/>
                    <w:jc w:val="center"/>
                  </w:pPr>
                  <w:r w:rsidRPr="00C02055">
                    <w:t>AP30/E/599</w:t>
                  </w:r>
                </w:p>
              </w:tc>
              <w:tc>
                <w:tcPr>
                  <w:tcW w:w="2012" w:type="dxa"/>
                  <w:vAlign w:val="center"/>
                </w:tcPr>
                <w:p w14:paraId="49E3AD16" w14:textId="77777777" w:rsidR="008C42C7" w:rsidRPr="00C02055" w:rsidRDefault="008C42C7" w:rsidP="00431B02">
                  <w:pPr>
                    <w:pStyle w:val="Tabletext"/>
                    <w:jc w:val="center"/>
                  </w:pPr>
                  <w:r w:rsidRPr="00C02055">
                    <w:t>CEED</w:t>
                  </w:r>
                </w:p>
              </w:tc>
            </w:tr>
            <w:tr w:rsidR="008C42C7" w:rsidRPr="00C02055" w14:paraId="791B859F" w14:textId="77777777" w:rsidTr="00431B02">
              <w:trPr>
                <w:jc w:val="center"/>
              </w:trPr>
              <w:tc>
                <w:tcPr>
                  <w:tcW w:w="2690" w:type="dxa"/>
                  <w:vMerge/>
                  <w:vAlign w:val="center"/>
                </w:tcPr>
                <w:p w14:paraId="06345E53" w14:textId="77777777" w:rsidR="008C42C7" w:rsidRPr="00C02055" w:rsidRDefault="008C42C7" w:rsidP="00431B02">
                  <w:pPr>
                    <w:pStyle w:val="Tabletext"/>
                  </w:pPr>
                </w:p>
              </w:tc>
              <w:tc>
                <w:tcPr>
                  <w:tcW w:w="1926" w:type="dxa"/>
                  <w:vMerge/>
                  <w:vAlign w:val="center"/>
                </w:tcPr>
                <w:p w14:paraId="22135C10" w14:textId="77777777" w:rsidR="008C42C7" w:rsidRPr="00C02055" w:rsidRDefault="008C42C7" w:rsidP="00431B02">
                  <w:pPr>
                    <w:pStyle w:val="Tabletext"/>
                    <w:jc w:val="center"/>
                  </w:pPr>
                </w:p>
              </w:tc>
              <w:tc>
                <w:tcPr>
                  <w:tcW w:w="2664" w:type="dxa"/>
                  <w:vAlign w:val="center"/>
                </w:tcPr>
                <w:p w14:paraId="5BBF9758" w14:textId="77777777" w:rsidR="008C42C7" w:rsidRPr="00C02055" w:rsidRDefault="008C42C7" w:rsidP="00431B02">
                  <w:pPr>
                    <w:pStyle w:val="Tabletext"/>
                    <w:jc w:val="center"/>
                  </w:pPr>
                  <w:r w:rsidRPr="00C02055">
                    <w:t>AP30A/E/542</w:t>
                  </w:r>
                </w:p>
              </w:tc>
              <w:tc>
                <w:tcPr>
                  <w:tcW w:w="2012" w:type="dxa"/>
                  <w:vAlign w:val="center"/>
                </w:tcPr>
                <w:p w14:paraId="601DFA63" w14:textId="77777777" w:rsidR="008C42C7" w:rsidRPr="00C02055" w:rsidRDefault="008C42C7" w:rsidP="00431B02">
                  <w:pPr>
                    <w:pStyle w:val="Tabletext"/>
                    <w:jc w:val="center"/>
                  </w:pPr>
                  <w:r w:rsidRPr="00C02055">
                    <w:t>CER</w:t>
                  </w:r>
                </w:p>
              </w:tc>
            </w:tr>
          </w:tbl>
          <w:p w14:paraId="2FE226EA" w14:textId="77777777" w:rsidR="008C42C7" w:rsidRPr="005C675A" w:rsidRDefault="008C42C7" w:rsidP="00431B02">
            <w:pPr>
              <w:pStyle w:val="Tablefin"/>
              <w:spacing w:line="480" w:lineRule="auto"/>
              <w:rPr>
                <w:lang w:val="en-US"/>
              </w:rPr>
            </w:pPr>
          </w:p>
          <w:tbl>
            <w:tblPr>
              <w:tblStyle w:val="TableGrid"/>
              <w:tblW w:w="0" w:type="auto"/>
              <w:tblLayout w:type="fixed"/>
              <w:tblLook w:val="04A0" w:firstRow="1" w:lastRow="0" w:firstColumn="1" w:lastColumn="0" w:noHBand="0" w:noVBand="1"/>
            </w:tblPr>
            <w:tblGrid>
              <w:gridCol w:w="4866"/>
              <w:gridCol w:w="4763"/>
            </w:tblGrid>
            <w:tr w:rsidR="008C42C7" w:rsidRPr="005C675A" w14:paraId="42147B96" w14:textId="77777777" w:rsidTr="00431B02">
              <w:tc>
                <w:tcPr>
                  <w:tcW w:w="4866" w:type="dxa"/>
                </w:tcPr>
                <w:p w14:paraId="11FBA61E" w14:textId="77777777" w:rsidR="008C42C7" w:rsidRPr="00912382" w:rsidRDefault="008C42C7" w:rsidP="00431B02">
                  <w:pPr>
                    <w:keepNext/>
                    <w:keepLines/>
                    <w:spacing w:line="480" w:lineRule="auto"/>
                    <w:jc w:val="center"/>
                    <w:rPr>
                      <w:sz w:val="20"/>
                      <w:szCs w:val="20"/>
                    </w:rPr>
                  </w:pPr>
                  <w:r w:rsidRPr="00912382">
                    <w:rPr>
                      <w:sz w:val="20"/>
                      <w:szCs w:val="20"/>
                    </w:rPr>
                    <w:t xml:space="preserve">The </w:t>
                  </w:r>
                  <w:r w:rsidRPr="00912382">
                    <w:rPr>
                      <w:rFonts w:eastAsia="Times New Roman+FPEF"/>
                      <w:sz w:val="20"/>
                      <w:szCs w:val="20"/>
                    </w:rPr>
                    <w:t>CEED downlink beam</w:t>
                  </w:r>
                </w:p>
              </w:tc>
              <w:tc>
                <w:tcPr>
                  <w:tcW w:w="4763" w:type="dxa"/>
                </w:tcPr>
                <w:p w14:paraId="7E208ED5" w14:textId="77777777" w:rsidR="008C42C7" w:rsidRPr="00912382" w:rsidRDefault="008C42C7" w:rsidP="00431B02">
                  <w:pPr>
                    <w:keepNext/>
                    <w:keepLines/>
                    <w:spacing w:line="480" w:lineRule="auto"/>
                    <w:jc w:val="center"/>
                    <w:rPr>
                      <w:sz w:val="20"/>
                      <w:szCs w:val="20"/>
                    </w:rPr>
                  </w:pPr>
                  <w:r w:rsidRPr="00912382">
                    <w:rPr>
                      <w:rFonts w:eastAsia="Times New Roman+FPEF"/>
                      <w:sz w:val="20"/>
                      <w:szCs w:val="20"/>
                    </w:rPr>
                    <w:t>The CER feeder-link beam</w:t>
                  </w:r>
                </w:p>
              </w:tc>
            </w:tr>
            <w:tr w:rsidR="008C42C7" w:rsidRPr="005C675A" w14:paraId="7CC6147A" w14:textId="77777777" w:rsidTr="00431B02">
              <w:tc>
                <w:tcPr>
                  <w:tcW w:w="9629" w:type="dxa"/>
                  <w:gridSpan w:val="2"/>
                </w:tcPr>
                <w:p w14:paraId="26D60D39" w14:textId="77777777" w:rsidR="008C42C7" w:rsidRPr="00912382" w:rsidRDefault="008C42C7" w:rsidP="00431B02">
                  <w:pPr>
                    <w:keepNext/>
                    <w:keepLines/>
                    <w:spacing w:line="480" w:lineRule="auto"/>
                    <w:jc w:val="center"/>
                    <w:rPr>
                      <w:b/>
                      <w:bCs/>
                      <w:sz w:val="20"/>
                      <w:szCs w:val="20"/>
                    </w:rPr>
                  </w:pPr>
                  <w:r w:rsidRPr="00912382">
                    <w:rPr>
                      <w:b/>
                      <w:bCs/>
                      <w:sz w:val="20"/>
                      <w:szCs w:val="20"/>
                    </w:rPr>
                    <w:t>Co-polar coverage</w:t>
                  </w:r>
                </w:p>
              </w:tc>
            </w:tr>
            <w:tr w:rsidR="008C42C7" w:rsidRPr="005C675A" w14:paraId="687626AB" w14:textId="77777777" w:rsidTr="00431B02">
              <w:tc>
                <w:tcPr>
                  <w:tcW w:w="4866" w:type="dxa"/>
                </w:tcPr>
                <w:p w14:paraId="560C852E" w14:textId="77777777" w:rsidR="008C42C7" w:rsidRPr="005C675A" w:rsidRDefault="008C42C7" w:rsidP="00431B02">
                  <w:pPr>
                    <w:spacing w:line="480" w:lineRule="auto"/>
                  </w:pPr>
                  <w:r w:rsidRPr="005C675A">
                    <w:rPr>
                      <w:noProof/>
                      <w:lang w:val="en-GB" w:eastAsia="zh-CN"/>
                    </w:rPr>
                    <w:lastRenderedPageBreak/>
                    <w:drawing>
                      <wp:inline distT="0" distB="0" distL="0" distR="0" wp14:anchorId="7543D652" wp14:editId="4681FDCD">
                        <wp:extent cx="2581154" cy="25787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4258" cy="2591832"/>
                                </a:xfrm>
                                <a:prstGeom prst="rect">
                                  <a:avLst/>
                                </a:prstGeom>
                                <a:noFill/>
                                <a:ln>
                                  <a:noFill/>
                                </a:ln>
                              </pic:spPr>
                            </pic:pic>
                          </a:graphicData>
                        </a:graphic>
                      </wp:inline>
                    </w:drawing>
                  </w:r>
                </w:p>
              </w:tc>
              <w:tc>
                <w:tcPr>
                  <w:tcW w:w="4763" w:type="dxa"/>
                </w:tcPr>
                <w:p w14:paraId="395E0F1A" w14:textId="77777777" w:rsidR="008C42C7" w:rsidRPr="005C675A" w:rsidRDefault="008C42C7" w:rsidP="00431B02">
                  <w:pPr>
                    <w:spacing w:line="480" w:lineRule="auto"/>
                  </w:pPr>
                  <w:r w:rsidRPr="005C675A">
                    <w:rPr>
                      <w:noProof/>
                      <w:lang w:val="en-GB" w:eastAsia="zh-CN"/>
                    </w:rPr>
                    <w:drawing>
                      <wp:inline distT="0" distB="0" distL="0" distR="0" wp14:anchorId="03F27E9D" wp14:editId="08EFF80C">
                        <wp:extent cx="2549171" cy="254679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58275" cy="2555886"/>
                                </a:xfrm>
                                <a:prstGeom prst="rect">
                                  <a:avLst/>
                                </a:prstGeom>
                                <a:noFill/>
                                <a:ln>
                                  <a:noFill/>
                                </a:ln>
                              </pic:spPr>
                            </pic:pic>
                          </a:graphicData>
                        </a:graphic>
                      </wp:inline>
                    </w:drawing>
                  </w:r>
                </w:p>
              </w:tc>
            </w:tr>
            <w:tr w:rsidR="008C42C7" w:rsidRPr="005C675A" w14:paraId="4A96D023" w14:textId="77777777" w:rsidTr="00431B02">
              <w:tc>
                <w:tcPr>
                  <w:tcW w:w="9629" w:type="dxa"/>
                  <w:gridSpan w:val="2"/>
                </w:tcPr>
                <w:p w14:paraId="17B6603D" w14:textId="77777777" w:rsidR="008C42C7" w:rsidRPr="00912382" w:rsidRDefault="008C42C7" w:rsidP="00431B02">
                  <w:pPr>
                    <w:spacing w:line="480" w:lineRule="auto"/>
                    <w:jc w:val="center"/>
                    <w:rPr>
                      <w:b/>
                      <w:bCs/>
                      <w:sz w:val="20"/>
                      <w:szCs w:val="20"/>
                    </w:rPr>
                  </w:pPr>
                  <w:r w:rsidRPr="00912382">
                    <w:rPr>
                      <w:b/>
                      <w:bCs/>
                      <w:sz w:val="20"/>
                      <w:szCs w:val="20"/>
                    </w:rPr>
                    <w:t>Cross-polar coverage</w:t>
                  </w:r>
                </w:p>
              </w:tc>
            </w:tr>
            <w:tr w:rsidR="008C42C7" w:rsidRPr="005C675A" w14:paraId="40699C17" w14:textId="77777777" w:rsidTr="00431B02">
              <w:tc>
                <w:tcPr>
                  <w:tcW w:w="4866" w:type="dxa"/>
                </w:tcPr>
                <w:p w14:paraId="16BBAF9A" w14:textId="77777777" w:rsidR="008C42C7" w:rsidRPr="005C675A" w:rsidRDefault="008C42C7" w:rsidP="00431B02">
                  <w:pPr>
                    <w:spacing w:line="480" w:lineRule="auto"/>
                  </w:pPr>
                  <w:r w:rsidRPr="005C675A">
                    <w:rPr>
                      <w:noProof/>
                      <w:lang w:val="en-GB" w:eastAsia="zh-CN"/>
                    </w:rPr>
                    <w:lastRenderedPageBreak/>
                    <w:drawing>
                      <wp:inline distT="0" distB="0" distL="0" distR="0" wp14:anchorId="790BA1DF" wp14:editId="4E4DED15">
                        <wp:extent cx="2947928" cy="2945173"/>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55033" cy="2952271"/>
                                </a:xfrm>
                                <a:prstGeom prst="rect">
                                  <a:avLst/>
                                </a:prstGeom>
                                <a:noFill/>
                                <a:ln>
                                  <a:noFill/>
                                </a:ln>
                              </pic:spPr>
                            </pic:pic>
                          </a:graphicData>
                        </a:graphic>
                      </wp:inline>
                    </w:drawing>
                  </w:r>
                </w:p>
              </w:tc>
              <w:tc>
                <w:tcPr>
                  <w:tcW w:w="4763" w:type="dxa"/>
                </w:tcPr>
                <w:p w14:paraId="394C551A" w14:textId="77777777" w:rsidR="008C42C7" w:rsidRPr="005C675A" w:rsidRDefault="008C42C7" w:rsidP="00431B02">
                  <w:pPr>
                    <w:spacing w:line="480" w:lineRule="auto"/>
                  </w:pPr>
                  <w:r w:rsidRPr="005C675A">
                    <w:rPr>
                      <w:noProof/>
                      <w:lang w:val="en-GB" w:eastAsia="zh-CN"/>
                    </w:rPr>
                    <w:drawing>
                      <wp:inline distT="0" distB="0" distL="0" distR="0" wp14:anchorId="1E8D2F40" wp14:editId="295A5DF4">
                        <wp:extent cx="2828394" cy="28936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37744" cy="2903237"/>
                                </a:xfrm>
                                <a:prstGeom prst="rect">
                                  <a:avLst/>
                                </a:prstGeom>
                                <a:noFill/>
                                <a:ln>
                                  <a:noFill/>
                                </a:ln>
                              </pic:spPr>
                            </pic:pic>
                          </a:graphicData>
                        </a:graphic>
                      </wp:inline>
                    </w:drawing>
                  </w:r>
                </w:p>
              </w:tc>
            </w:tr>
          </w:tbl>
          <w:p w14:paraId="2E95E96F" w14:textId="77777777" w:rsidR="008C42C7" w:rsidRPr="00C02055" w:rsidRDefault="008C42C7" w:rsidP="00431B02">
            <w:pPr>
              <w:pStyle w:val="Headingi"/>
            </w:pPr>
            <w:r w:rsidRPr="00C02055">
              <w:t>Request for INSAT-EXK82.5E satellite network</w:t>
            </w:r>
          </w:p>
          <w:p w14:paraId="48292150" w14:textId="77777777" w:rsidR="008C42C7" w:rsidRPr="005C675A" w:rsidRDefault="008C42C7" w:rsidP="00431B02">
            <w:r w:rsidRPr="005C675A">
              <w:t>WRC</w:t>
            </w:r>
            <w:r w:rsidRPr="005C675A">
              <w:noBreakHyphen/>
              <w:t xml:space="preserve">19 considered the specific request made by India in Document </w:t>
            </w:r>
            <w:r w:rsidRPr="00635AE9">
              <w:t>92(Add.22)</w:t>
            </w:r>
            <w:r w:rsidRPr="005C675A">
              <w:t xml:space="preserve"> regarding the extension of the regulatory period for bringing into use the INSAT-EXK82.5E satellite network. Considering the </w:t>
            </w:r>
            <w:proofErr w:type="gramStart"/>
            <w:r w:rsidRPr="005C675A">
              <w:t>particular issues</w:t>
            </w:r>
            <w:proofErr w:type="gramEnd"/>
            <w:r w:rsidRPr="005C675A">
              <w:t xml:space="preserve"> raised in the document, WRC</w:t>
            </w:r>
            <w:r w:rsidRPr="005C675A">
              <w:noBreakHyphen/>
              <w:t xml:space="preserve">19 decided to accede to this request and consequently instructed the Radiocommunication Bureau: </w:t>
            </w:r>
          </w:p>
          <w:p w14:paraId="6CEFD9AB" w14:textId="77777777" w:rsidR="008C42C7" w:rsidRPr="00C02055" w:rsidRDefault="008C42C7" w:rsidP="00431B02">
            <w:pPr>
              <w:pStyle w:val="enumlev1"/>
            </w:pPr>
            <w:r w:rsidRPr="00C02055">
              <w:t>1</w:t>
            </w:r>
            <w:r w:rsidRPr="00C02055">
              <w:tab/>
              <w:t>to consider the regulatory period for bringing into use the frequency assignments to the INSAT-EXK82.5E satellite network to be extende</w:t>
            </w:r>
            <w:r>
              <w:t>d from 30 March 2017 to 30 June </w:t>
            </w:r>
            <w:r w:rsidRPr="00C02055">
              <w:t>2017;</w:t>
            </w:r>
          </w:p>
          <w:p w14:paraId="487E6CA2" w14:textId="77777777" w:rsidR="008C42C7" w:rsidRPr="00C02055" w:rsidRDefault="008C42C7" w:rsidP="00431B02">
            <w:pPr>
              <w:pStyle w:val="enumlev1"/>
            </w:pPr>
            <w:r w:rsidRPr="00C02055">
              <w:t>2</w:t>
            </w:r>
            <w:r w:rsidRPr="00C02055">
              <w:tab/>
              <w:t xml:space="preserve">to record the date of bringing into use of these frequency assignments as 30 June 2017; </w:t>
            </w:r>
          </w:p>
          <w:p w14:paraId="351A51E7" w14:textId="77777777" w:rsidR="008C42C7" w:rsidRPr="00C02055" w:rsidRDefault="008C42C7" w:rsidP="00431B02">
            <w:pPr>
              <w:pStyle w:val="enumlev1"/>
            </w:pPr>
            <w:r w:rsidRPr="00C02055">
              <w:lastRenderedPageBreak/>
              <w:t>3</w:t>
            </w:r>
            <w:r w:rsidRPr="00C02055">
              <w:tab/>
              <w:t>to record the date of suspension of these frequency assignments under   8.17 of Article 8 of Appendix 30B as 3 January 2018 (so that the 3-year suspension period referred to in this provision ends on 3 January 2021);</w:t>
            </w:r>
          </w:p>
          <w:p w14:paraId="4DC4D698" w14:textId="77777777" w:rsidR="008C42C7" w:rsidRPr="00C02055" w:rsidRDefault="008C42C7" w:rsidP="00431B02">
            <w:pPr>
              <w:pStyle w:val="enumlev1"/>
            </w:pPr>
            <w:r w:rsidRPr="00C02055">
              <w:t>4</w:t>
            </w:r>
            <w:r w:rsidRPr="00C02055">
              <w:tab/>
              <w:t xml:space="preserve">to process the Part B and notification of these frequency assignments with a formal date of receipt of 22 November 2019. </w:t>
            </w:r>
          </w:p>
          <w:p w14:paraId="13697098" w14:textId="77777777" w:rsidR="008C42C7" w:rsidRPr="00C02055" w:rsidRDefault="008C42C7" w:rsidP="00431B02">
            <w:pPr>
              <w:pStyle w:val="Headingi"/>
              <w:rPr>
                <w:rFonts w:eastAsia="Calibri"/>
              </w:rPr>
            </w:pPr>
            <w:r w:rsidRPr="00C02055">
              <w:t>Request for</w:t>
            </w:r>
            <w:r w:rsidRPr="00C02055">
              <w:rPr>
                <w:rFonts w:eastAsia="Calibri"/>
              </w:rPr>
              <w:t xml:space="preserve"> KYPROS-SAT-3 (39° E) satellite network</w:t>
            </w:r>
          </w:p>
          <w:p w14:paraId="4F1135DC" w14:textId="77777777" w:rsidR="008C42C7" w:rsidRPr="005C675A" w:rsidRDefault="008C42C7" w:rsidP="00431B02">
            <w:pPr>
              <w:rPr>
                <w:rFonts w:eastAsia="Calibri"/>
              </w:rPr>
            </w:pPr>
            <w:r w:rsidRPr="005C675A">
              <w:t>WRC</w:t>
            </w:r>
            <w:r w:rsidRPr="005C675A">
              <w:noBreakHyphen/>
              <w:t xml:space="preserve">19 considered the specific request made by Cyprus in Document </w:t>
            </w:r>
            <w:r w:rsidRPr="00635AE9">
              <w:t>48(Add.22)</w:t>
            </w:r>
            <w:r w:rsidRPr="005C675A">
              <w:t xml:space="preserve"> regarding the bringing into use of the KYPROS-SAT-3 satellite network at the 39</w:t>
            </w:r>
            <w:r w:rsidRPr="005C675A">
              <w:rPr>
                <w:rFonts w:eastAsia="Calibri"/>
              </w:rPr>
              <w:t>° </w:t>
            </w:r>
            <w:r w:rsidRPr="005C675A">
              <w:t xml:space="preserve">E orbital location. Having successfully addressed initial concerns raised with this request, WRC-19 </w:t>
            </w:r>
            <w:r w:rsidRPr="005C675A">
              <w:rPr>
                <w:rFonts w:eastAsia="Calibri"/>
              </w:rPr>
              <w:t xml:space="preserve">exceptionally agreed to set the date of bringing into use of the frequency assignments to the </w:t>
            </w:r>
            <w:r w:rsidRPr="005C675A">
              <w:t>KYPROS-SAT-3 satellite network</w:t>
            </w:r>
            <w:r w:rsidRPr="005C675A">
              <w:rPr>
                <w:rFonts w:eastAsia="Calibri"/>
              </w:rPr>
              <w:t xml:space="preserve"> as 7 March 2016. WRC</w:t>
            </w:r>
            <w:r w:rsidRPr="005C675A">
              <w:noBreakHyphen/>
            </w:r>
            <w:r w:rsidRPr="005C675A">
              <w:rPr>
                <w:rFonts w:eastAsia="Calibri"/>
              </w:rPr>
              <w:t>19 noted that these frequency assignments were subsequently suspended as of 6 June 2016 and brought back into use within the 3-year period set forth in No. </w:t>
            </w:r>
            <w:r w:rsidRPr="005C675A">
              <w:rPr>
                <w:rFonts w:eastAsia="Calibri"/>
                <w:b/>
                <w:bCs/>
              </w:rPr>
              <w:t>11.49</w:t>
            </w:r>
            <w:r w:rsidRPr="005C675A">
              <w:rPr>
                <w:rFonts w:eastAsia="Calibri"/>
              </w:rPr>
              <w:t>.</w:t>
            </w:r>
          </w:p>
          <w:p w14:paraId="624C0D11" w14:textId="77777777" w:rsidR="008C42C7" w:rsidRPr="00C02055" w:rsidRDefault="008C42C7" w:rsidP="00431B02">
            <w:pPr>
              <w:pStyle w:val="Headingi"/>
              <w:rPr>
                <w:rFonts w:eastAsia="Calibri"/>
              </w:rPr>
            </w:pPr>
            <w:r w:rsidRPr="00C02055">
              <w:t>Request for</w:t>
            </w:r>
            <w:r w:rsidRPr="00C02055">
              <w:rPr>
                <w:rFonts w:eastAsia="Calibri"/>
              </w:rPr>
              <w:t xml:space="preserve"> </w:t>
            </w:r>
            <w:r w:rsidRPr="00C02055">
              <w:t xml:space="preserve">PALAPA-C1-B (113°E) </w:t>
            </w:r>
            <w:r w:rsidRPr="00C02055">
              <w:rPr>
                <w:rFonts w:eastAsia="Calibri"/>
              </w:rPr>
              <w:t>satellite network</w:t>
            </w:r>
          </w:p>
          <w:p w14:paraId="1A9E1E58" w14:textId="77777777" w:rsidR="008C42C7" w:rsidRPr="006D098C" w:rsidRDefault="008C42C7" w:rsidP="00431B02">
            <w:r w:rsidRPr="005C675A">
              <w:t xml:space="preserve">WRC-19 considered the specific request made by Indonesia in Document </w:t>
            </w:r>
            <w:r w:rsidRPr="00635AE9">
              <w:t>35(Add.25)</w:t>
            </w:r>
            <w:r w:rsidRPr="005C675A">
              <w:t xml:space="preserve"> regarding the extension of the regulatory time</w:t>
            </w:r>
            <w:r>
              <w:t>-</w:t>
            </w:r>
            <w:r w:rsidRPr="005C675A">
              <w:t>limit for bringing into use frequency assignments to the PALAPA</w:t>
            </w:r>
            <w:r w:rsidRPr="005C675A">
              <w:noBreakHyphen/>
              <w:t>C1-B (113°E) satellite network in the frequency bands: 11 452-11 678 MHz, 12 252</w:t>
            </w:r>
            <w:r w:rsidRPr="005C675A">
              <w:noBreakHyphen/>
              <w:t>12 532 MHz, 13 758-13 984 MHz, 14 000-14 280 MHz from 6 August 2019 to 31 July 2020. WRC</w:t>
            </w:r>
            <w:r w:rsidRPr="005C675A">
              <w:noBreakHyphen/>
              <w:t>19 agreed to accede to this limited time extension request, having confirmed that all frequency coordination activities requested by other administrations during WRC-19 had been completed for this satellite network.</w:t>
            </w:r>
          </w:p>
        </w:tc>
      </w:tr>
      <w:tr w:rsidR="008C42C7" w:rsidRPr="00B20114" w14:paraId="569ACDC4" w14:textId="77777777" w:rsidTr="00CE6D50">
        <w:trPr>
          <w:trHeight w:val="1139"/>
        </w:trPr>
        <w:tc>
          <w:tcPr>
            <w:tcW w:w="1838" w:type="dxa"/>
            <w:vMerge/>
          </w:tcPr>
          <w:p w14:paraId="506321FF" w14:textId="77777777" w:rsidR="008C42C7" w:rsidRDefault="008C42C7" w:rsidP="00431B02">
            <w:pPr>
              <w:jc w:val="left"/>
              <w:rPr>
                <w:b/>
              </w:rPr>
            </w:pPr>
          </w:p>
        </w:tc>
        <w:tc>
          <w:tcPr>
            <w:tcW w:w="1733" w:type="dxa"/>
          </w:tcPr>
          <w:p w14:paraId="061C24DB" w14:textId="77777777" w:rsidR="008C42C7" w:rsidRDefault="008C42C7" w:rsidP="00431B02">
            <w:pPr>
              <w:jc w:val="left"/>
              <w:rPr>
                <w:rFonts w:cs="Times"/>
                <w:b/>
              </w:rPr>
            </w:pPr>
            <w:r>
              <w:rPr>
                <w:rFonts w:cs="Times"/>
                <w:b/>
              </w:rPr>
              <w:t>§§ 10.2 to 10.4</w:t>
            </w:r>
          </w:p>
          <w:p w14:paraId="00BEAAA6" w14:textId="565D299E"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38" w:history="1">
              <w:r w:rsidRPr="002849C7">
                <w:rPr>
                  <w:rStyle w:val="Hyperlink"/>
                  <w:rFonts w:cs="Times"/>
                  <w:b/>
                </w:rPr>
                <w:t>499</w:t>
              </w:r>
            </w:hyperlink>
          </w:p>
        </w:tc>
        <w:tc>
          <w:tcPr>
            <w:tcW w:w="10712" w:type="dxa"/>
          </w:tcPr>
          <w:p w14:paraId="2DA5418D" w14:textId="0EDE47CF" w:rsidR="008C42C7" w:rsidRPr="00ED3B2E" w:rsidRDefault="008C42C7" w:rsidP="00431B02">
            <w:pPr>
              <w:pStyle w:val="Title4"/>
              <w:rPr>
                <w:sz w:val="22"/>
              </w:rPr>
            </w:pPr>
            <w:r w:rsidRPr="00ED3B2E">
              <w:rPr>
                <w:sz w:val="22"/>
              </w:rPr>
              <w:t xml:space="preserve">Understanding of the Radiocommunication Bureau of </w:t>
            </w:r>
            <w:r w:rsidRPr="00ED3B2E">
              <w:rPr>
                <w:i/>
                <w:iCs/>
                <w:sz w:val="22"/>
              </w:rPr>
              <w:t>resolves</w:t>
            </w:r>
            <w:r w:rsidRPr="00ED3B2E">
              <w:rPr>
                <w:sz w:val="22"/>
              </w:rPr>
              <w:t xml:space="preserve"> 11 and Annex 2 of </w:t>
            </w:r>
            <w:r w:rsidR="00ED3B2E">
              <w:rPr>
                <w:sz w:val="22"/>
              </w:rPr>
              <w:br/>
            </w:r>
            <w:r w:rsidRPr="00ED3B2E">
              <w:rPr>
                <w:sz w:val="22"/>
              </w:rPr>
              <w:t>Resolution [7(A)-NGSO-MILESTONES] (WRC-19)</w:t>
            </w:r>
          </w:p>
          <w:p w14:paraId="37D08E40" w14:textId="77777777" w:rsidR="008C42C7" w:rsidRPr="000460D6" w:rsidRDefault="008C42C7" w:rsidP="00431B02">
            <w:r w:rsidRPr="000460D6">
              <w:t xml:space="preserve">The Bureau notes that Resolution </w:t>
            </w:r>
            <w:r w:rsidRPr="000460D6">
              <w:rPr>
                <w:b/>
              </w:rPr>
              <w:t>[7(A)-NGSO-MILESTONES] (WRC-19)</w:t>
            </w:r>
            <w:r w:rsidRPr="000460D6">
              <w:t xml:space="preserve">, including its Annex 2, does not supersede the proper application of the provisions of RR Article </w:t>
            </w:r>
            <w:r w:rsidRPr="000460D6">
              <w:rPr>
                <w:b/>
              </w:rPr>
              <w:t>9</w:t>
            </w:r>
            <w:r w:rsidRPr="000460D6">
              <w:t xml:space="preserve"> of the Radio Regulations, in particular RR No. </w:t>
            </w:r>
            <w:r w:rsidRPr="000460D6">
              <w:rPr>
                <w:b/>
              </w:rPr>
              <w:t>9.6</w:t>
            </w:r>
            <w:r w:rsidRPr="000460D6">
              <w:t xml:space="preserve"> (initiation of the coordination process), RR Nos. </w:t>
            </w:r>
            <w:r w:rsidRPr="000460D6">
              <w:rPr>
                <w:b/>
              </w:rPr>
              <w:t>9.50</w:t>
            </w:r>
            <w:r w:rsidRPr="000460D6">
              <w:t xml:space="preserve"> to </w:t>
            </w:r>
            <w:r w:rsidRPr="000460D6">
              <w:rPr>
                <w:b/>
              </w:rPr>
              <w:t>9.52</w:t>
            </w:r>
            <w:r w:rsidRPr="000460D6">
              <w:t xml:space="preserve"> and </w:t>
            </w:r>
            <w:r w:rsidRPr="000460D6">
              <w:rPr>
                <w:b/>
              </w:rPr>
              <w:t>9.52C</w:t>
            </w:r>
            <w:r w:rsidRPr="000460D6">
              <w:t xml:space="preserve"> (action upon a request for coordination) and RR No. </w:t>
            </w:r>
            <w:r w:rsidRPr="000460D6">
              <w:rPr>
                <w:b/>
              </w:rPr>
              <w:t>9.53</w:t>
            </w:r>
            <w:r w:rsidRPr="000460D6">
              <w:t xml:space="preserve"> (mutual efforts by the requesting and responding administrations to overcome the difficulties).</w:t>
            </w:r>
          </w:p>
          <w:p w14:paraId="56EDEBED" w14:textId="77777777" w:rsidR="008C42C7" w:rsidRPr="000460D6" w:rsidRDefault="008C42C7" w:rsidP="00431B02">
            <w:r w:rsidRPr="000460D6">
              <w:lastRenderedPageBreak/>
              <w:t>This set of provisions creates a balanced framework where both the requesting and responding administrations perform a series of acts that constitutes the bilateral coordination process:</w:t>
            </w:r>
          </w:p>
          <w:p w14:paraId="0080CDF3" w14:textId="77777777" w:rsidR="008C42C7" w:rsidRPr="000460D6" w:rsidRDefault="008C42C7" w:rsidP="00431B02">
            <w:pPr>
              <w:pStyle w:val="enumlev1"/>
            </w:pPr>
            <w:r w:rsidRPr="000460D6">
              <w:t>–</w:t>
            </w:r>
            <w:r w:rsidRPr="000460D6">
              <w:tab/>
              <w:t>the requesting ad</w:t>
            </w:r>
            <w:r>
              <w:t>ministration starts the process;</w:t>
            </w:r>
          </w:p>
          <w:p w14:paraId="68699780" w14:textId="77777777" w:rsidR="008C42C7" w:rsidRPr="000460D6" w:rsidRDefault="008C42C7" w:rsidP="00431B02">
            <w:pPr>
              <w:pStyle w:val="enumlev1"/>
            </w:pPr>
            <w:r w:rsidRPr="000460D6">
              <w:t>–</w:t>
            </w:r>
            <w:r w:rsidRPr="000460D6">
              <w:tab/>
              <w:t xml:space="preserve">the responding administration replies to this request by either giving its agreement or indicating its disagreement together with information concerning its assignments upon which the disagreement is based and suggestions as it </w:t>
            </w:r>
            <w:proofErr w:type="gramStart"/>
            <w:r w:rsidRPr="000460D6">
              <w:t>is able to</w:t>
            </w:r>
            <w:proofErr w:type="gramEnd"/>
            <w:r w:rsidRPr="000460D6">
              <w:t xml:space="preserve"> offer with a view to a satisfactory reso</w:t>
            </w:r>
            <w:r>
              <w:t>lution of the matter;</w:t>
            </w:r>
          </w:p>
          <w:p w14:paraId="35E5FA7E" w14:textId="77777777" w:rsidR="008C42C7" w:rsidRPr="000460D6" w:rsidRDefault="008C42C7" w:rsidP="00431B02">
            <w:pPr>
              <w:pStyle w:val="enumlev1"/>
            </w:pPr>
            <w:r w:rsidRPr="000460D6">
              <w:t>–</w:t>
            </w:r>
            <w:r w:rsidRPr="000460D6">
              <w:tab/>
              <w:t>both administrations make every possible mutual effort to overcome the difficulties, in a manner acceptable to the parties concerned.</w:t>
            </w:r>
          </w:p>
          <w:p w14:paraId="52C795C7" w14:textId="77777777" w:rsidR="008C42C7" w:rsidRPr="000460D6" w:rsidRDefault="008C42C7" w:rsidP="00431B02">
            <w:r w:rsidRPr="000460D6">
              <w:t xml:space="preserve">Therefore the Bureau understands that notifying administrations, when providing, </w:t>
            </w:r>
            <w:r w:rsidRPr="000460D6">
              <w:rPr>
                <w:i/>
                <w:iCs/>
              </w:rPr>
              <w:t>inter alia,</w:t>
            </w:r>
            <w:r w:rsidRPr="000460D6">
              <w:t xml:space="preserve"> item 3 of Annex 2 to Resolution </w:t>
            </w:r>
            <w:r w:rsidRPr="000460D6">
              <w:rPr>
                <w:b/>
              </w:rPr>
              <w:t>[7(A)-NGSO-MILESTONES] (WRC-19)</w:t>
            </w:r>
            <w:r w:rsidRPr="000460D6">
              <w:t xml:space="preserve"> pursuant to </w:t>
            </w:r>
            <w:r w:rsidRPr="000460D6">
              <w:rPr>
                <w:i/>
                <w:iCs/>
              </w:rPr>
              <w:t xml:space="preserve">resolves </w:t>
            </w:r>
            <w:r w:rsidRPr="000460D6">
              <w:t xml:space="preserve">11 of this Resolution, will have to report on the status of coordination and on efforts made in the coordination with satellite systems or networks identified under the relevant provisions of Section II of RR Article </w:t>
            </w:r>
            <w:r w:rsidRPr="000460D6">
              <w:rPr>
                <w:b/>
              </w:rPr>
              <w:t>9</w:t>
            </w:r>
            <w:r w:rsidRPr="000460D6">
              <w:t xml:space="preserve">. </w:t>
            </w:r>
          </w:p>
          <w:p w14:paraId="4DC9E39C" w14:textId="77777777" w:rsidR="008C42C7" w:rsidRPr="000460D6" w:rsidRDefault="008C42C7" w:rsidP="00431B02">
            <w:r w:rsidRPr="000460D6">
              <w:t xml:space="preserve">Notifying administrations may also include under this item 3 information about coordination activities with later filed satellite systems or networks that they are aware of, which the Bureau understands as beneficial for an administration requesting the application of </w:t>
            </w:r>
            <w:r w:rsidRPr="000460D6">
              <w:rPr>
                <w:i/>
                <w:iCs/>
              </w:rPr>
              <w:t>resolves</w:t>
            </w:r>
            <w:r w:rsidRPr="000460D6">
              <w:t xml:space="preserve"> 11. The Bureau notes that it is materially impossible for such an administration to include information related to cases where the requesting administration has not initiated contacts with a view to start detailed technical and operational discussions in advance of the submission of the report request under item 3. </w:t>
            </w:r>
          </w:p>
          <w:p w14:paraId="552DBC3A" w14:textId="77777777" w:rsidR="008C42C7" w:rsidRPr="005C675A" w:rsidRDefault="008C42C7" w:rsidP="00431B02">
            <w:r w:rsidRPr="00DA5C1F">
              <w:t xml:space="preserve">The Bureau finally understands that, by adopting </w:t>
            </w:r>
            <w:r w:rsidRPr="00DA5C1F">
              <w:rPr>
                <w:i/>
                <w:iCs/>
              </w:rPr>
              <w:t>resolves</w:t>
            </w:r>
            <w:r w:rsidRPr="00DA5C1F">
              <w:t xml:space="preserve"> 11 and Annex 2 of Resolution </w:t>
            </w:r>
            <w:r w:rsidRPr="00DA5C1F">
              <w:rPr>
                <w:b/>
              </w:rPr>
              <w:t>[7(A)-NGSO-MILESTONES] (WRC-19)</w:t>
            </w:r>
            <w:r w:rsidRPr="00DA5C1F">
              <w:t xml:space="preserve">, WRC-19 decided to establish a transparent process that will be open for comments: any administration disagreeing with the content of a report provided under item 3 of Annex 2 of this Resolution will have the opportunity to submit its views to the Radio Regulations Board and the administration having submitted the report will have the opportunity to provide its clarification on the matter. The RRB will </w:t>
            </w:r>
            <w:proofErr w:type="gramStart"/>
            <w:r w:rsidRPr="00DA5C1F">
              <w:t>take into account</w:t>
            </w:r>
            <w:proofErr w:type="gramEnd"/>
            <w:r w:rsidRPr="00DA5C1F">
              <w:t xml:space="preserve"> this information when implementing </w:t>
            </w:r>
            <w:r w:rsidRPr="00DA5C1F">
              <w:rPr>
                <w:i/>
                <w:iCs/>
              </w:rPr>
              <w:t>resolves</w:t>
            </w:r>
            <w:r w:rsidRPr="00DA5C1F">
              <w:t xml:space="preserve"> 11</w:t>
            </w:r>
            <w:r w:rsidRPr="00DA5C1F">
              <w:rPr>
                <w:i/>
                <w:iCs/>
              </w:rPr>
              <w:t>b)</w:t>
            </w:r>
            <w:r w:rsidRPr="00DA5C1F">
              <w:t xml:space="preserve"> of this Resolution.</w:t>
            </w:r>
          </w:p>
        </w:tc>
      </w:tr>
      <w:tr w:rsidR="008C42C7" w:rsidRPr="00B20114" w14:paraId="6D0FC061" w14:textId="77777777" w:rsidTr="00CE6D50">
        <w:trPr>
          <w:trHeight w:val="1139"/>
        </w:trPr>
        <w:tc>
          <w:tcPr>
            <w:tcW w:w="1838" w:type="dxa"/>
            <w:vMerge/>
          </w:tcPr>
          <w:p w14:paraId="0BD4CA19" w14:textId="77777777" w:rsidR="008C42C7" w:rsidRDefault="008C42C7" w:rsidP="00431B02">
            <w:pPr>
              <w:jc w:val="left"/>
              <w:rPr>
                <w:b/>
              </w:rPr>
            </w:pPr>
          </w:p>
        </w:tc>
        <w:tc>
          <w:tcPr>
            <w:tcW w:w="1733" w:type="dxa"/>
          </w:tcPr>
          <w:p w14:paraId="7D59D827" w14:textId="77777777" w:rsidR="008C42C7" w:rsidRDefault="008C42C7" w:rsidP="00431B02">
            <w:pPr>
              <w:jc w:val="left"/>
              <w:rPr>
                <w:rFonts w:cs="Times"/>
                <w:b/>
              </w:rPr>
            </w:pPr>
            <w:r>
              <w:rPr>
                <w:rFonts w:cs="Times"/>
                <w:b/>
              </w:rPr>
              <w:t>§§ 10.5 to 10.7</w:t>
            </w:r>
          </w:p>
          <w:p w14:paraId="7AC63D69" w14:textId="123C4169"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39" w:history="1">
              <w:r w:rsidRPr="002849C7">
                <w:rPr>
                  <w:rStyle w:val="Hyperlink"/>
                  <w:rFonts w:cs="Times"/>
                  <w:b/>
                </w:rPr>
                <w:t>500</w:t>
              </w:r>
            </w:hyperlink>
          </w:p>
        </w:tc>
        <w:tc>
          <w:tcPr>
            <w:tcW w:w="10712" w:type="dxa"/>
          </w:tcPr>
          <w:p w14:paraId="222EDF0E" w14:textId="77777777" w:rsidR="008C42C7" w:rsidRPr="00DA5C1F" w:rsidRDefault="008C42C7" w:rsidP="00431B02">
            <w:pPr>
              <w:rPr>
                <w:noProof/>
              </w:rPr>
            </w:pPr>
            <w:r w:rsidRPr="00DA5C1F">
              <w:t>1</w:t>
            </w:r>
            <w:r w:rsidRPr="00DA5C1F">
              <w:tab/>
              <w:t>WRC-19 has adopted a new milestone-based approach for the deployment of non-geostationary satellite systems in specific bands and services. WRC-19 indicates to the Director of the Radiocommunication Bureau that with the milestone approach, WRC-19 is not encouraging routine use of No. </w:t>
            </w:r>
            <w:r w:rsidRPr="00DA5C1F">
              <w:rPr>
                <w:b/>
              </w:rPr>
              <w:t>13.6</w:t>
            </w:r>
            <w:r w:rsidRPr="00DA5C1F">
              <w:t xml:space="preserve"> in the Radio Regulations, in the absence of reliable information, to seek confirmation of the deployment </w:t>
            </w:r>
            <w:r w:rsidRPr="00DA5C1F">
              <w:rPr>
                <w:noProof/>
              </w:rPr>
              <w:t xml:space="preserve">of the number of satellites in notified orbital planes for non-geostationary satellite orbit systems in frequency bands and services not listed in </w:t>
            </w:r>
            <w:r w:rsidRPr="00DA5C1F">
              <w:rPr>
                <w:bCs/>
                <w:i/>
                <w:noProof/>
              </w:rPr>
              <w:t>resolves</w:t>
            </w:r>
            <w:r w:rsidRPr="00DA5C1F">
              <w:rPr>
                <w:bCs/>
                <w:noProof/>
              </w:rPr>
              <w:t> 1</w:t>
            </w:r>
            <w:r w:rsidRPr="00DA5C1F">
              <w:rPr>
                <w:noProof/>
              </w:rPr>
              <w:t xml:space="preserve"> of the new Resolution.</w:t>
            </w:r>
          </w:p>
          <w:p w14:paraId="7B2FE3F0" w14:textId="77777777" w:rsidR="008C42C7" w:rsidRPr="00DA5C1F" w:rsidRDefault="008C42C7" w:rsidP="00431B02">
            <w:r w:rsidRPr="00DA5C1F">
              <w:rPr>
                <w:bdr w:val="none" w:sz="0" w:space="0" w:color="auto" w:frame="1"/>
                <w:shd w:val="clear" w:color="auto" w:fill="FFFFFF"/>
              </w:rPr>
              <w:t>2</w:t>
            </w:r>
            <w:r w:rsidRPr="00DA5C1F">
              <w:rPr>
                <w:bdr w:val="none" w:sz="0" w:space="0" w:color="auto" w:frame="1"/>
                <w:shd w:val="clear" w:color="auto" w:fill="FFFFFF"/>
              </w:rPr>
              <w:tab/>
              <w:t>WRC-19 invites ITU-R to study, as a matter of urgency, tolerances for certain orbital characteristics of non-GSO space stations of the fixed-satellite, mobile-satellite or broadcasting satellite services to account for potential differences between the notified and deployed orbital characteristics for the inclination of the orbital plane, the altitude of the apogee of the space station, the altitude of the perigee of the space station and the argument of the perigee of the orbital plane.</w:t>
            </w:r>
          </w:p>
          <w:p w14:paraId="774875CE" w14:textId="77777777" w:rsidR="008C42C7" w:rsidRPr="00DA5C1F" w:rsidRDefault="008C42C7" w:rsidP="00431B02">
            <w:r w:rsidRPr="00DA5C1F">
              <w:rPr>
                <w:bdr w:val="none" w:sz="0" w:space="0" w:color="auto" w:frame="1"/>
                <w:shd w:val="clear" w:color="auto" w:fill="FFFFFF"/>
              </w:rPr>
              <w:t>3</w:t>
            </w:r>
            <w:r w:rsidRPr="00DA5C1F">
              <w:rPr>
                <w:bdr w:val="none" w:sz="0" w:space="0" w:color="auto" w:frame="1"/>
                <w:shd w:val="clear" w:color="auto" w:fill="FFFFFF"/>
              </w:rPr>
              <w:tab/>
              <w:t xml:space="preserve">WRC-19 invites ITU-R to study, as a matter of urgency, possible development of a post-milestone procedure </w:t>
            </w:r>
            <w:proofErr w:type="gramStart"/>
            <w:r w:rsidRPr="00DA5C1F">
              <w:rPr>
                <w:bdr w:val="none" w:sz="0" w:space="0" w:color="auto" w:frame="1"/>
                <w:shd w:val="clear" w:color="auto" w:fill="FFFFFF"/>
              </w:rPr>
              <w:t>taking into account</w:t>
            </w:r>
            <w:proofErr w:type="gramEnd"/>
            <w:r w:rsidRPr="00DA5C1F">
              <w:rPr>
                <w:bdr w:val="none" w:sz="0" w:space="0" w:color="auto" w:frame="1"/>
                <w:shd w:val="clear" w:color="auto" w:fill="FFFFFF"/>
              </w:rPr>
              <w:t xml:space="preserve"> the reporting defined in § 18 of the Resolution </w:t>
            </w:r>
            <w:r w:rsidRPr="00DA5C1F">
              <w:rPr>
                <w:b/>
                <w:bdr w:val="none" w:sz="0" w:space="0" w:color="auto" w:frame="1"/>
                <w:shd w:val="clear" w:color="auto" w:fill="FFFFFF"/>
              </w:rPr>
              <w:t>[</w:t>
            </w:r>
            <w:r w:rsidRPr="00DA5C1F">
              <w:rPr>
                <w:b/>
              </w:rPr>
              <w:t>7(A)</w:t>
            </w:r>
            <w:r w:rsidRPr="00DA5C1F">
              <w:rPr>
                <w:b/>
              </w:rPr>
              <w:noBreakHyphen/>
              <w:t>NGSO-MILESTONES</w:t>
            </w:r>
            <w:r w:rsidRPr="00DA5C1F">
              <w:rPr>
                <w:b/>
                <w:bdr w:val="none" w:sz="0" w:space="0" w:color="auto" w:frame="1"/>
                <w:shd w:val="clear" w:color="auto" w:fill="FFFFFF"/>
              </w:rPr>
              <w:t>]</w:t>
            </w:r>
            <w:r w:rsidRPr="00DA5C1F">
              <w:rPr>
                <w:bdr w:val="none" w:sz="0" w:space="0" w:color="auto" w:frame="1"/>
                <w:shd w:val="clear" w:color="auto" w:fill="FFFFFF"/>
              </w:rPr>
              <w:t>.</w:t>
            </w:r>
          </w:p>
          <w:p w14:paraId="31DC5759" w14:textId="77777777" w:rsidR="008C42C7" w:rsidRPr="00AD495A" w:rsidRDefault="008C42C7" w:rsidP="00431B02">
            <w:r w:rsidRPr="0080438A">
              <w:rPr>
                <w:bdr w:val="none" w:sz="0" w:space="0" w:color="auto" w:frame="1"/>
                <w:shd w:val="clear" w:color="auto" w:fill="FFFFFF"/>
              </w:rPr>
              <w:t xml:space="preserve">Furthermore, WRC-19 instructs the Bureau in applying the relevant provisions of the RR (e.g.  No. 11.44C.2 or resolves 9d) of Resolution </w:t>
            </w:r>
            <w:r w:rsidRPr="0080438A">
              <w:rPr>
                <w:b/>
                <w:bCs/>
                <w:bdr w:val="none" w:sz="0" w:space="0" w:color="auto" w:frame="1"/>
                <w:shd w:val="clear" w:color="auto" w:fill="FFFFFF"/>
              </w:rPr>
              <w:t>[7(A)-NGSO-MILESTONES]</w:t>
            </w:r>
            <w:r w:rsidRPr="0080438A">
              <w:rPr>
                <w:bdr w:val="none" w:sz="0" w:space="0" w:color="auto" w:frame="1"/>
                <w:shd w:val="clear" w:color="auto" w:fill="FFFFFF"/>
              </w:rPr>
              <w:t>) to exercise utmost caution until such time as ITU-R completes studies on tolerances.</w:t>
            </w:r>
          </w:p>
        </w:tc>
      </w:tr>
      <w:tr w:rsidR="008C42C7" w:rsidRPr="00B20114" w14:paraId="3940D2D7" w14:textId="77777777" w:rsidTr="00CE6D50">
        <w:trPr>
          <w:trHeight w:val="1139"/>
        </w:trPr>
        <w:tc>
          <w:tcPr>
            <w:tcW w:w="1838" w:type="dxa"/>
            <w:vMerge/>
          </w:tcPr>
          <w:p w14:paraId="10543B48" w14:textId="77777777" w:rsidR="008C42C7" w:rsidRDefault="008C42C7" w:rsidP="00431B02">
            <w:pPr>
              <w:jc w:val="left"/>
              <w:rPr>
                <w:b/>
              </w:rPr>
            </w:pPr>
          </w:p>
        </w:tc>
        <w:tc>
          <w:tcPr>
            <w:tcW w:w="1733" w:type="dxa"/>
          </w:tcPr>
          <w:p w14:paraId="0A72FE52" w14:textId="77777777" w:rsidR="008C42C7" w:rsidRDefault="008C42C7" w:rsidP="00431B02">
            <w:pPr>
              <w:jc w:val="left"/>
              <w:rPr>
                <w:rFonts w:cs="Times"/>
                <w:b/>
              </w:rPr>
            </w:pPr>
            <w:r>
              <w:rPr>
                <w:rFonts w:cs="Times"/>
                <w:b/>
              </w:rPr>
              <w:t>§§ 12.2 to 12.4</w:t>
            </w:r>
          </w:p>
          <w:p w14:paraId="78933600" w14:textId="7B3BCA8A"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40" w:history="1">
              <w:r w:rsidRPr="002849C7">
                <w:rPr>
                  <w:rStyle w:val="Hyperlink"/>
                  <w:rFonts w:cs="Times"/>
                  <w:b/>
                </w:rPr>
                <w:t>509</w:t>
              </w:r>
            </w:hyperlink>
          </w:p>
        </w:tc>
        <w:tc>
          <w:tcPr>
            <w:tcW w:w="10712" w:type="dxa"/>
          </w:tcPr>
          <w:p w14:paraId="428B9044" w14:textId="77777777" w:rsidR="008C42C7" w:rsidRPr="00CF27E7" w:rsidRDefault="008C42C7" w:rsidP="00431B02">
            <w:pPr>
              <w:pStyle w:val="Title4"/>
              <w:rPr>
                <w:sz w:val="22"/>
              </w:rPr>
            </w:pPr>
            <w:r w:rsidRPr="00CF27E7">
              <w:rPr>
                <w:sz w:val="22"/>
              </w:rPr>
              <w:t xml:space="preserve">Instructions to the Radiocommunication Bureau in application of </w:t>
            </w:r>
            <w:r w:rsidRPr="00CF27E7">
              <w:rPr>
                <w:sz w:val="22"/>
              </w:rPr>
              <w:br/>
              <w:t>Resolution [A7(E)-AP30B] (WRC-19)</w:t>
            </w:r>
          </w:p>
          <w:p w14:paraId="7F2A5AB0" w14:textId="77777777" w:rsidR="008C42C7" w:rsidRPr="00CF27E7" w:rsidRDefault="008C42C7" w:rsidP="00CF27E7">
            <w:pPr>
              <w:pStyle w:val="Heading1"/>
              <w:spacing w:before="240"/>
              <w:rPr>
                <w:sz w:val="22"/>
              </w:rPr>
            </w:pPr>
            <w:r w:rsidRPr="00CF27E7">
              <w:rPr>
                <w:sz w:val="22"/>
              </w:rPr>
              <w:t>1</w:t>
            </w:r>
            <w:r w:rsidRPr="00CF27E7">
              <w:rPr>
                <w:sz w:val="22"/>
              </w:rPr>
              <w:tab/>
              <w:t xml:space="preserve">Application of the § 2 of the attachment of Resolution [A7(E)-AP30B] (WRC-19) for modification under </w:t>
            </w:r>
            <w:r w:rsidRPr="00CF27E7">
              <w:rPr>
                <w:sz w:val="22"/>
                <w:lang w:eastAsia="zh-CN"/>
              </w:rPr>
              <w:t>§ 6.1 of RR Appendix </w:t>
            </w:r>
            <w:r w:rsidRPr="00CF27E7">
              <w:rPr>
                <w:sz w:val="22"/>
              </w:rPr>
              <w:t xml:space="preserve">30B </w:t>
            </w:r>
            <w:r w:rsidRPr="00CF27E7">
              <w:rPr>
                <w:sz w:val="22"/>
                <w:lang w:eastAsia="zh-CN"/>
              </w:rPr>
              <w:t>of a submission previously sent to the Bureau under § 6.1 of RR Appendix </w:t>
            </w:r>
            <w:r w:rsidRPr="00CF27E7">
              <w:rPr>
                <w:sz w:val="22"/>
              </w:rPr>
              <w:t>30B</w:t>
            </w:r>
          </w:p>
          <w:p w14:paraId="16E617EA" w14:textId="77777777" w:rsidR="008C42C7" w:rsidRPr="00E4486D" w:rsidRDefault="008C42C7" w:rsidP="00431B02">
            <w:r w:rsidRPr="00E4486D">
              <w:t xml:space="preserve">When, under the application of § 2 of the attachment of Resolution </w:t>
            </w:r>
            <w:r w:rsidRPr="00E4486D">
              <w:rPr>
                <w:b/>
                <w:bCs/>
              </w:rPr>
              <w:t>[A7(E)-AP30B]</w:t>
            </w:r>
            <w:r w:rsidRPr="00E4486D">
              <w:rPr>
                <w:rFonts w:ascii="Times New Roman Bold" w:hAnsi="Times New Roman Bold"/>
                <w:b/>
                <w:szCs w:val="24"/>
              </w:rPr>
              <w:t xml:space="preserve"> (WRC-19)</w:t>
            </w:r>
            <w:r w:rsidRPr="00E4486D">
              <w:t xml:space="preserve">, an administration intends to modify a submission previously sent to the Bureau under § 6.1 of RR Appendix </w:t>
            </w:r>
            <w:r w:rsidRPr="00E4486D">
              <w:rPr>
                <w:b/>
              </w:rPr>
              <w:t>30B</w:t>
            </w:r>
            <w:r w:rsidRPr="00E4486D">
              <w:t xml:space="preserve">, to resubmit such submission under § 6.1 of RR Appendix </w:t>
            </w:r>
            <w:r w:rsidRPr="00E4486D">
              <w:rPr>
                <w:b/>
              </w:rPr>
              <w:t>30B</w:t>
            </w:r>
            <w:r w:rsidRPr="00E4486D">
              <w:t xml:space="preserve"> applying the special procedure described in the Attachment of Resolution </w:t>
            </w:r>
            <w:r w:rsidRPr="00E4486D">
              <w:rPr>
                <w:b/>
                <w:bCs/>
              </w:rPr>
              <w:t>[A7(E)-AP30B]</w:t>
            </w:r>
            <w:r w:rsidRPr="00E4486D">
              <w:t xml:space="preserve"> </w:t>
            </w:r>
            <w:r w:rsidRPr="00E4486D">
              <w:rPr>
                <w:rFonts w:ascii="Times New Roman Bold" w:hAnsi="Times New Roman Bold"/>
                <w:b/>
                <w:szCs w:val="24"/>
              </w:rPr>
              <w:t>(WRC-19)</w:t>
            </w:r>
            <w:r w:rsidRPr="00E4486D">
              <w:t>, the Bureau shall verify if the minimum ellipse submitted under this procedure is within the envelope of the initial submission under § 6.1 of RR Appendix </w:t>
            </w:r>
            <w:r w:rsidRPr="00E4486D">
              <w:rPr>
                <w:b/>
              </w:rPr>
              <w:t>30B</w:t>
            </w:r>
            <w:r w:rsidRPr="00E4486D">
              <w:t xml:space="preserve">. If this is the case, the Bureau shall keep the initial </w:t>
            </w:r>
            <w:r w:rsidRPr="00E4486D">
              <w:lastRenderedPageBreak/>
              <w:t xml:space="preserve">date of receipt of the initial submission under § 6.1 of RR Appendix </w:t>
            </w:r>
            <w:r w:rsidRPr="00E4486D">
              <w:rPr>
                <w:b/>
              </w:rPr>
              <w:t>30B</w:t>
            </w:r>
            <w:r w:rsidRPr="00E4486D">
              <w:t>, shall restart compatibility examination with existing filing and shall publish a new special section. Otherwise, the Bureau shall give a new date of reception which is the date of reception of request application of this procedure.</w:t>
            </w:r>
          </w:p>
          <w:p w14:paraId="143016CB" w14:textId="77777777" w:rsidR="008C42C7" w:rsidRPr="00CF27E7" w:rsidRDefault="008C42C7" w:rsidP="00CF27E7">
            <w:pPr>
              <w:pStyle w:val="Heading1"/>
              <w:spacing w:before="240"/>
              <w:rPr>
                <w:sz w:val="22"/>
              </w:rPr>
            </w:pPr>
            <w:r w:rsidRPr="00CF27E7">
              <w:rPr>
                <w:sz w:val="22"/>
              </w:rPr>
              <w:t>2</w:t>
            </w:r>
            <w:r w:rsidRPr="00CF27E7">
              <w:rPr>
                <w:sz w:val="22"/>
              </w:rPr>
              <w:tab/>
              <w:t xml:space="preserve">Application of the § 2 of the attachment of Resolution [A7(E)-AP30B] (WRC-19) for direct submission under </w:t>
            </w:r>
            <w:r w:rsidRPr="00CF27E7">
              <w:rPr>
                <w:sz w:val="22"/>
                <w:lang w:eastAsia="zh-CN"/>
              </w:rPr>
              <w:t>§ 6.17 of RR Appendix </w:t>
            </w:r>
            <w:r w:rsidRPr="00CF27E7">
              <w:rPr>
                <w:sz w:val="22"/>
              </w:rPr>
              <w:t xml:space="preserve">30B </w:t>
            </w:r>
            <w:r w:rsidRPr="00CF27E7">
              <w:rPr>
                <w:sz w:val="22"/>
                <w:lang w:eastAsia="zh-CN"/>
              </w:rPr>
              <w:t>of a submission previously sent to the Bureau under § 6.1 of RR Appendix </w:t>
            </w:r>
            <w:r w:rsidRPr="00CF27E7">
              <w:rPr>
                <w:sz w:val="22"/>
              </w:rPr>
              <w:t>30B</w:t>
            </w:r>
          </w:p>
          <w:p w14:paraId="13E738B9" w14:textId="77777777" w:rsidR="008C42C7" w:rsidRPr="003A5398" w:rsidRDefault="008C42C7" w:rsidP="00431B02">
            <w:pPr>
              <w:pStyle w:val="enumlev1"/>
            </w:pPr>
            <w:r w:rsidRPr="003A5398">
              <w:t>a)</w:t>
            </w:r>
            <w:r w:rsidRPr="003A5398">
              <w:tab/>
              <w:t xml:space="preserve">Submission of an ellipse under </w:t>
            </w:r>
            <w:r w:rsidRPr="003A5398">
              <w:rPr>
                <w:lang w:eastAsia="zh-CN"/>
              </w:rPr>
              <w:t>§ 6.17 of RR Appendix </w:t>
            </w:r>
            <w:r w:rsidRPr="003A5398">
              <w:t>30B</w:t>
            </w:r>
          </w:p>
          <w:p w14:paraId="2877D5EB" w14:textId="77777777" w:rsidR="008C42C7" w:rsidRPr="00E4486D" w:rsidRDefault="008C42C7" w:rsidP="00431B02">
            <w:pPr>
              <w:pStyle w:val="enumlev1"/>
            </w:pPr>
            <w:r w:rsidRPr="00E4486D">
              <w:tab/>
              <w:t xml:space="preserve">When, under the application of § 2 of the attachment of Resolution </w:t>
            </w:r>
            <w:r w:rsidRPr="00E4486D">
              <w:rPr>
                <w:b/>
                <w:bCs/>
              </w:rPr>
              <w:t>[A7(E)-AP30B]</w:t>
            </w:r>
            <w:r w:rsidRPr="00E4486D">
              <w:rPr>
                <w:rFonts w:ascii="Times New Roman Bold" w:hAnsi="Times New Roman Bold"/>
                <w:b/>
                <w:szCs w:val="24"/>
              </w:rPr>
              <w:t xml:space="preserve"> (WRC-19)</w:t>
            </w:r>
            <w:r w:rsidRPr="00E4486D">
              <w:t>, an administration intends to directly submit under § 6.17 of RR Appendix </w:t>
            </w:r>
            <w:r w:rsidRPr="00E4486D">
              <w:rPr>
                <w:b/>
              </w:rPr>
              <w:t>30B</w:t>
            </w:r>
            <w:r w:rsidRPr="00E4486D">
              <w:t xml:space="preserve"> and apply the special procedure described in the Attachment of Resolution </w:t>
            </w:r>
            <w:r w:rsidRPr="00E4486D">
              <w:rPr>
                <w:b/>
                <w:bCs/>
              </w:rPr>
              <w:t xml:space="preserve">[A7(E)-AP30B] </w:t>
            </w:r>
            <w:r w:rsidRPr="00E4486D">
              <w:rPr>
                <w:rFonts w:ascii="Times New Roman Bold" w:hAnsi="Times New Roman Bold"/>
                <w:b/>
                <w:szCs w:val="24"/>
              </w:rPr>
              <w:t>(WRC-19)</w:t>
            </w:r>
            <w:r w:rsidRPr="00E4486D">
              <w:t xml:space="preserve"> to a submission previously sent to the Bureau under § 6.1 of RR Appendix </w:t>
            </w:r>
            <w:r w:rsidRPr="00E4486D">
              <w:rPr>
                <w:b/>
              </w:rPr>
              <w:t>30B</w:t>
            </w:r>
            <w:r w:rsidRPr="00E4486D">
              <w:t>, the Bureau shall verify if the minimum ellipse submitted under this procedure is within the envelope of the initial submission under § 6.1 of RR Appendix </w:t>
            </w:r>
            <w:r w:rsidRPr="00E4486D">
              <w:rPr>
                <w:b/>
              </w:rPr>
              <w:t>30B</w:t>
            </w:r>
            <w:r w:rsidRPr="00E4486D">
              <w:t>. If this is the case, the Bureau shall keep the initial date of receipt of the initial submission under § 6.1 of RR Appendix </w:t>
            </w:r>
            <w:r w:rsidRPr="00E4486D">
              <w:rPr>
                <w:b/>
              </w:rPr>
              <w:t>30B</w:t>
            </w:r>
            <w:r w:rsidRPr="00E4486D">
              <w:t xml:space="preserve"> and shall perform analysis under § 6.17 of Appendix </w:t>
            </w:r>
            <w:r w:rsidRPr="00E4486D">
              <w:rPr>
                <w:b/>
              </w:rPr>
              <w:t>30B</w:t>
            </w:r>
            <w:r w:rsidRPr="00E4486D">
              <w:t xml:space="preserve"> based on this minimum ellipse. Otherwise, the Bureau shall return the notice to the administration.</w:t>
            </w:r>
          </w:p>
          <w:p w14:paraId="18566181" w14:textId="77777777" w:rsidR="008C42C7" w:rsidRPr="003A5398" w:rsidRDefault="008C42C7" w:rsidP="00431B02">
            <w:pPr>
              <w:pStyle w:val="enumlev1"/>
            </w:pPr>
            <w:r w:rsidRPr="003A5398">
              <w:t>b)</w:t>
            </w:r>
            <w:r w:rsidRPr="003A5398">
              <w:tab/>
              <w:t>Submission of a shaped beam under § 6.17 of Appendix 30B</w:t>
            </w:r>
          </w:p>
          <w:p w14:paraId="44E75021" w14:textId="77777777" w:rsidR="008C42C7" w:rsidRPr="00E4486D" w:rsidRDefault="008C42C7" w:rsidP="00431B02">
            <w:pPr>
              <w:pStyle w:val="enumlev1"/>
            </w:pPr>
            <w:r w:rsidRPr="00E4486D">
              <w:tab/>
              <w:t xml:space="preserve">When, under the application of § 2 of the attachment of Resolution </w:t>
            </w:r>
            <w:r w:rsidRPr="00E4486D">
              <w:rPr>
                <w:b/>
                <w:bCs/>
              </w:rPr>
              <w:t>[A7(E)-AP30B]</w:t>
            </w:r>
            <w:r w:rsidRPr="00E4486D">
              <w:t xml:space="preserve"> </w:t>
            </w:r>
            <w:r w:rsidRPr="00E4486D">
              <w:rPr>
                <w:rFonts w:ascii="Times New Roman Bold" w:hAnsi="Times New Roman Bold"/>
                <w:b/>
                <w:szCs w:val="24"/>
              </w:rPr>
              <w:t>(WRC-19)</w:t>
            </w:r>
            <w:r w:rsidRPr="00E4486D">
              <w:t>, an administration intends to directly submit under § 6.17 of RR Appendix </w:t>
            </w:r>
            <w:r w:rsidRPr="00E4486D">
              <w:rPr>
                <w:b/>
              </w:rPr>
              <w:t>30B</w:t>
            </w:r>
            <w:r w:rsidRPr="00E4486D">
              <w:t xml:space="preserve"> and apply the special procedure described in the Attachment of Resolution </w:t>
            </w:r>
            <w:r w:rsidRPr="00E4486D">
              <w:rPr>
                <w:b/>
                <w:bCs/>
              </w:rPr>
              <w:t>[A7(E)-AP30B]</w:t>
            </w:r>
            <w:r w:rsidRPr="00E4486D">
              <w:rPr>
                <w:rFonts w:ascii="Times New Roman Bold" w:hAnsi="Times New Roman Bold"/>
                <w:b/>
                <w:szCs w:val="24"/>
              </w:rPr>
              <w:t xml:space="preserve"> (WRC-19)</w:t>
            </w:r>
            <w:r w:rsidRPr="00E4486D">
              <w:t xml:space="preserve"> to a submission previously sent to the Bureau under § 6.1 of RR Appendix </w:t>
            </w:r>
            <w:r w:rsidRPr="00E4486D">
              <w:rPr>
                <w:b/>
              </w:rPr>
              <w:t>30B</w:t>
            </w:r>
            <w:r w:rsidRPr="00E4486D">
              <w:t>, the Bureau shall verify if the shaped beam submitted under this procedure is within the envelope of the minimum ellipse generated by the Bureau, considering associated test points, and within the envelope of the initial submission under § 6.1 of RR Appendix </w:t>
            </w:r>
            <w:r w:rsidRPr="00E4486D">
              <w:rPr>
                <w:b/>
              </w:rPr>
              <w:t>30B</w:t>
            </w:r>
            <w:r w:rsidRPr="00E4486D">
              <w:t>. If this is the case, the Bureau shall keep the initial date of receipt of the initial submission under § 6.1 of RR Appendix </w:t>
            </w:r>
            <w:r w:rsidRPr="00E4486D">
              <w:rPr>
                <w:b/>
              </w:rPr>
              <w:t>30B</w:t>
            </w:r>
            <w:r w:rsidRPr="00E4486D">
              <w:t xml:space="preserve"> and shall perform analysis under § 6.17 of RR Appendix </w:t>
            </w:r>
            <w:r w:rsidRPr="00E4486D">
              <w:rPr>
                <w:b/>
              </w:rPr>
              <w:t>30B</w:t>
            </w:r>
            <w:r w:rsidRPr="00E4486D">
              <w:t xml:space="preserve"> based on this minimum ellipse. Otherwise, the Bureau shall return the notice to the administration.</w:t>
            </w:r>
          </w:p>
          <w:p w14:paraId="78F9D9A7" w14:textId="77777777" w:rsidR="008C42C7" w:rsidRPr="00CF27E7" w:rsidRDefault="008C42C7" w:rsidP="00CF27E7">
            <w:pPr>
              <w:pStyle w:val="Heading1"/>
              <w:spacing w:before="240"/>
              <w:rPr>
                <w:sz w:val="22"/>
              </w:rPr>
            </w:pPr>
            <w:r w:rsidRPr="00CF27E7">
              <w:rPr>
                <w:sz w:val="22"/>
              </w:rPr>
              <w:lastRenderedPageBreak/>
              <w:t>3</w:t>
            </w:r>
            <w:r w:rsidRPr="00CF27E7">
              <w:rPr>
                <w:sz w:val="22"/>
              </w:rPr>
              <w:tab/>
              <w:t>Beam to be created in cases of submissions of an additional system by an administration acting on behalf of a group of named administrations</w:t>
            </w:r>
          </w:p>
          <w:p w14:paraId="241FC971" w14:textId="77777777" w:rsidR="008C42C7" w:rsidRPr="00E4486D" w:rsidRDefault="008C42C7" w:rsidP="00431B02">
            <w:pPr>
              <w:rPr>
                <w:szCs w:val="24"/>
              </w:rPr>
            </w:pPr>
            <w:r w:rsidRPr="00E4486D">
              <w:t>For a submission of an additional system by an administration acting on behalf of a group of named administrations, the beam of the submission is f</w:t>
            </w:r>
            <w:r w:rsidRPr="00E4486D">
              <w:rPr>
                <w:szCs w:val="24"/>
              </w:rPr>
              <w:t>ormed by combining all individual minimum ellipses associated with each of the administrations of the group:</w:t>
            </w:r>
          </w:p>
          <w:p w14:paraId="727FAB92" w14:textId="77777777" w:rsidR="008C42C7" w:rsidRPr="00E4486D" w:rsidRDefault="008C42C7" w:rsidP="00431B02">
            <w:pPr>
              <w:pStyle w:val="enumlev1"/>
            </w:pPr>
            <w:r w:rsidRPr="00E4486D">
              <w:t>–</w:t>
            </w:r>
            <w:r w:rsidRPr="00E4486D">
              <w:tab/>
              <w:t>If all individual minimum ellipses overlap with each other, the beam contains only one coverage area formed by the contours stemming from the combination of all individual minimum ellipses.</w:t>
            </w:r>
          </w:p>
          <w:p w14:paraId="26E5F0BC" w14:textId="77777777" w:rsidR="008C42C7" w:rsidRPr="00E4486D" w:rsidRDefault="008C42C7" w:rsidP="00431B02">
            <w:pPr>
              <w:pStyle w:val="enumlev1"/>
            </w:pPr>
            <w:r w:rsidRPr="00E4486D">
              <w:t>–</w:t>
            </w:r>
            <w:r w:rsidRPr="00E4486D">
              <w:tab/>
              <w:t xml:space="preserve">If </w:t>
            </w:r>
            <w:proofErr w:type="gramStart"/>
            <w:r w:rsidRPr="00E4486D">
              <w:t>not</w:t>
            </w:r>
            <w:proofErr w:type="gramEnd"/>
            <w:r w:rsidRPr="00E4486D">
              <w:t xml:space="preserve"> all individual minimum ellipses overlap with each other, the beam consists of multiple spots stemming from the non-overlapping ellipses and each spot is formed by the contours stemming from the combination of individual minimum ellipses that overlap with each other.</w:t>
            </w:r>
          </w:p>
          <w:p w14:paraId="5E5116F7" w14:textId="77777777" w:rsidR="008C42C7" w:rsidRPr="00CF27E7" w:rsidRDefault="008C42C7" w:rsidP="00CF27E7">
            <w:pPr>
              <w:pStyle w:val="Heading1"/>
              <w:spacing w:before="240"/>
              <w:rPr>
                <w:sz w:val="22"/>
              </w:rPr>
            </w:pPr>
            <w:r w:rsidRPr="00CF27E7">
              <w:rPr>
                <w:sz w:val="22"/>
              </w:rPr>
              <w:t>4</w:t>
            </w:r>
            <w:r w:rsidRPr="00CF27E7">
              <w:rPr>
                <w:sz w:val="22"/>
              </w:rPr>
              <w:tab/>
              <w:t>Application of the § 12 of the attachment of Resolution [A7(E)-AP30B] (WRC-19) when there is a lack of collaboration of the notifying administration of the existing network</w:t>
            </w:r>
          </w:p>
          <w:p w14:paraId="67EAE42F" w14:textId="77777777" w:rsidR="008C42C7" w:rsidRPr="00DA5C1F" w:rsidRDefault="008C42C7" w:rsidP="00431B02">
            <w:r w:rsidRPr="00E4486D">
              <w:t xml:space="preserve">When, under the application of § 12 of the attachment of Resolution </w:t>
            </w:r>
            <w:r w:rsidRPr="00E4486D">
              <w:rPr>
                <w:b/>
                <w:bCs/>
              </w:rPr>
              <w:t>[A7(E)-AP30B] (WRC-19)</w:t>
            </w:r>
            <w:r w:rsidRPr="00E4486D">
              <w:t>, the Bureau does not receive confirmation from the notifying administration of the incoming network that the collaboration between the two administrations has successfully started, the notifying administration may seek assistance of the Bureau. The Bureau shall immediately send a telefax to the notifying administration of the existing network req</w:t>
            </w:r>
            <w:r>
              <w:t>uesting it to provide within 30 </w:t>
            </w:r>
            <w:r w:rsidRPr="00E4486D">
              <w:t>days the conditions for the operation to verify harmful interference and proposed date of the implementation of those conditions within the next 4 months for the application of § 12 of Resolution [</w:t>
            </w:r>
            <w:r w:rsidRPr="00E4486D">
              <w:rPr>
                <w:b/>
                <w:szCs w:val="24"/>
              </w:rPr>
              <w:t>A7(E)-AP30B]</w:t>
            </w:r>
            <w:r w:rsidRPr="00E4486D">
              <w:t>. In the absence of such information received by the Bureau, the Bureau shall immediately send a reminder providing an additional 15-day period for the response. In the absence of such acknowledgment within 15 days, it shall be deemed that the notifying administration of the existing network which has failed to start collaboration has undertaken that no complaint will be made in respect of any harmful interference affecting its own assignments which may be caused by the assignment of the notifying administration of the incoming network for which coordination was requested.</w:t>
            </w:r>
          </w:p>
        </w:tc>
      </w:tr>
      <w:tr w:rsidR="008C42C7" w:rsidRPr="00B20114" w14:paraId="7212C1CF" w14:textId="77777777" w:rsidTr="00CE6D50">
        <w:trPr>
          <w:trHeight w:val="1139"/>
        </w:trPr>
        <w:tc>
          <w:tcPr>
            <w:tcW w:w="1838" w:type="dxa"/>
            <w:vMerge/>
          </w:tcPr>
          <w:p w14:paraId="06E54DF0" w14:textId="77777777" w:rsidR="008C42C7" w:rsidRDefault="008C42C7" w:rsidP="00431B02">
            <w:pPr>
              <w:jc w:val="left"/>
              <w:rPr>
                <w:b/>
              </w:rPr>
            </w:pPr>
          </w:p>
        </w:tc>
        <w:tc>
          <w:tcPr>
            <w:tcW w:w="1733" w:type="dxa"/>
          </w:tcPr>
          <w:p w14:paraId="25EB9CC6" w14:textId="77777777" w:rsidR="008C42C7" w:rsidRDefault="008C42C7" w:rsidP="00431B02">
            <w:pPr>
              <w:jc w:val="left"/>
              <w:rPr>
                <w:rFonts w:cs="Times"/>
                <w:b/>
              </w:rPr>
            </w:pPr>
            <w:r>
              <w:rPr>
                <w:rFonts w:cs="Times"/>
                <w:b/>
              </w:rPr>
              <w:t>§§ 13.7 to 13.9</w:t>
            </w:r>
          </w:p>
          <w:p w14:paraId="5AEA0E54" w14:textId="121826C0"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41" w:history="1">
              <w:r w:rsidRPr="002849C7">
                <w:rPr>
                  <w:rStyle w:val="Hyperlink"/>
                  <w:rFonts w:cs="Times"/>
                  <w:b/>
                </w:rPr>
                <w:t>510</w:t>
              </w:r>
            </w:hyperlink>
          </w:p>
        </w:tc>
        <w:tc>
          <w:tcPr>
            <w:tcW w:w="10712" w:type="dxa"/>
          </w:tcPr>
          <w:p w14:paraId="60348168" w14:textId="77777777" w:rsidR="008C42C7" w:rsidRPr="00CF27E7" w:rsidRDefault="008C42C7" w:rsidP="00431B02">
            <w:pPr>
              <w:pStyle w:val="Title4"/>
              <w:rPr>
                <w:sz w:val="22"/>
              </w:rPr>
            </w:pPr>
            <w:r w:rsidRPr="00CF27E7">
              <w:rPr>
                <w:sz w:val="22"/>
              </w:rPr>
              <w:t>Instructions to the Radiocommunication Bureau in application of Annex 3 and Annex 4 of RR Appendix 30B as well as of criteria referred to in Resolution [A7(E)-AP30B] (WRC-19) in its processing, after 22 November 2019, of submissions received under that Appendix</w:t>
            </w:r>
          </w:p>
          <w:p w14:paraId="59556B44" w14:textId="77777777" w:rsidR="008C42C7" w:rsidRPr="00343E14" w:rsidRDefault="008C42C7" w:rsidP="00431B02">
            <w:r w:rsidRPr="00343E14">
              <w:t>The Radiocommunication Bureau shall continue to calculate and update already accepted single-entry values in both uplink and downlink for all RR Appendix </w:t>
            </w:r>
            <w:r w:rsidRPr="00343E14">
              <w:rPr>
                <w:b/>
                <w:bCs/>
              </w:rPr>
              <w:t>30B</w:t>
            </w:r>
            <w:r w:rsidRPr="00343E14">
              <w:t xml:space="preserve"> satellite networks in consistency with footnotes X2 and X3 to item 2.1 of the Annex 4 of RR Appendix </w:t>
            </w:r>
            <w:r w:rsidRPr="00343E14">
              <w:rPr>
                <w:b/>
                <w:bCs/>
              </w:rPr>
              <w:t>30B (Rev.WRC-19)</w:t>
            </w:r>
            <w:r w:rsidRPr="00343E14">
              <w:t>, so that this information could be used by administrations during coordination of their respective networks. The Radiocommunication Bureau shall apply:</w:t>
            </w:r>
          </w:p>
          <w:p w14:paraId="3D00EC8A" w14:textId="77777777" w:rsidR="008C42C7" w:rsidRPr="00343E14" w:rsidRDefault="008C42C7" w:rsidP="00431B02">
            <w:pPr>
              <w:pStyle w:val="enumlev1"/>
            </w:pPr>
            <w:r w:rsidRPr="00343E14">
              <w:t>1</w:t>
            </w:r>
            <w:r w:rsidRPr="00343E14">
              <w:tab/>
              <w:t>For complete submissions under § 6.1 received by the Bureau before 23 November 2019:</w:t>
            </w:r>
          </w:p>
          <w:p w14:paraId="677F45FE" w14:textId="77777777" w:rsidR="008C42C7" w:rsidRPr="00343E14" w:rsidRDefault="008C42C7" w:rsidP="00431B02">
            <w:pPr>
              <w:pStyle w:val="enumlev2"/>
            </w:pPr>
            <w:r w:rsidRPr="00343E14">
              <w:rPr>
                <w:i/>
              </w:rPr>
              <w:t>a)</w:t>
            </w:r>
            <w:r w:rsidRPr="00343E14">
              <w:tab/>
              <w:t>Annex 3 (WRC-07) in its examination under § 6.3 b);</w:t>
            </w:r>
          </w:p>
          <w:p w14:paraId="18AD15A4" w14:textId="77777777" w:rsidR="008C42C7" w:rsidRPr="00343E14" w:rsidRDefault="008C42C7" w:rsidP="00431B02">
            <w:pPr>
              <w:pStyle w:val="enumlev2"/>
            </w:pPr>
            <w:r w:rsidRPr="00343E14">
              <w:rPr>
                <w:i/>
              </w:rPr>
              <w:t>b)</w:t>
            </w:r>
            <w:r w:rsidRPr="00343E14">
              <w:tab/>
              <w:t>Annex 4 (Rev.WRC-07) in its examination under § 6.5.</w:t>
            </w:r>
          </w:p>
          <w:p w14:paraId="4323EB6D" w14:textId="77777777" w:rsidR="008C42C7" w:rsidRPr="00343E14" w:rsidRDefault="008C42C7" w:rsidP="00431B02">
            <w:pPr>
              <w:pStyle w:val="enumlev1"/>
            </w:pPr>
            <w:r>
              <w:tab/>
            </w:r>
            <w:r w:rsidRPr="00343E14">
              <w:t>Note: Including protection of submissions under Issue E examined before Part A.</w:t>
            </w:r>
          </w:p>
          <w:p w14:paraId="540B8CF0" w14:textId="77777777" w:rsidR="008C42C7" w:rsidRPr="00343E14" w:rsidRDefault="008C42C7" w:rsidP="00431B02">
            <w:pPr>
              <w:pStyle w:val="enumlev1"/>
            </w:pPr>
            <w:r w:rsidRPr="00343E14">
              <w:t>2</w:t>
            </w:r>
            <w:r w:rsidRPr="00343E14">
              <w:tab/>
              <w:t>For complete submissions under § 6.17 received by the Bureau before 23 November 2019:</w:t>
            </w:r>
          </w:p>
          <w:p w14:paraId="5A2AB2F2" w14:textId="77777777" w:rsidR="008C42C7" w:rsidRPr="00343E14" w:rsidRDefault="008C42C7" w:rsidP="00431B02">
            <w:pPr>
              <w:pStyle w:val="enumlev2"/>
            </w:pPr>
            <w:r w:rsidRPr="00343E14">
              <w:rPr>
                <w:i/>
              </w:rPr>
              <w:t>a)</w:t>
            </w:r>
            <w:r w:rsidRPr="00343E14">
              <w:tab/>
              <w:t>Annex 3 (WRC-07) in its examination under § 6.19 c);</w:t>
            </w:r>
          </w:p>
          <w:p w14:paraId="331FCD00" w14:textId="77777777" w:rsidR="008C42C7" w:rsidRPr="00343E14" w:rsidRDefault="008C42C7" w:rsidP="00431B02">
            <w:pPr>
              <w:pStyle w:val="enumlev2"/>
            </w:pPr>
            <w:r w:rsidRPr="00343E14">
              <w:rPr>
                <w:i/>
              </w:rPr>
              <w:t>b)</w:t>
            </w:r>
            <w:r w:rsidRPr="00343E14">
              <w:tab/>
              <w:t>Annex 4 (Rev.WRC-07) in its examination under § 6.21;</w:t>
            </w:r>
          </w:p>
          <w:p w14:paraId="66083FBB" w14:textId="77777777" w:rsidR="008C42C7" w:rsidRPr="00343E14" w:rsidRDefault="008C42C7" w:rsidP="00431B02">
            <w:pPr>
              <w:pStyle w:val="enumlev2"/>
            </w:pPr>
            <w:r w:rsidRPr="00343E14">
              <w:rPr>
                <w:i/>
              </w:rPr>
              <w:t>c)</w:t>
            </w:r>
            <w:r w:rsidRPr="00343E14">
              <w:tab/>
              <w:t>Annex 4 (Rev.WRC-07) in its further examination under the new footnote to § 6.21 c);</w:t>
            </w:r>
          </w:p>
          <w:p w14:paraId="6581D4C1" w14:textId="77777777" w:rsidR="008C42C7" w:rsidRPr="00343E14" w:rsidRDefault="008C42C7" w:rsidP="00431B02">
            <w:pPr>
              <w:pStyle w:val="enumlev2"/>
            </w:pPr>
            <w:r w:rsidRPr="00343E14">
              <w:rPr>
                <w:i/>
              </w:rPr>
              <w:t>d)</w:t>
            </w:r>
            <w:r w:rsidRPr="00343E14">
              <w:tab/>
              <w:t>Annex 4 (Rev.WRC-07) in its examination under § 6.22.</w:t>
            </w:r>
          </w:p>
          <w:p w14:paraId="40CBD890" w14:textId="77777777" w:rsidR="008C42C7" w:rsidRPr="00343E14" w:rsidRDefault="008C42C7" w:rsidP="00431B02">
            <w:pPr>
              <w:pStyle w:val="enumlev1"/>
            </w:pPr>
            <w:r>
              <w:tab/>
            </w:r>
            <w:r w:rsidRPr="00343E14">
              <w:t>Note: Including protection of submissions under Issue E examined before Part B.</w:t>
            </w:r>
          </w:p>
          <w:p w14:paraId="673FEE18" w14:textId="5C780739" w:rsidR="008C42C7" w:rsidRDefault="008C42C7" w:rsidP="00431B02">
            <w:pPr>
              <w:pStyle w:val="enumlev1"/>
            </w:pPr>
            <w:r w:rsidRPr="00343E14">
              <w:t>3</w:t>
            </w:r>
            <w:r w:rsidRPr="00343E14">
              <w:tab/>
              <w:t xml:space="preserve">For complete submissions under § 6.17 received </w:t>
            </w:r>
            <w:r>
              <w:t>by the Bureau after 22 November </w:t>
            </w:r>
            <w:r w:rsidRPr="00343E14">
              <w:t>2019, related to complete submissions under § 6.1 received by the Bureau before 23 November 2019:</w:t>
            </w:r>
          </w:p>
          <w:p w14:paraId="1A9DEA22" w14:textId="77777777" w:rsidR="008C42C7" w:rsidRPr="00343E14" w:rsidRDefault="008C42C7" w:rsidP="00431B02">
            <w:pPr>
              <w:pStyle w:val="enumlev2"/>
            </w:pPr>
            <w:r w:rsidRPr="00343E14">
              <w:rPr>
                <w:i/>
              </w:rPr>
              <w:t>a)</w:t>
            </w:r>
            <w:r w:rsidRPr="00343E14">
              <w:tab/>
              <w:t>Annex 3 (WRC-07) in its examination under § 6.19 c);</w:t>
            </w:r>
          </w:p>
          <w:p w14:paraId="372BE4E8" w14:textId="77777777" w:rsidR="008C42C7" w:rsidRPr="00343E14" w:rsidRDefault="008C42C7" w:rsidP="00431B02">
            <w:pPr>
              <w:pStyle w:val="enumlev2"/>
            </w:pPr>
            <w:r w:rsidRPr="00343E14">
              <w:rPr>
                <w:i/>
              </w:rPr>
              <w:t>b)</w:t>
            </w:r>
            <w:r w:rsidRPr="00343E14">
              <w:tab/>
              <w:t>Annex 4 (Rev.WRC-07) in its examination under § 6.21;</w:t>
            </w:r>
          </w:p>
          <w:p w14:paraId="29F967DB" w14:textId="77777777" w:rsidR="008C42C7" w:rsidRPr="00343E14" w:rsidRDefault="008C42C7" w:rsidP="00431B02">
            <w:pPr>
              <w:pStyle w:val="enumlev2"/>
            </w:pPr>
            <w:r w:rsidRPr="00343E14">
              <w:rPr>
                <w:i/>
              </w:rPr>
              <w:t>c)</w:t>
            </w:r>
            <w:r w:rsidRPr="00343E14">
              <w:tab/>
              <w:t>Annex 4 (Rev.WRC-07) in its further examination under footnote YY to § 6.21 c) if the remaining affected assignments are recorded in the List before 23 November 2019;</w:t>
            </w:r>
          </w:p>
          <w:p w14:paraId="601212A6" w14:textId="77777777" w:rsidR="008C42C7" w:rsidRPr="00343E14" w:rsidRDefault="008C42C7" w:rsidP="00431B02">
            <w:pPr>
              <w:pStyle w:val="enumlev2"/>
            </w:pPr>
            <w:r w:rsidRPr="00343E14">
              <w:rPr>
                <w:i/>
              </w:rPr>
              <w:lastRenderedPageBreak/>
              <w:t>d)</w:t>
            </w:r>
            <w:r w:rsidRPr="00343E14">
              <w:tab/>
              <w:t xml:space="preserve">Annex 4 (Rev.WRC-19) in its further examination under footnote YY to § 6.21 c) if the remaining affected assignments are recorded in the List after 22 November 2019; </w:t>
            </w:r>
          </w:p>
          <w:p w14:paraId="30625F32" w14:textId="77777777" w:rsidR="008C42C7" w:rsidRPr="00343E14" w:rsidRDefault="008C42C7" w:rsidP="00431B02">
            <w:pPr>
              <w:pStyle w:val="enumlev2"/>
            </w:pPr>
            <w:r w:rsidRPr="00343E14">
              <w:rPr>
                <w:i/>
              </w:rPr>
              <w:t>e)</w:t>
            </w:r>
            <w:r w:rsidRPr="00343E14">
              <w:tab/>
              <w:t>Annex 4 (Rev.WRC-19) in its examination under § 6.22.</w:t>
            </w:r>
          </w:p>
          <w:p w14:paraId="48EAC26D" w14:textId="77777777" w:rsidR="008C42C7" w:rsidRPr="00343E14" w:rsidRDefault="008C42C7" w:rsidP="00431B02">
            <w:pPr>
              <w:pStyle w:val="enumlev1"/>
            </w:pPr>
            <w:r>
              <w:tab/>
            </w:r>
            <w:r w:rsidRPr="00343E14">
              <w:t>Note: Including protection of submissions under Issue E examined before Parts A and/or B.</w:t>
            </w:r>
          </w:p>
          <w:p w14:paraId="7131B174" w14:textId="77777777" w:rsidR="008C42C7" w:rsidRPr="00343E14" w:rsidRDefault="008C42C7" w:rsidP="00431B02">
            <w:pPr>
              <w:pStyle w:val="enumlev1"/>
            </w:pPr>
            <w:r w:rsidRPr="00343E14">
              <w:t>4</w:t>
            </w:r>
            <w:r w:rsidRPr="00343E14">
              <w:tab/>
              <w:t>For complete submissions under § 6.1 received by the Bureau after 22 November 2019:</w:t>
            </w:r>
          </w:p>
          <w:p w14:paraId="1A719186" w14:textId="77777777" w:rsidR="008C42C7" w:rsidRPr="00343E14" w:rsidRDefault="008C42C7" w:rsidP="00431B02">
            <w:pPr>
              <w:pStyle w:val="enumlev2"/>
            </w:pPr>
            <w:r w:rsidRPr="00343E14">
              <w:rPr>
                <w:i/>
              </w:rPr>
              <w:t>a)</w:t>
            </w:r>
            <w:r w:rsidRPr="00343E14">
              <w:tab/>
              <w:t>Annex 3 (Rev.WRC-19) in its examination under § 6.3 b);</w:t>
            </w:r>
          </w:p>
          <w:p w14:paraId="11E88831" w14:textId="77777777" w:rsidR="008C42C7" w:rsidRPr="00343E14" w:rsidRDefault="008C42C7" w:rsidP="00431B02">
            <w:pPr>
              <w:pStyle w:val="enumlev2"/>
            </w:pPr>
            <w:r w:rsidRPr="00343E14">
              <w:rPr>
                <w:i/>
              </w:rPr>
              <w:t>b)</w:t>
            </w:r>
            <w:r w:rsidRPr="00343E14">
              <w:tab/>
              <w:t>Annex 4 (Rev.WRC-19) in its examination under § 6.5.</w:t>
            </w:r>
          </w:p>
          <w:p w14:paraId="20BD705B" w14:textId="77777777" w:rsidR="008C42C7" w:rsidRPr="00343E14" w:rsidRDefault="008C42C7" w:rsidP="00431B02">
            <w:pPr>
              <w:pStyle w:val="enumlev1"/>
            </w:pPr>
            <w:r w:rsidRPr="00343E14">
              <w:t>5</w:t>
            </w:r>
            <w:r w:rsidRPr="00343E14">
              <w:tab/>
            </w:r>
            <w:r w:rsidRPr="00343E14">
              <w:rPr>
                <w:spacing w:val="-2"/>
              </w:rPr>
              <w:t xml:space="preserve">For complete </w:t>
            </w:r>
            <w:r w:rsidRPr="00343E14">
              <w:t>submissions</w:t>
            </w:r>
            <w:r w:rsidRPr="00343E14">
              <w:rPr>
                <w:spacing w:val="-2"/>
              </w:rPr>
              <w:t xml:space="preserve"> under § 6.17 received by the Bureau after 22 November 2019</w:t>
            </w:r>
            <w:r w:rsidRPr="00343E14">
              <w:t xml:space="preserve">, related to complete submissions under § 6.1 received </w:t>
            </w:r>
            <w:r>
              <w:t>by the Bureau after 22 November </w:t>
            </w:r>
            <w:r w:rsidRPr="00343E14">
              <w:t>2019:</w:t>
            </w:r>
          </w:p>
          <w:p w14:paraId="1E8C2183" w14:textId="77777777" w:rsidR="008C42C7" w:rsidRPr="00343E14" w:rsidRDefault="008C42C7" w:rsidP="00431B02">
            <w:pPr>
              <w:pStyle w:val="enumlev2"/>
            </w:pPr>
            <w:r w:rsidRPr="00343E14">
              <w:rPr>
                <w:i/>
              </w:rPr>
              <w:t>a)</w:t>
            </w:r>
            <w:r w:rsidRPr="00343E14">
              <w:tab/>
              <w:t>Annex 3 (Rev.WRC-19) in its examination under § 6.19 c);</w:t>
            </w:r>
          </w:p>
          <w:p w14:paraId="00EE58E3" w14:textId="77777777" w:rsidR="008C42C7" w:rsidRPr="00343E14" w:rsidRDefault="008C42C7" w:rsidP="00431B02">
            <w:pPr>
              <w:pStyle w:val="enumlev2"/>
            </w:pPr>
            <w:r w:rsidRPr="00343E14">
              <w:rPr>
                <w:i/>
              </w:rPr>
              <w:t>b)</w:t>
            </w:r>
            <w:r w:rsidRPr="00343E14">
              <w:tab/>
              <w:t>Annex 4 (Rev.WRC-19) in its examination under § 6.21;</w:t>
            </w:r>
          </w:p>
          <w:p w14:paraId="52D4BC14" w14:textId="77777777" w:rsidR="008C42C7" w:rsidRPr="00343E14" w:rsidRDefault="008C42C7" w:rsidP="00431B02">
            <w:pPr>
              <w:pStyle w:val="enumlev2"/>
            </w:pPr>
            <w:r w:rsidRPr="00343E14">
              <w:rPr>
                <w:i/>
              </w:rPr>
              <w:t>c)</w:t>
            </w:r>
            <w:r w:rsidRPr="00343E14">
              <w:tab/>
              <w:t>Annex 4 (Rev.WRC-19) in its examination under § 6.22.</w:t>
            </w:r>
          </w:p>
          <w:p w14:paraId="46402D46" w14:textId="77777777" w:rsidR="008C42C7" w:rsidRPr="00343E14" w:rsidRDefault="008C42C7" w:rsidP="00431B02">
            <w:pPr>
              <w:pStyle w:val="enumlev1"/>
            </w:pPr>
            <w:r w:rsidRPr="00343E14">
              <w:t>6</w:t>
            </w:r>
            <w:r w:rsidRPr="00343E14">
              <w:tab/>
              <w:t xml:space="preserve">For complete submissions under § 6.1 in application of Resolution </w:t>
            </w:r>
            <w:r w:rsidRPr="00343E14">
              <w:rPr>
                <w:b/>
                <w:bCs/>
              </w:rPr>
              <w:t>[A7(E)-AP30B] (WRC-19)</w:t>
            </w:r>
            <w:r w:rsidRPr="00343E14">
              <w:t>:</w:t>
            </w:r>
          </w:p>
          <w:p w14:paraId="2715ABDA" w14:textId="77777777" w:rsidR="008C42C7" w:rsidRPr="00343E14" w:rsidRDefault="008C42C7" w:rsidP="00431B02">
            <w:pPr>
              <w:pStyle w:val="enumlev2"/>
            </w:pPr>
            <w:r w:rsidRPr="00343E14">
              <w:rPr>
                <w:i/>
              </w:rPr>
              <w:t>a)</w:t>
            </w:r>
            <w:r w:rsidRPr="00343E14">
              <w:tab/>
              <w:t>Annex 3 (Rev.WRC-19) in its examination under § 6.3 b);</w:t>
            </w:r>
          </w:p>
          <w:p w14:paraId="056E805F" w14:textId="77777777" w:rsidR="008C42C7" w:rsidRPr="00343E14" w:rsidRDefault="008C42C7" w:rsidP="00431B02">
            <w:pPr>
              <w:pStyle w:val="enumlev2"/>
            </w:pPr>
            <w:r w:rsidRPr="00343E14">
              <w:rPr>
                <w:i/>
              </w:rPr>
              <w:t>b)</w:t>
            </w:r>
            <w:r w:rsidRPr="00343E14">
              <w:tab/>
              <w:t xml:space="preserve">Annex 4 (Rev.WRC-19) and the new criteria referred to in Resolution </w:t>
            </w:r>
            <w:r w:rsidRPr="00343E14">
              <w:rPr>
                <w:b/>
                <w:bCs/>
              </w:rPr>
              <w:t>[A7(E)</w:t>
            </w:r>
            <w:r w:rsidRPr="00343E14">
              <w:rPr>
                <w:b/>
                <w:bCs/>
              </w:rPr>
              <w:noBreakHyphen/>
              <w:t xml:space="preserve">AP30B] (WRC-19) </w:t>
            </w:r>
            <w:r w:rsidRPr="00343E14">
              <w:t>in its examination under § 6.5, as appropriate.</w:t>
            </w:r>
          </w:p>
          <w:p w14:paraId="7B3F7C7F" w14:textId="11C28188" w:rsidR="008C42C7" w:rsidRDefault="008C42C7" w:rsidP="00431B02">
            <w:pPr>
              <w:pStyle w:val="enumlev1"/>
            </w:pPr>
            <w:r>
              <w:tab/>
            </w:r>
            <w:r w:rsidRPr="00343E14">
              <w:t>Note: Including examination of submissions under Issue E before the examination of the last normal Part A and/or Part B received before 23 November 2019.</w:t>
            </w:r>
          </w:p>
          <w:p w14:paraId="4D9818FC" w14:textId="77777777" w:rsidR="008C42C7" w:rsidRPr="00343E14" w:rsidRDefault="008C42C7" w:rsidP="00431B02">
            <w:pPr>
              <w:pStyle w:val="enumlev1"/>
            </w:pPr>
            <w:r w:rsidRPr="00343E14">
              <w:t>7</w:t>
            </w:r>
            <w:r w:rsidRPr="00343E14">
              <w:tab/>
              <w:t xml:space="preserve">For complete submissions under § 6.17 in application of Resolution </w:t>
            </w:r>
            <w:r w:rsidRPr="00343E14">
              <w:rPr>
                <w:b/>
                <w:bCs/>
              </w:rPr>
              <w:t>[A7(E)-AP30B] (WRC-19)</w:t>
            </w:r>
            <w:r w:rsidRPr="00343E14">
              <w:t>, the Bureau shall apply:</w:t>
            </w:r>
          </w:p>
          <w:p w14:paraId="5F035755" w14:textId="77777777" w:rsidR="008C42C7" w:rsidRPr="00343E14" w:rsidRDefault="008C42C7" w:rsidP="00431B02">
            <w:pPr>
              <w:pStyle w:val="enumlev2"/>
            </w:pPr>
            <w:r w:rsidRPr="00343E14">
              <w:rPr>
                <w:i/>
              </w:rPr>
              <w:t>a)</w:t>
            </w:r>
            <w:r w:rsidRPr="00343E14">
              <w:tab/>
              <w:t>Annex 3 (Rev.WRC-19) in its examination under § 6.19 c);</w:t>
            </w:r>
          </w:p>
          <w:p w14:paraId="1E3A4547" w14:textId="77777777" w:rsidR="008C42C7" w:rsidRPr="00343E14" w:rsidRDefault="008C42C7" w:rsidP="00431B02">
            <w:pPr>
              <w:pStyle w:val="enumlev2"/>
            </w:pPr>
            <w:r w:rsidRPr="00343E14">
              <w:rPr>
                <w:i/>
              </w:rPr>
              <w:t>b)</w:t>
            </w:r>
            <w:r w:rsidRPr="00343E14">
              <w:tab/>
              <w:t xml:space="preserve">Annex 4 (Rev.WRC-19) and the new criteria referred to in Resolution </w:t>
            </w:r>
            <w:r w:rsidRPr="00343E14">
              <w:rPr>
                <w:b/>
                <w:bCs/>
              </w:rPr>
              <w:t>[A7(E)</w:t>
            </w:r>
            <w:r w:rsidRPr="00343E14">
              <w:rPr>
                <w:b/>
                <w:bCs/>
              </w:rPr>
              <w:noBreakHyphen/>
              <w:t xml:space="preserve">AP30B] (WRC-19) </w:t>
            </w:r>
            <w:r w:rsidRPr="00343E14">
              <w:t>in its examination under § 6.21, as appropriate;</w:t>
            </w:r>
          </w:p>
          <w:p w14:paraId="3C806FC3" w14:textId="77777777" w:rsidR="008C42C7" w:rsidRPr="00343E14" w:rsidRDefault="008C42C7" w:rsidP="00431B02">
            <w:pPr>
              <w:pStyle w:val="enumlev2"/>
            </w:pPr>
            <w:r w:rsidRPr="00343E14">
              <w:rPr>
                <w:i/>
              </w:rPr>
              <w:t>c)</w:t>
            </w:r>
            <w:r w:rsidRPr="00343E14">
              <w:tab/>
              <w:t xml:space="preserve">Annex 4 (Rev.WRC-19) and the new criteria referred to in Resolution </w:t>
            </w:r>
            <w:r w:rsidRPr="00343E14">
              <w:rPr>
                <w:b/>
                <w:bCs/>
              </w:rPr>
              <w:t>[A7(E)</w:t>
            </w:r>
            <w:r w:rsidRPr="00343E14">
              <w:rPr>
                <w:b/>
                <w:bCs/>
              </w:rPr>
              <w:noBreakHyphen/>
              <w:t>AP30B] (WRC-19)</w:t>
            </w:r>
            <w:r w:rsidRPr="00343E14">
              <w:t xml:space="preserve"> in its further examination under footnote YY to § 6.21 c), as appropriate;</w:t>
            </w:r>
          </w:p>
          <w:p w14:paraId="264C63CF" w14:textId="77777777" w:rsidR="008C42C7" w:rsidRPr="00343E14" w:rsidRDefault="008C42C7" w:rsidP="00431B02">
            <w:pPr>
              <w:pStyle w:val="enumlev2"/>
            </w:pPr>
            <w:r w:rsidRPr="00343E14">
              <w:rPr>
                <w:i/>
              </w:rPr>
              <w:lastRenderedPageBreak/>
              <w:t>d)</w:t>
            </w:r>
            <w:r w:rsidRPr="00343E14">
              <w:tab/>
              <w:t xml:space="preserve">Annex 4 (Rev.WRC-19) and the new criteria referred to in Resolution </w:t>
            </w:r>
            <w:r w:rsidRPr="00343E14">
              <w:rPr>
                <w:b/>
                <w:bCs/>
              </w:rPr>
              <w:t>[A7(E)</w:t>
            </w:r>
            <w:r w:rsidRPr="00343E14">
              <w:rPr>
                <w:b/>
                <w:bCs/>
              </w:rPr>
              <w:noBreakHyphen/>
              <w:t>AP30B] (WRC-19)</w:t>
            </w:r>
            <w:r w:rsidRPr="00343E14">
              <w:t xml:space="preserve"> in its examination under § 6.22, as appropriate.</w:t>
            </w:r>
          </w:p>
          <w:p w14:paraId="5B9DB91D" w14:textId="77777777" w:rsidR="008C42C7" w:rsidRPr="00343E14" w:rsidRDefault="008C42C7" w:rsidP="00431B02">
            <w:r w:rsidRPr="00343E14">
              <w:t xml:space="preserve">Application of § 6.16: </w:t>
            </w:r>
          </w:p>
          <w:p w14:paraId="4CD38139" w14:textId="77777777" w:rsidR="008C42C7" w:rsidRPr="00343E14" w:rsidRDefault="008C42C7" w:rsidP="00431B02">
            <w:pPr>
              <w:pStyle w:val="enumlev1"/>
            </w:pPr>
            <w:r w:rsidRPr="00343E14">
              <w:t>–</w:t>
            </w:r>
            <w:r w:rsidRPr="00343E14">
              <w:tab/>
              <w:t>In excluding the territories of the concerned administration, the Bureau shall apply Annex 4 (Rev.WRC-07) until the last complete submissions under § 6.1 or § 6.17 received by the Bureau before 23 November 2019 has been examined and Annex 4 (Rev.WRC-19) afterward.</w:t>
            </w:r>
          </w:p>
          <w:p w14:paraId="691152ED" w14:textId="77777777" w:rsidR="008C42C7" w:rsidRPr="00343E14" w:rsidRDefault="008C42C7" w:rsidP="00431B02">
            <w:pPr>
              <w:pStyle w:val="enumlev1"/>
            </w:pPr>
            <w:r w:rsidRPr="00343E14">
              <w:t>–</w:t>
            </w:r>
            <w:r w:rsidRPr="00343E14">
              <w:tab/>
              <w:t xml:space="preserve">If § 6.16 request is submitted in order to be </w:t>
            </w:r>
            <w:proofErr w:type="gramStart"/>
            <w:r w:rsidRPr="00343E14">
              <w:t>taken into account</w:t>
            </w:r>
            <w:proofErr w:type="gramEnd"/>
            <w:r w:rsidRPr="00343E14">
              <w:t xml:space="preserve"> for the examination of a complete submissions under § 6.17, in examining those submissions, the Bureau shall apply appropriate Annex 4 used in the examination under § 6.21 and § 6.22 as indicated above.</w:t>
            </w:r>
          </w:p>
          <w:p w14:paraId="58A74B87" w14:textId="77777777" w:rsidR="008C42C7" w:rsidRDefault="008C42C7" w:rsidP="00431B02">
            <w:r w:rsidRPr="00343E14">
              <w:t xml:space="preserve">Application </w:t>
            </w:r>
            <w:r>
              <w:t>of § 6.27 in updating criteria:</w:t>
            </w:r>
          </w:p>
          <w:p w14:paraId="2509566E" w14:textId="77777777" w:rsidR="008C42C7" w:rsidRPr="00343E14" w:rsidRDefault="008C42C7" w:rsidP="00431B02">
            <w:r w:rsidRPr="00343E14">
              <w:t>The Bureau shall apply Annex 4 (Rev.WRC-07) until the last complete submissions under § 6.1 or § 6.17 received by the Bureau before 23 November 2019 has been examined and Annex 4 (Rev.WRC-19) afterward.</w:t>
            </w:r>
          </w:p>
          <w:p w14:paraId="72459260" w14:textId="77777777" w:rsidR="008C42C7" w:rsidRPr="00343E14" w:rsidRDefault="008C42C7" w:rsidP="00431B02">
            <w:r w:rsidRPr="00343E14">
              <w:t>Application of § 7.5:</w:t>
            </w:r>
          </w:p>
          <w:p w14:paraId="720D5399" w14:textId="77777777" w:rsidR="008C42C7" w:rsidRPr="00343E14" w:rsidRDefault="008C42C7" w:rsidP="00431B02">
            <w:pPr>
              <w:pStyle w:val="enumlev1"/>
            </w:pPr>
            <w:r w:rsidRPr="00343E14">
              <w:t>–</w:t>
            </w:r>
            <w:r w:rsidRPr="00343E14">
              <w:tab/>
              <w:t xml:space="preserve">For a request under Article </w:t>
            </w:r>
            <w:r w:rsidRPr="00343E14">
              <w:rPr>
                <w:b/>
                <w:bCs/>
              </w:rPr>
              <w:t>7</w:t>
            </w:r>
            <w:r w:rsidRPr="00343E14">
              <w:t xml:space="preserve"> received before 23 November 2019, the Bureau shall apply Annex 3 (WRC-07) and Annex 4 (Rev.WRC-07).</w:t>
            </w:r>
          </w:p>
          <w:p w14:paraId="044D15FD" w14:textId="77777777" w:rsidR="008C42C7" w:rsidRPr="00343E14" w:rsidRDefault="008C42C7" w:rsidP="00431B02">
            <w:pPr>
              <w:pStyle w:val="enumlev1"/>
            </w:pPr>
            <w:r w:rsidRPr="00343E14">
              <w:t>–</w:t>
            </w:r>
            <w:r w:rsidRPr="00343E14">
              <w:tab/>
              <w:t xml:space="preserve">For a request under Article </w:t>
            </w:r>
            <w:r w:rsidRPr="00343E14">
              <w:rPr>
                <w:b/>
                <w:bCs/>
              </w:rPr>
              <w:t>7</w:t>
            </w:r>
            <w:r w:rsidRPr="00343E14">
              <w:t xml:space="preserve"> received after 22 November 2019, the Bureau shall apply Annex 3 (Rev.WRC-19) and Annex 4 (Rev.WRC-19). </w:t>
            </w:r>
          </w:p>
          <w:p w14:paraId="1C5132B3" w14:textId="77777777" w:rsidR="008C42C7" w:rsidRPr="00E4486D" w:rsidRDefault="008C42C7" w:rsidP="00431B02">
            <w:r w:rsidRPr="00343E14">
              <w:t xml:space="preserve">In its examination under 6.21 c), the Bureau shall take into account also complete submissions under § 6.1 in application of Resolution </w:t>
            </w:r>
            <w:r w:rsidRPr="00343E14">
              <w:rPr>
                <w:b/>
                <w:bCs/>
              </w:rPr>
              <w:t>[A7(E)-AP30B] (WRC-19)</w:t>
            </w:r>
            <w:r w:rsidRPr="00343E14">
              <w:t xml:space="preserve"> and Article </w:t>
            </w:r>
            <w:r w:rsidRPr="00343E14">
              <w:rPr>
                <w:bCs/>
              </w:rPr>
              <w:t>7</w:t>
            </w:r>
            <w:r w:rsidRPr="00343E14">
              <w:t xml:space="preserve"> request transferred to Article </w:t>
            </w:r>
            <w:r w:rsidRPr="00343E14">
              <w:rPr>
                <w:bCs/>
              </w:rPr>
              <w:t>6</w:t>
            </w:r>
            <w:r w:rsidRPr="00343E14">
              <w:t xml:space="preserve"> under § 7.7 that has been examined before the date of receipt of the examined notice submitted under § 6.1.</w:t>
            </w:r>
          </w:p>
        </w:tc>
      </w:tr>
      <w:tr w:rsidR="008C42C7" w:rsidRPr="00B20114" w14:paraId="4288C805" w14:textId="77777777" w:rsidTr="00CE6D50">
        <w:trPr>
          <w:trHeight w:val="1139"/>
        </w:trPr>
        <w:tc>
          <w:tcPr>
            <w:tcW w:w="1838" w:type="dxa"/>
          </w:tcPr>
          <w:p w14:paraId="54A218A9" w14:textId="05C428CF" w:rsidR="008C42C7" w:rsidRDefault="008C42C7" w:rsidP="00431B02">
            <w:pPr>
              <w:jc w:val="left"/>
              <w:rPr>
                <w:b/>
              </w:rPr>
            </w:pPr>
            <w:r>
              <w:rPr>
                <w:b/>
              </w:rPr>
              <w:lastRenderedPageBreak/>
              <w:t xml:space="preserve">Document </w:t>
            </w:r>
            <w:hyperlink r:id="rId42" w:history="1">
              <w:r w:rsidRPr="002849C7">
                <w:rPr>
                  <w:rStyle w:val="Hyperlink"/>
                  <w:b/>
                </w:rPr>
                <w:t>CMR19/572</w:t>
              </w:r>
            </w:hyperlink>
            <w:r>
              <w:rPr>
                <w:b/>
              </w:rPr>
              <w:t xml:space="preserve"> – Minutes of </w:t>
            </w:r>
            <w:r w:rsidRPr="00B20114">
              <w:rPr>
                <w:b/>
              </w:rPr>
              <w:t xml:space="preserve">the </w:t>
            </w:r>
            <w:r>
              <w:rPr>
                <w:b/>
              </w:rPr>
              <w:t>eleven</w:t>
            </w:r>
            <w:r w:rsidRPr="00B20114">
              <w:rPr>
                <w:b/>
              </w:rPr>
              <w:t>th Plenary meeting</w:t>
            </w:r>
          </w:p>
        </w:tc>
        <w:tc>
          <w:tcPr>
            <w:tcW w:w="1733" w:type="dxa"/>
          </w:tcPr>
          <w:p w14:paraId="6998EBFA" w14:textId="77777777" w:rsidR="008C42C7" w:rsidRDefault="008C42C7" w:rsidP="00431B02">
            <w:pPr>
              <w:jc w:val="left"/>
              <w:rPr>
                <w:rFonts w:cs="Times"/>
                <w:b/>
              </w:rPr>
            </w:pPr>
            <w:r>
              <w:rPr>
                <w:rFonts w:cs="Times"/>
                <w:b/>
              </w:rPr>
              <w:t>§§ 1.7 to 1.10</w:t>
            </w:r>
          </w:p>
          <w:p w14:paraId="2AA1B4D5" w14:textId="02AD7E6E"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43" w:history="1">
              <w:r w:rsidRPr="002849C7">
                <w:rPr>
                  <w:rStyle w:val="Hyperlink"/>
                  <w:rFonts w:cs="Times"/>
                  <w:b/>
                </w:rPr>
                <w:t>402</w:t>
              </w:r>
            </w:hyperlink>
          </w:p>
        </w:tc>
        <w:tc>
          <w:tcPr>
            <w:tcW w:w="10712" w:type="dxa"/>
          </w:tcPr>
          <w:p w14:paraId="18A30F25" w14:textId="77777777" w:rsidR="008C42C7" w:rsidRPr="006D098C" w:rsidRDefault="008C42C7" w:rsidP="00431B02">
            <w:r>
              <w:t xml:space="preserve">Regarding meteorological radars, </w:t>
            </w:r>
            <w:r w:rsidRPr="006E029E">
              <w:t xml:space="preserve">the </w:t>
            </w:r>
            <w:r w:rsidRPr="00B24AAB">
              <w:t xml:space="preserve">revision of </w:t>
            </w:r>
            <w:r w:rsidRPr="00B24AAB">
              <w:rPr>
                <w:i/>
                <w:iCs/>
              </w:rPr>
              <w:t>resolves</w:t>
            </w:r>
            <w:r w:rsidRPr="00B24AAB">
              <w:t xml:space="preserve"> 8 of Resolution </w:t>
            </w:r>
            <w:r w:rsidRPr="00B24AAB">
              <w:rPr>
                <w:b/>
                <w:bCs/>
              </w:rPr>
              <w:t>229 (Rev.WRC</w:t>
            </w:r>
            <w:r w:rsidRPr="00B24AAB">
              <w:rPr>
                <w:b/>
                <w:bCs/>
              </w:rPr>
              <w:noBreakHyphen/>
              <w:t>19)</w:t>
            </w:r>
            <w:r w:rsidRPr="00B24AAB">
              <w:t xml:space="preserve"> as agreed under Agenda item 9.1 (</w:t>
            </w:r>
            <w:r>
              <w:t>I</w:t>
            </w:r>
            <w:r w:rsidRPr="00B24AAB">
              <w:t>ssue 9.1.5) (WRC-19) is strictly limited to the specification of Dynamic Frequency Selection (DFS) parameters with respect to the changes in Nos. 5.447F and 5.450A</w:t>
            </w:r>
            <w:r>
              <w:t>.</w:t>
            </w:r>
          </w:p>
        </w:tc>
      </w:tr>
      <w:tr w:rsidR="008C42C7" w:rsidRPr="00B20114" w14:paraId="43BBC5C2" w14:textId="77777777" w:rsidTr="00CE6D50">
        <w:trPr>
          <w:trHeight w:val="1139"/>
        </w:trPr>
        <w:tc>
          <w:tcPr>
            <w:tcW w:w="1838" w:type="dxa"/>
            <w:vMerge w:val="restart"/>
          </w:tcPr>
          <w:p w14:paraId="146E4FE5" w14:textId="7E35EF36" w:rsidR="008C42C7" w:rsidRDefault="008C42C7" w:rsidP="00431B02">
            <w:pPr>
              <w:jc w:val="left"/>
              <w:rPr>
                <w:b/>
              </w:rPr>
            </w:pPr>
            <w:r>
              <w:rPr>
                <w:b/>
              </w:rPr>
              <w:lastRenderedPageBreak/>
              <w:t xml:space="preserve">Document </w:t>
            </w:r>
            <w:hyperlink r:id="rId44" w:history="1">
              <w:r w:rsidRPr="002849C7">
                <w:rPr>
                  <w:rStyle w:val="Hyperlink"/>
                  <w:b/>
                </w:rPr>
                <w:t>CMR19/573</w:t>
              </w:r>
            </w:hyperlink>
            <w:r>
              <w:rPr>
                <w:b/>
              </w:rPr>
              <w:t xml:space="preserve"> – Minutes of </w:t>
            </w:r>
            <w:r w:rsidRPr="00B20114">
              <w:rPr>
                <w:b/>
              </w:rPr>
              <w:t xml:space="preserve">the </w:t>
            </w:r>
            <w:r>
              <w:rPr>
                <w:b/>
              </w:rPr>
              <w:t>twelf</w:t>
            </w:r>
            <w:r w:rsidRPr="00B20114">
              <w:rPr>
                <w:b/>
              </w:rPr>
              <w:t>th Plenary meeting</w:t>
            </w:r>
          </w:p>
        </w:tc>
        <w:tc>
          <w:tcPr>
            <w:tcW w:w="1733" w:type="dxa"/>
          </w:tcPr>
          <w:p w14:paraId="66FBC321" w14:textId="77777777" w:rsidR="008C42C7" w:rsidRDefault="008C42C7" w:rsidP="00431B02">
            <w:pPr>
              <w:jc w:val="left"/>
              <w:rPr>
                <w:rFonts w:cs="Times"/>
                <w:b/>
              </w:rPr>
            </w:pPr>
            <w:r>
              <w:rPr>
                <w:rFonts w:cs="Times"/>
                <w:b/>
              </w:rPr>
              <w:t>§§ 3.13 to 3.16</w:t>
            </w:r>
          </w:p>
          <w:p w14:paraId="6379B901" w14:textId="7B0C8593"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45" w:history="1">
              <w:r w:rsidRPr="002849C7">
                <w:rPr>
                  <w:rStyle w:val="Hyperlink"/>
                  <w:rFonts w:cs="Times"/>
                  <w:b/>
                </w:rPr>
                <w:t>518(Corr.1)</w:t>
              </w:r>
            </w:hyperlink>
          </w:p>
        </w:tc>
        <w:tc>
          <w:tcPr>
            <w:tcW w:w="10712" w:type="dxa"/>
          </w:tcPr>
          <w:p w14:paraId="4FBB4A68" w14:textId="77777777" w:rsidR="008C42C7" w:rsidRPr="00207656" w:rsidRDefault="008C42C7" w:rsidP="00431B02">
            <w:pPr>
              <w:pStyle w:val="Headingb"/>
              <w:rPr>
                <w:rFonts w:eastAsia="Calibri"/>
                <w:lang w:val="en-GB"/>
              </w:rPr>
            </w:pPr>
            <w:r w:rsidRPr="00207656">
              <w:rPr>
                <w:lang w:val="en-GB"/>
              </w:rPr>
              <w:t>Request for</w:t>
            </w:r>
            <w:r w:rsidRPr="00207656">
              <w:rPr>
                <w:rFonts w:eastAsia="Calibri"/>
                <w:lang w:val="en-GB"/>
              </w:rPr>
              <w:t xml:space="preserve"> </w:t>
            </w:r>
            <w:r w:rsidRPr="00207656">
              <w:rPr>
                <w:lang w:val="en-GB"/>
              </w:rPr>
              <w:t xml:space="preserve">MNG00000 and SANSAR-1 (113.6° E) </w:t>
            </w:r>
            <w:r w:rsidRPr="00207656">
              <w:rPr>
                <w:rFonts w:eastAsia="Calibri"/>
                <w:lang w:val="en-GB"/>
              </w:rPr>
              <w:t>satellite networks</w:t>
            </w:r>
          </w:p>
          <w:p w14:paraId="5F2258F6" w14:textId="77777777" w:rsidR="008C42C7" w:rsidRPr="0010544E" w:rsidRDefault="008C42C7" w:rsidP="00431B02">
            <w:pPr>
              <w:rPr>
                <w:szCs w:val="24"/>
              </w:rPr>
            </w:pPr>
            <w:r w:rsidRPr="001928D5">
              <w:rPr>
                <w:szCs w:val="24"/>
              </w:rPr>
              <w:t>WRC</w:t>
            </w:r>
            <w:r w:rsidRPr="001928D5">
              <w:rPr>
                <w:szCs w:val="24"/>
              </w:rPr>
              <w:noBreakHyphen/>
              <w:t>19 considered the specific request made by Mongolia in Document 164 regarding the reference situation of the Mongolian satellite system (113.6° E) in the FSS Plan. WRC</w:t>
            </w:r>
            <w:r w:rsidRPr="001928D5">
              <w:rPr>
                <w:szCs w:val="24"/>
              </w:rPr>
              <w:noBreakHyphen/>
              <w:t xml:space="preserve">19 instructs the Radiocommunication Bureau to apply with respect to the MNG00000 and SANSAR-1 networks of Mongolia the criteria in § 2.1 of Annex </w:t>
            </w:r>
            <w:r w:rsidRPr="001928D5">
              <w:rPr>
                <w:b/>
                <w:bCs/>
                <w:szCs w:val="24"/>
              </w:rPr>
              <w:t>4</w:t>
            </w:r>
            <w:r w:rsidRPr="001928D5">
              <w:rPr>
                <w:szCs w:val="24"/>
              </w:rPr>
              <w:t xml:space="preserve"> to RR Appendix </w:t>
            </w:r>
            <w:r w:rsidRPr="001928D5">
              <w:rPr>
                <w:b/>
                <w:bCs/>
                <w:szCs w:val="24"/>
              </w:rPr>
              <w:t>30B</w:t>
            </w:r>
            <w:r w:rsidRPr="001928D5">
              <w:rPr>
                <w:szCs w:val="24"/>
              </w:rPr>
              <w:t xml:space="preserve"> (as revised by WRC</w:t>
            </w:r>
            <w:r w:rsidRPr="001928D5">
              <w:rPr>
                <w:szCs w:val="24"/>
              </w:rPr>
              <w:noBreakHyphen/>
              <w:t xml:space="preserve">19) when performing examination of the assignments submitted under § 6.17 of RR Appendix </w:t>
            </w:r>
            <w:r w:rsidRPr="001928D5">
              <w:rPr>
                <w:b/>
                <w:bCs/>
                <w:szCs w:val="24"/>
              </w:rPr>
              <w:t>30B</w:t>
            </w:r>
            <w:r w:rsidRPr="001928D5">
              <w:rPr>
                <w:szCs w:val="24"/>
              </w:rPr>
              <w:t xml:space="preserve"> after 22 November 2019 and related to assignments which were submitted under § 6.1 of RR Appendix </w:t>
            </w:r>
            <w:r w:rsidRPr="001928D5">
              <w:rPr>
                <w:b/>
                <w:bCs/>
                <w:szCs w:val="24"/>
              </w:rPr>
              <w:t>30B</w:t>
            </w:r>
            <w:r w:rsidRPr="001928D5">
              <w:rPr>
                <w:szCs w:val="24"/>
              </w:rPr>
              <w:t xml:space="preserve"> before 23 November 2019.</w:t>
            </w:r>
          </w:p>
        </w:tc>
      </w:tr>
      <w:tr w:rsidR="008C42C7" w:rsidRPr="00B20114" w14:paraId="6330B545" w14:textId="77777777" w:rsidTr="00CE6D50">
        <w:trPr>
          <w:trHeight w:val="1139"/>
        </w:trPr>
        <w:tc>
          <w:tcPr>
            <w:tcW w:w="1838" w:type="dxa"/>
            <w:vMerge/>
          </w:tcPr>
          <w:p w14:paraId="159E8F00" w14:textId="77777777" w:rsidR="008C42C7" w:rsidRDefault="008C42C7" w:rsidP="00431B02">
            <w:pPr>
              <w:jc w:val="left"/>
              <w:rPr>
                <w:b/>
              </w:rPr>
            </w:pPr>
          </w:p>
        </w:tc>
        <w:tc>
          <w:tcPr>
            <w:tcW w:w="1733" w:type="dxa"/>
          </w:tcPr>
          <w:p w14:paraId="7EE0BF93" w14:textId="77777777" w:rsidR="008C42C7" w:rsidRDefault="008C42C7" w:rsidP="00431B02">
            <w:pPr>
              <w:jc w:val="left"/>
              <w:rPr>
                <w:rFonts w:cs="Times"/>
                <w:b/>
              </w:rPr>
            </w:pPr>
            <w:r>
              <w:rPr>
                <w:rFonts w:cs="Times"/>
                <w:b/>
              </w:rPr>
              <w:t>§§ 3.17 to 3.20</w:t>
            </w:r>
          </w:p>
          <w:p w14:paraId="0F225CAC" w14:textId="405A3F24"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46" w:history="1">
              <w:r w:rsidRPr="002849C7">
                <w:rPr>
                  <w:rStyle w:val="Hyperlink"/>
                  <w:rFonts w:cs="Times"/>
                  <w:b/>
                </w:rPr>
                <w:t>518(Corr.2)</w:t>
              </w:r>
            </w:hyperlink>
          </w:p>
        </w:tc>
        <w:tc>
          <w:tcPr>
            <w:tcW w:w="10712" w:type="dxa"/>
          </w:tcPr>
          <w:p w14:paraId="3449E61C" w14:textId="77777777" w:rsidR="008C42C7" w:rsidRPr="00207656" w:rsidRDefault="008C42C7" w:rsidP="00431B02">
            <w:pPr>
              <w:pStyle w:val="Headingb"/>
              <w:rPr>
                <w:lang w:val="en-GB"/>
              </w:rPr>
            </w:pPr>
            <w:r w:rsidRPr="00207656">
              <w:rPr>
                <w:lang w:val="en-GB"/>
              </w:rPr>
              <w:t>Request for PSN-146E (146° E) satellite network</w:t>
            </w:r>
          </w:p>
          <w:p w14:paraId="120D9FC9" w14:textId="77777777" w:rsidR="008C42C7" w:rsidRPr="001928D5" w:rsidRDefault="008C42C7" w:rsidP="00431B02">
            <w:pPr>
              <w:rPr>
                <w:szCs w:val="24"/>
                <w:lang w:val="en-AU"/>
              </w:rPr>
            </w:pPr>
            <w:r w:rsidRPr="001928D5">
              <w:rPr>
                <w:szCs w:val="24"/>
                <w:lang w:val="en-AU"/>
              </w:rPr>
              <w:t>WRC</w:t>
            </w:r>
            <w:r w:rsidRPr="001928D5">
              <w:rPr>
                <w:szCs w:val="24"/>
                <w:lang w:val="en-AU"/>
              </w:rPr>
              <w:noBreakHyphen/>
              <w:t xml:space="preserve">19 considered the specific request made by Indonesia in Document </w:t>
            </w:r>
            <w:r w:rsidRPr="001928D5">
              <w:rPr>
                <w:szCs w:val="24"/>
              </w:rPr>
              <w:t>35(Add.25)</w:t>
            </w:r>
            <w:r w:rsidRPr="001928D5">
              <w:rPr>
                <w:szCs w:val="24"/>
                <w:lang w:val="en-AU"/>
              </w:rPr>
              <w:t xml:space="preserve"> regarding the extension of the regulatory time limit for bringing into use frequency assignments to the PSN-146E (146° E) satellite network in the frequency bands: 17.7-21.2 GHz and 27.0-31.0 GHz from 25 October 2019 to 31 March 2023. WRC</w:t>
            </w:r>
            <w:r w:rsidRPr="001928D5">
              <w:rPr>
                <w:szCs w:val="24"/>
                <w:lang w:val="en-AU"/>
              </w:rPr>
              <w:noBreakHyphen/>
              <w:t>19 agreed to accede to this limited time extension request, having confirmed that all frequency coordination activities requested by other administrations during WRC</w:t>
            </w:r>
            <w:r w:rsidRPr="001928D5">
              <w:rPr>
                <w:szCs w:val="24"/>
                <w:lang w:val="en-AU"/>
              </w:rPr>
              <w:noBreakHyphen/>
              <w:t>19 had been completed for this satellite network.</w:t>
            </w:r>
          </w:p>
          <w:p w14:paraId="2FB78CCE" w14:textId="77777777" w:rsidR="008C42C7" w:rsidRPr="001928D5" w:rsidRDefault="008C42C7" w:rsidP="00431B02">
            <w:pPr>
              <w:pStyle w:val="Headingb"/>
              <w:rPr>
                <w:lang w:eastAsia="zh-CN"/>
              </w:rPr>
            </w:pPr>
            <w:r w:rsidRPr="00207656">
              <w:rPr>
                <w:lang w:val="en-GB"/>
              </w:rPr>
              <w:t>Request for GARUDA-2 (123° E) satellite network</w:t>
            </w:r>
          </w:p>
          <w:p w14:paraId="2FA189D0" w14:textId="77777777" w:rsidR="008C42C7" w:rsidRPr="0010544E" w:rsidRDefault="008C42C7" w:rsidP="00431B02">
            <w:r w:rsidRPr="001928D5">
              <w:rPr>
                <w:szCs w:val="24"/>
              </w:rPr>
              <w:t>WRC</w:t>
            </w:r>
            <w:r w:rsidRPr="001928D5">
              <w:rPr>
                <w:szCs w:val="24"/>
              </w:rPr>
              <w:noBreakHyphen/>
              <w:t>19 considered the specific request made by Indonesia in Document 35(Add.25) regarding the extension of the regulatory time limit for bringing back into use the frequency assignments to the GARUDA-2 (123° E) satellite network in the frequency bands: 1 530-1 559 MHz, 1 626.5-1 660.5 MHz, from 1 November 2020 to 1 November 2024. WRC</w:t>
            </w:r>
            <w:r w:rsidRPr="001928D5">
              <w:rPr>
                <w:szCs w:val="24"/>
              </w:rPr>
              <w:noBreakHyphen/>
              <w:t>19 agreed to accede to this time extension request and the continued inclusion of the GARUDA-2 frequency assignments in the MIFR, both of which are conditional to the adherence by Indonesia to the coordination agreement reached with the United Arab Emirates. Furthermore, WRC</w:t>
            </w:r>
            <w:r w:rsidRPr="001928D5">
              <w:rPr>
                <w:szCs w:val="24"/>
              </w:rPr>
              <w:noBreakHyphen/>
              <w:t>19 confirmed that all frequency coordination activities requested by other administrations during WRC</w:t>
            </w:r>
            <w:r>
              <w:rPr>
                <w:szCs w:val="24"/>
              </w:rPr>
              <w:t>-</w:t>
            </w:r>
            <w:r w:rsidRPr="001928D5">
              <w:rPr>
                <w:szCs w:val="24"/>
              </w:rPr>
              <w:t>19 had been completed for this satellite network.</w:t>
            </w:r>
          </w:p>
        </w:tc>
      </w:tr>
      <w:tr w:rsidR="008C42C7" w:rsidRPr="00B20114" w14:paraId="0EA2149E" w14:textId="77777777" w:rsidTr="00CE6D50">
        <w:trPr>
          <w:trHeight w:val="1139"/>
        </w:trPr>
        <w:tc>
          <w:tcPr>
            <w:tcW w:w="1838" w:type="dxa"/>
            <w:vMerge/>
          </w:tcPr>
          <w:p w14:paraId="5EA7078F" w14:textId="77777777" w:rsidR="008C42C7" w:rsidRDefault="008C42C7" w:rsidP="00431B02">
            <w:pPr>
              <w:jc w:val="left"/>
              <w:rPr>
                <w:b/>
              </w:rPr>
            </w:pPr>
          </w:p>
        </w:tc>
        <w:tc>
          <w:tcPr>
            <w:tcW w:w="1733" w:type="dxa"/>
          </w:tcPr>
          <w:p w14:paraId="48D9DD94" w14:textId="77777777" w:rsidR="008C42C7" w:rsidRDefault="008C42C7" w:rsidP="00431B02">
            <w:pPr>
              <w:jc w:val="left"/>
              <w:rPr>
                <w:rFonts w:cs="Times"/>
                <w:b/>
              </w:rPr>
            </w:pPr>
            <w:r>
              <w:rPr>
                <w:rFonts w:cs="Times"/>
                <w:b/>
              </w:rPr>
              <w:t>§§ 3.25 to 3.27</w:t>
            </w:r>
          </w:p>
          <w:p w14:paraId="69164E6E" w14:textId="4EE46039"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47" w:history="1">
              <w:r w:rsidRPr="002849C7">
                <w:rPr>
                  <w:rStyle w:val="Hyperlink"/>
                  <w:rFonts w:cs="Times"/>
                  <w:b/>
                </w:rPr>
                <w:t>550</w:t>
              </w:r>
            </w:hyperlink>
          </w:p>
        </w:tc>
        <w:tc>
          <w:tcPr>
            <w:tcW w:w="10712" w:type="dxa"/>
          </w:tcPr>
          <w:p w14:paraId="17CBBFBC" w14:textId="3A6336B4" w:rsidR="008C42C7" w:rsidRPr="00CF27E7" w:rsidRDefault="008C42C7" w:rsidP="00CF27E7">
            <w:pPr>
              <w:pStyle w:val="Title4"/>
              <w:rPr>
                <w:sz w:val="22"/>
              </w:rPr>
            </w:pPr>
            <w:r w:rsidRPr="00CF27E7">
              <w:rPr>
                <w:sz w:val="22"/>
                <w:lang w:eastAsia="zh-CN"/>
              </w:rPr>
              <w:t xml:space="preserve">Verification of No. 21.5 for the </w:t>
            </w:r>
            <w:r w:rsidRPr="00CF27E7">
              <w:rPr>
                <w:sz w:val="22"/>
              </w:rPr>
              <w:t>notification of IMT stations operating in the frequency band 24.45-27.5 GHz</w:t>
            </w:r>
            <w:r w:rsidRPr="00CF27E7">
              <w:rPr>
                <w:rFonts w:eastAsiaTheme="minorHAnsi" w:cstheme="majorBidi"/>
                <w:color w:val="000000"/>
                <w:sz w:val="22"/>
              </w:rPr>
              <w:t xml:space="preserve"> </w:t>
            </w:r>
            <w:r w:rsidRPr="00CF27E7">
              <w:rPr>
                <w:sz w:val="22"/>
              </w:rPr>
              <w:t>which use an antenna that consists of an array of active elements</w:t>
            </w:r>
          </w:p>
          <w:p w14:paraId="7E8746BE" w14:textId="77777777" w:rsidR="008C42C7" w:rsidRPr="001928D5" w:rsidRDefault="008C42C7" w:rsidP="00431B02">
            <w:pPr>
              <w:rPr>
                <w:szCs w:val="24"/>
              </w:rPr>
            </w:pPr>
            <w:r w:rsidRPr="001928D5">
              <w:rPr>
                <w:szCs w:val="24"/>
              </w:rPr>
              <w:lastRenderedPageBreak/>
              <w:t>ITU</w:t>
            </w:r>
            <w:r w:rsidRPr="001928D5">
              <w:rPr>
                <w:szCs w:val="24"/>
              </w:rPr>
              <w:noBreakHyphen/>
              <w:t>R is invited to study, as a matter of urgency, the applicability of the limit specified in No. </w:t>
            </w:r>
            <w:r w:rsidRPr="001928D5">
              <w:rPr>
                <w:b/>
                <w:szCs w:val="24"/>
              </w:rPr>
              <w:t>21.5</w:t>
            </w:r>
            <w:r w:rsidRPr="001928D5">
              <w:rPr>
                <w:szCs w:val="24"/>
              </w:rPr>
              <w:t xml:space="preserve"> of the Radio Regulations to IMT </w:t>
            </w:r>
            <w:r w:rsidRPr="00C043DA">
              <w:rPr>
                <w:szCs w:val="24"/>
              </w:rPr>
              <w:t>stations that use an antenna that consists</w:t>
            </w:r>
            <w:r w:rsidRPr="001928D5">
              <w:rPr>
                <w:szCs w:val="24"/>
              </w:rPr>
              <w:t xml:space="preserve"> of an array of active elements, with a view to recommend ways for its possible replacement or revision for such stations, as well as any necessary updates to Table </w:t>
            </w:r>
            <w:r w:rsidRPr="001928D5">
              <w:rPr>
                <w:b/>
                <w:szCs w:val="24"/>
              </w:rPr>
              <w:t>21-2</w:t>
            </w:r>
            <w:r w:rsidRPr="001928D5">
              <w:rPr>
                <w:szCs w:val="24"/>
              </w:rPr>
              <w:t xml:space="preserve"> related to terrestrial and space services sharing frequency bands.</w:t>
            </w:r>
          </w:p>
          <w:p w14:paraId="26B1D0C0" w14:textId="77777777" w:rsidR="008C42C7" w:rsidRPr="00207656" w:rsidRDefault="008C42C7" w:rsidP="00431B02">
            <w:pPr>
              <w:rPr>
                <w:lang w:val="en-GB"/>
              </w:rPr>
            </w:pPr>
            <w:r w:rsidRPr="001928D5">
              <w:rPr>
                <w:szCs w:val="24"/>
              </w:rPr>
              <w:t xml:space="preserve">Furthermore, the ITU-R is invited to study, as a matter of urgency, </w:t>
            </w:r>
            <w:r w:rsidRPr="001928D5">
              <w:rPr>
                <w:rFonts w:cstheme="majorBidi"/>
                <w:color w:val="000000"/>
                <w:szCs w:val="24"/>
              </w:rPr>
              <w:t>verification of No. </w:t>
            </w:r>
            <w:r w:rsidRPr="001928D5">
              <w:rPr>
                <w:rFonts w:cstheme="majorBidi"/>
                <w:b/>
                <w:bCs/>
                <w:color w:val="000000"/>
                <w:szCs w:val="24"/>
              </w:rPr>
              <w:t>21.5</w:t>
            </w:r>
            <w:r w:rsidRPr="001928D5">
              <w:rPr>
                <w:szCs w:val="24"/>
              </w:rPr>
              <w:t xml:space="preserve"> regarding the notification of IMT stations that use an antenna that consists of an array of active elements, as appropriate.</w:t>
            </w:r>
          </w:p>
        </w:tc>
      </w:tr>
      <w:tr w:rsidR="008C42C7" w:rsidRPr="00B20114" w14:paraId="52921B50" w14:textId="77777777" w:rsidTr="00CE6D50">
        <w:trPr>
          <w:trHeight w:val="1139"/>
        </w:trPr>
        <w:tc>
          <w:tcPr>
            <w:tcW w:w="1838" w:type="dxa"/>
            <w:vMerge/>
          </w:tcPr>
          <w:p w14:paraId="7AFDB415" w14:textId="77777777" w:rsidR="008C42C7" w:rsidRDefault="008C42C7" w:rsidP="00431B02">
            <w:pPr>
              <w:jc w:val="left"/>
              <w:rPr>
                <w:b/>
              </w:rPr>
            </w:pPr>
          </w:p>
        </w:tc>
        <w:tc>
          <w:tcPr>
            <w:tcW w:w="1733" w:type="dxa"/>
          </w:tcPr>
          <w:p w14:paraId="71F27CCA" w14:textId="77777777" w:rsidR="008C42C7" w:rsidRDefault="008C42C7" w:rsidP="00431B02">
            <w:pPr>
              <w:jc w:val="left"/>
              <w:rPr>
                <w:rFonts w:cs="Times"/>
                <w:b/>
              </w:rPr>
            </w:pPr>
            <w:r>
              <w:rPr>
                <w:rFonts w:cs="Times"/>
                <w:b/>
              </w:rPr>
              <w:t>§§ 5.</w:t>
            </w:r>
            <w:r w:rsidRPr="004B3869">
              <w:rPr>
                <w:rFonts w:cs="Times"/>
                <w:b/>
              </w:rPr>
              <w:t>3</w:t>
            </w:r>
            <w:r>
              <w:rPr>
                <w:rFonts w:cs="Times"/>
                <w:b/>
              </w:rPr>
              <w:t xml:space="preserve"> to 5.5</w:t>
            </w:r>
          </w:p>
          <w:p w14:paraId="7EAA58A0" w14:textId="4BD19650"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48" w:history="1">
              <w:r w:rsidRPr="002849C7">
                <w:rPr>
                  <w:rStyle w:val="Hyperlink"/>
                  <w:rFonts w:cs="Times"/>
                  <w:b/>
                </w:rPr>
                <w:t>283</w:t>
              </w:r>
            </w:hyperlink>
          </w:p>
        </w:tc>
        <w:tc>
          <w:tcPr>
            <w:tcW w:w="10712" w:type="dxa"/>
          </w:tcPr>
          <w:p w14:paraId="6816ED15" w14:textId="77777777" w:rsidR="008C42C7" w:rsidRPr="00582A67" w:rsidRDefault="008C42C7" w:rsidP="00431B02">
            <w:pPr>
              <w:rPr>
                <w:szCs w:val="24"/>
              </w:rPr>
            </w:pPr>
            <w:r w:rsidRPr="001928D5">
              <w:rPr>
                <w:szCs w:val="24"/>
              </w:rPr>
              <w:t xml:space="preserve">The administrations of Region 1 wishing to allocate the frequency band 50-54 MHz, or portions thereof, to the amateur service exclusively on a primary basis at future WRCs are invited to add their names to footnote RR No. </w:t>
            </w:r>
            <w:r w:rsidRPr="001928D5">
              <w:rPr>
                <w:b/>
                <w:bCs/>
                <w:szCs w:val="24"/>
              </w:rPr>
              <w:t>5.169</w:t>
            </w:r>
            <w:r w:rsidRPr="001928D5">
              <w:rPr>
                <w:b/>
                <w:bCs/>
                <w:i/>
                <w:iCs/>
                <w:szCs w:val="24"/>
              </w:rPr>
              <w:t>bis</w:t>
            </w:r>
            <w:r w:rsidRPr="001928D5">
              <w:rPr>
                <w:szCs w:val="24"/>
              </w:rPr>
              <w:t xml:space="preserve"> and not to footnote RR No. </w:t>
            </w:r>
            <w:r w:rsidRPr="001928D5">
              <w:rPr>
                <w:b/>
                <w:bCs/>
                <w:szCs w:val="24"/>
              </w:rPr>
              <w:t>5.169</w:t>
            </w:r>
            <w:r w:rsidRPr="001928D5">
              <w:rPr>
                <w:szCs w:val="24"/>
              </w:rPr>
              <w:t xml:space="preserve">, due to its special historical status. BR shall take all necessary actions to guide such administrations to propose addition of their names only to footnote RR No. </w:t>
            </w:r>
            <w:r w:rsidRPr="001928D5">
              <w:rPr>
                <w:b/>
                <w:bCs/>
                <w:szCs w:val="24"/>
              </w:rPr>
              <w:t>5.169</w:t>
            </w:r>
            <w:r w:rsidRPr="001928D5">
              <w:rPr>
                <w:b/>
                <w:bCs/>
                <w:i/>
                <w:iCs/>
                <w:szCs w:val="24"/>
              </w:rPr>
              <w:t>bis</w:t>
            </w:r>
            <w:r w:rsidRPr="001928D5">
              <w:rPr>
                <w:szCs w:val="24"/>
              </w:rPr>
              <w:t>.</w:t>
            </w:r>
          </w:p>
        </w:tc>
      </w:tr>
      <w:tr w:rsidR="008C42C7" w:rsidRPr="00B20114" w14:paraId="2ED6D10A" w14:textId="77777777" w:rsidTr="00CE6D50">
        <w:trPr>
          <w:trHeight w:val="1139"/>
        </w:trPr>
        <w:tc>
          <w:tcPr>
            <w:tcW w:w="1838" w:type="dxa"/>
            <w:vMerge/>
          </w:tcPr>
          <w:p w14:paraId="4A2EC05A" w14:textId="77777777" w:rsidR="008C42C7" w:rsidRDefault="008C42C7" w:rsidP="00431B02">
            <w:pPr>
              <w:jc w:val="left"/>
              <w:rPr>
                <w:b/>
              </w:rPr>
            </w:pPr>
          </w:p>
        </w:tc>
        <w:tc>
          <w:tcPr>
            <w:tcW w:w="1733" w:type="dxa"/>
          </w:tcPr>
          <w:p w14:paraId="7E9612EF" w14:textId="77777777" w:rsidR="008C42C7" w:rsidRDefault="008C42C7" w:rsidP="00431B02">
            <w:pPr>
              <w:jc w:val="left"/>
              <w:rPr>
                <w:rFonts w:cs="Times"/>
                <w:b/>
              </w:rPr>
            </w:pPr>
            <w:r>
              <w:rPr>
                <w:rFonts w:cs="Times"/>
                <w:b/>
              </w:rPr>
              <w:t>§§ 27.1 to 27.5</w:t>
            </w:r>
          </w:p>
          <w:p w14:paraId="5E615DA6" w14:textId="5328B25A"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49" w:history="1">
              <w:r w:rsidRPr="002849C7">
                <w:rPr>
                  <w:rStyle w:val="Hyperlink"/>
                  <w:rFonts w:cs="Times"/>
                  <w:b/>
                </w:rPr>
                <w:t>563</w:t>
              </w:r>
            </w:hyperlink>
          </w:p>
        </w:tc>
        <w:tc>
          <w:tcPr>
            <w:tcW w:w="10712" w:type="dxa"/>
          </w:tcPr>
          <w:p w14:paraId="585288D6" w14:textId="77777777" w:rsidR="008C42C7" w:rsidRPr="001928D5" w:rsidRDefault="008C42C7" w:rsidP="00431B02">
            <w:pPr>
              <w:rPr>
                <w:szCs w:val="24"/>
              </w:rPr>
            </w:pPr>
            <w:r>
              <w:rPr>
                <w:szCs w:val="24"/>
              </w:rPr>
              <w:t xml:space="preserve">(…) </w:t>
            </w:r>
            <w:r w:rsidRPr="001928D5">
              <w:rPr>
                <w:szCs w:val="24"/>
              </w:rPr>
              <w:t>It was proposed that the following text, contained in the document, be approved and included in the minutes of the plenary meeting for consideration as a possible future issue during the studies under WRC-23 agenda item 7:</w:t>
            </w:r>
          </w:p>
          <w:p w14:paraId="71586A48" w14:textId="77777777" w:rsidR="008C42C7" w:rsidRPr="001928D5" w:rsidRDefault="008C42C7" w:rsidP="00431B02">
            <w:pPr>
              <w:rPr>
                <w:szCs w:val="24"/>
              </w:rPr>
            </w:pPr>
            <w:r w:rsidRPr="001928D5">
              <w:rPr>
                <w:szCs w:val="24"/>
              </w:rPr>
              <w:t xml:space="preserve">“To consider the protection of geostationary satellite networks in the MSS operating in 7/8 and 20/30 GHz from emissions of non-geostationary satellite systems operating in the same frequency bands and identical directions”. </w:t>
            </w:r>
          </w:p>
          <w:p w14:paraId="67F2459D" w14:textId="77777777" w:rsidR="008C42C7" w:rsidRPr="001928D5" w:rsidRDefault="008C42C7" w:rsidP="00431B02">
            <w:pPr>
              <w:rPr>
                <w:szCs w:val="24"/>
              </w:rPr>
            </w:pPr>
            <w:r w:rsidRPr="001928D5">
              <w:rPr>
                <w:szCs w:val="24"/>
              </w:rPr>
              <w:t>27.2</w:t>
            </w:r>
            <w:r w:rsidRPr="001928D5">
              <w:rPr>
                <w:szCs w:val="24"/>
              </w:rPr>
              <w:tab/>
              <w:t xml:space="preserve">It was so </w:t>
            </w:r>
            <w:r w:rsidRPr="001928D5">
              <w:rPr>
                <w:b/>
                <w:bCs/>
                <w:szCs w:val="24"/>
              </w:rPr>
              <w:t>agreed</w:t>
            </w:r>
            <w:r w:rsidRPr="001928D5">
              <w:rPr>
                <w:szCs w:val="24"/>
              </w:rPr>
              <w:t>.</w:t>
            </w:r>
          </w:p>
          <w:p w14:paraId="546582CF" w14:textId="77777777" w:rsidR="008C42C7" w:rsidRDefault="008C42C7" w:rsidP="00431B02">
            <w:pPr>
              <w:rPr>
                <w:szCs w:val="24"/>
              </w:rPr>
            </w:pPr>
            <w:r>
              <w:rPr>
                <w:szCs w:val="24"/>
              </w:rPr>
              <w:t>(…)</w:t>
            </w:r>
          </w:p>
          <w:p w14:paraId="555812D1" w14:textId="77777777" w:rsidR="008C42C7" w:rsidRPr="00C75625" w:rsidRDefault="008C42C7" w:rsidP="00431B02">
            <w:pPr>
              <w:rPr>
                <w:szCs w:val="24"/>
              </w:rPr>
            </w:pPr>
            <w:r w:rsidRPr="001928D5">
              <w:rPr>
                <w:szCs w:val="24"/>
              </w:rPr>
              <w:t>WRC-19 therefore instructs the Radiocommunication Bureau to convey this statement to the relevant ITU-R study group for necessary action, as appropriate.</w:t>
            </w:r>
          </w:p>
        </w:tc>
      </w:tr>
      <w:tr w:rsidR="008C42C7" w:rsidRPr="00B20114" w14:paraId="2BAFC5B3" w14:textId="77777777" w:rsidTr="00CE6D50">
        <w:trPr>
          <w:trHeight w:val="1139"/>
        </w:trPr>
        <w:tc>
          <w:tcPr>
            <w:tcW w:w="1838" w:type="dxa"/>
            <w:vMerge/>
          </w:tcPr>
          <w:p w14:paraId="021E42CE" w14:textId="77777777" w:rsidR="008C42C7" w:rsidRDefault="008C42C7" w:rsidP="00431B02">
            <w:pPr>
              <w:jc w:val="left"/>
              <w:rPr>
                <w:b/>
              </w:rPr>
            </w:pPr>
          </w:p>
        </w:tc>
        <w:tc>
          <w:tcPr>
            <w:tcW w:w="1733" w:type="dxa"/>
          </w:tcPr>
          <w:p w14:paraId="5DF587F7" w14:textId="77777777" w:rsidR="008C42C7" w:rsidRDefault="008C42C7" w:rsidP="00431B02">
            <w:pPr>
              <w:jc w:val="left"/>
              <w:rPr>
                <w:rFonts w:cs="Times"/>
                <w:b/>
              </w:rPr>
            </w:pPr>
            <w:r>
              <w:rPr>
                <w:rFonts w:cs="Times"/>
                <w:b/>
              </w:rPr>
              <w:t>§§ 28.104 to 28.106</w:t>
            </w:r>
          </w:p>
          <w:p w14:paraId="2F6DF23D" w14:textId="0304E03A"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50" w:history="1">
              <w:r w:rsidRPr="002849C7">
                <w:rPr>
                  <w:rStyle w:val="Hyperlink"/>
                  <w:rFonts w:cs="Times"/>
                  <w:b/>
                </w:rPr>
                <w:t>554</w:t>
              </w:r>
            </w:hyperlink>
            <w:r w:rsidRPr="00C75625">
              <w:rPr>
                <w:rFonts w:cs="Times"/>
                <w:b/>
              </w:rPr>
              <w:t xml:space="preserve"> and Corrigendum 1</w:t>
            </w:r>
          </w:p>
        </w:tc>
        <w:tc>
          <w:tcPr>
            <w:tcW w:w="10712" w:type="dxa"/>
          </w:tcPr>
          <w:p w14:paraId="27F2E108" w14:textId="77777777" w:rsidR="008C42C7" w:rsidRDefault="008C42C7" w:rsidP="00431B02">
            <w:pPr>
              <w:rPr>
                <w:szCs w:val="24"/>
              </w:rPr>
            </w:pPr>
            <w:r w:rsidRPr="00615791">
              <w:rPr>
                <w:rFonts w:cstheme="minorHAnsi"/>
                <w:szCs w:val="24"/>
              </w:rPr>
              <w:t>Agenda item 9.1 x invites ITU-R to conduct studies to identify the potential frequency bands for the use of IMT for fixed wireless broadband within the frequency bands allocated to the fixed service on a primary basis. Accordingly, an agenda item for WRC-27 will be developed to consider those identified bands.</w:t>
            </w:r>
          </w:p>
        </w:tc>
      </w:tr>
      <w:tr w:rsidR="008C42C7" w:rsidRPr="00B20114" w14:paraId="31D090D9" w14:textId="77777777" w:rsidTr="00CE6D50">
        <w:trPr>
          <w:trHeight w:val="1139"/>
        </w:trPr>
        <w:tc>
          <w:tcPr>
            <w:tcW w:w="1838" w:type="dxa"/>
            <w:vMerge/>
          </w:tcPr>
          <w:p w14:paraId="11403D0C" w14:textId="77777777" w:rsidR="008C42C7" w:rsidRDefault="008C42C7" w:rsidP="00431B02">
            <w:pPr>
              <w:jc w:val="left"/>
              <w:rPr>
                <w:b/>
              </w:rPr>
            </w:pPr>
          </w:p>
        </w:tc>
        <w:tc>
          <w:tcPr>
            <w:tcW w:w="1733" w:type="dxa"/>
          </w:tcPr>
          <w:p w14:paraId="6872A0BE" w14:textId="77777777" w:rsidR="008C42C7" w:rsidRDefault="008C42C7" w:rsidP="00431B02">
            <w:pPr>
              <w:jc w:val="left"/>
              <w:rPr>
                <w:rFonts w:cs="Times"/>
                <w:b/>
              </w:rPr>
            </w:pPr>
            <w:r>
              <w:rPr>
                <w:rFonts w:cs="Times"/>
                <w:b/>
              </w:rPr>
              <w:t>§§ 35.2 to 35.4</w:t>
            </w:r>
          </w:p>
          <w:p w14:paraId="108D7962" w14:textId="372F5DD2"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51" w:history="1">
              <w:r w:rsidRPr="002849C7">
                <w:rPr>
                  <w:rStyle w:val="Hyperlink"/>
                  <w:rFonts w:cs="Times"/>
                  <w:b/>
                </w:rPr>
                <w:t>535</w:t>
              </w:r>
            </w:hyperlink>
          </w:p>
        </w:tc>
        <w:tc>
          <w:tcPr>
            <w:tcW w:w="10712" w:type="dxa"/>
          </w:tcPr>
          <w:p w14:paraId="1E766EB5" w14:textId="77777777" w:rsidR="008C42C7" w:rsidRPr="00207656" w:rsidRDefault="008C42C7" w:rsidP="00CF27E7">
            <w:pPr>
              <w:pStyle w:val="Headingb"/>
              <w:spacing w:before="120"/>
              <w:rPr>
                <w:lang w:val="en-GB"/>
              </w:rPr>
            </w:pPr>
            <w:r w:rsidRPr="00207656">
              <w:rPr>
                <w:lang w:val="en-GB"/>
              </w:rPr>
              <w:t>Application of Rules of Procedure on RR No. 9.11A</w:t>
            </w:r>
          </w:p>
          <w:p w14:paraId="4081E1E2" w14:textId="77777777" w:rsidR="008C42C7" w:rsidRPr="001928D5" w:rsidRDefault="008C42C7" w:rsidP="00CF27E7">
            <w:pPr>
              <w:spacing w:before="120"/>
              <w:rPr>
                <w:szCs w:val="24"/>
              </w:rPr>
            </w:pPr>
            <w:r w:rsidRPr="001928D5">
              <w:rPr>
                <w:szCs w:val="24"/>
              </w:rPr>
              <w:t>It is proposed that RR No. </w:t>
            </w:r>
            <w:r w:rsidRPr="001928D5">
              <w:rPr>
                <w:b/>
                <w:szCs w:val="24"/>
              </w:rPr>
              <w:t>9.12</w:t>
            </w:r>
            <w:r w:rsidRPr="001928D5">
              <w:rPr>
                <w:szCs w:val="24"/>
              </w:rPr>
              <w:t xml:space="preserve"> does not apply to frequency assignments of stations operating in the space research or earth exploration-satellite services. Therefore, the Bureau is requested under the Rule of Procedure for RR No. </w:t>
            </w:r>
            <w:r w:rsidRPr="001928D5">
              <w:rPr>
                <w:b/>
                <w:szCs w:val="24"/>
              </w:rPr>
              <w:t>9.11A</w:t>
            </w:r>
            <w:r w:rsidRPr="001928D5">
              <w:rPr>
                <w:szCs w:val="24"/>
              </w:rPr>
              <w:t xml:space="preserve"> to not apply coordination under RR No. </w:t>
            </w:r>
            <w:r w:rsidRPr="001928D5">
              <w:rPr>
                <w:b/>
                <w:szCs w:val="24"/>
              </w:rPr>
              <w:t>9.12</w:t>
            </w:r>
            <w:r w:rsidRPr="001928D5">
              <w:rPr>
                <w:szCs w:val="24"/>
              </w:rPr>
              <w:t xml:space="preserve"> for frequency assignments of stations operating in the space research and Earth exploration-satellite service as part of RR No. </w:t>
            </w:r>
            <w:r w:rsidRPr="001928D5">
              <w:rPr>
                <w:b/>
                <w:szCs w:val="24"/>
              </w:rPr>
              <w:t>5.A16</w:t>
            </w:r>
            <w:r w:rsidRPr="001928D5">
              <w:rPr>
                <w:szCs w:val="24"/>
              </w:rPr>
              <w:t xml:space="preserve"> and RR No. </w:t>
            </w:r>
            <w:r w:rsidRPr="001928D5">
              <w:rPr>
                <w:b/>
                <w:szCs w:val="24"/>
              </w:rPr>
              <w:t>5.B16</w:t>
            </w:r>
            <w:r w:rsidRPr="001928D5">
              <w:rPr>
                <w:szCs w:val="24"/>
              </w:rPr>
              <w:t>.</w:t>
            </w:r>
          </w:p>
          <w:p w14:paraId="51C3638E" w14:textId="77777777" w:rsidR="008C42C7" w:rsidRPr="00207656" w:rsidRDefault="008C42C7" w:rsidP="00CF27E7">
            <w:pPr>
              <w:pStyle w:val="Headingb"/>
              <w:spacing w:before="120"/>
              <w:rPr>
                <w:lang w:val="en-GB"/>
              </w:rPr>
            </w:pPr>
            <w:r w:rsidRPr="00207656">
              <w:rPr>
                <w:lang w:val="en-GB"/>
              </w:rPr>
              <w:t>Protection of EESS in the frequency band 36-37 GHz</w:t>
            </w:r>
          </w:p>
          <w:p w14:paraId="4FCF313A" w14:textId="77777777" w:rsidR="008C42C7" w:rsidRPr="001928D5" w:rsidRDefault="008C42C7" w:rsidP="00CF27E7">
            <w:pPr>
              <w:spacing w:before="120"/>
              <w:rPr>
                <w:szCs w:val="24"/>
              </w:rPr>
            </w:pPr>
            <w:r w:rsidRPr="001928D5">
              <w:rPr>
                <w:szCs w:val="24"/>
              </w:rPr>
              <w:t>Under studies considered for WRC</w:t>
            </w:r>
            <w:r w:rsidRPr="001928D5">
              <w:rPr>
                <w:szCs w:val="24"/>
              </w:rPr>
              <w:noBreakHyphen/>
              <w:t xml:space="preserve">19 agenda item 1.6, a preliminary study on the protection of EESS (passive) sensors operating in the 36-37 GHz was submitted to the ITU-R. This preliminary study indicated that it may be necessary to not exceed an out-of-band </w:t>
            </w:r>
            <w:proofErr w:type="spellStart"/>
            <w:r w:rsidRPr="001928D5">
              <w:rPr>
                <w:szCs w:val="24"/>
              </w:rPr>
              <w:t>e.i.r.p</w:t>
            </w:r>
            <w:proofErr w:type="spellEnd"/>
            <w:r w:rsidRPr="001928D5">
              <w:rPr>
                <w:szCs w:val="24"/>
              </w:rPr>
              <w:t xml:space="preserve"> of −34 </w:t>
            </w:r>
            <w:proofErr w:type="spellStart"/>
            <w:r w:rsidRPr="001928D5">
              <w:rPr>
                <w:szCs w:val="24"/>
              </w:rPr>
              <w:t>dBW</w:t>
            </w:r>
            <w:proofErr w:type="spellEnd"/>
            <w:r w:rsidRPr="001928D5">
              <w:rPr>
                <w:szCs w:val="24"/>
              </w:rPr>
              <w:t xml:space="preserve">/100 MHz, for all angles greater than 71.4 degrees from nadir, for FSS non-GSO space stations operating in the frequency band 37.5-38 GHz. In addition, interference into the cold calibration channel of the EESS (passive) sensor operating in the frequency band 36-37 GHz has not been studied. </w:t>
            </w:r>
          </w:p>
          <w:p w14:paraId="5AA05476" w14:textId="77777777" w:rsidR="008C42C7" w:rsidRPr="001928D5" w:rsidRDefault="008C42C7" w:rsidP="00CF27E7">
            <w:pPr>
              <w:spacing w:before="120"/>
              <w:rPr>
                <w:szCs w:val="24"/>
              </w:rPr>
            </w:pPr>
            <w:r w:rsidRPr="001928D5">
              <w:rPr>
                <w:szCs w:val="24"/>
              </w:rPr>
              <w:t>WRC</w:t>
            </w:r>
            <w:r w:rsidRPr="001928D5">
              <w:rPr>
                <w:szCs w:val="24"/>
              </w:rPr>
              <w:noBreakHyphen/>
              <w:t>19 invites ITU-R to conduct further study of this topic and develop Recommendations and/or Reports, as appropriate, and Report back to WRC</w:t>
            </w:r>
            <w:r w:rsidRPr="001928D5">
              <w:rPr>
                <w:szCs w:val="24"/>
              </w:rPr>
              <w:noBreakHyphen/>
              <w:t xml:space="preserve">23 to </w:t>
            </w:r>
            <w:proofErr w:type="gramStart"/>
            <w:r w:rsidRPr="001928D5">
              <w:rPr>
                <w:szCs w:val="24"/>
              </w:rPr>
              <w:t>take action</w:t>
            </w:r>
            <w:proofErr w:type="gramEnd"/>
            <w:r w:rsidRPr="001928D5">
              <w:rPr>
                <w:szCs w:val="24"/>
              </w:rPr>
              <w:t>, if necessary.</w:t>
            </w:r>
          </w:p>
          <w:p w14:paraId="53D51D44" w14:textId="77777777" w:rsidR="008C42C7" w:rsidRPr="00615791" w:rsidRDefault="008C42C7" w:rsidP="00CF27E7">
            <w:pPr>
              <w:spacing w:before="120"/>
              <w:rPr>
                <w:rFonts w:cstheme="minorHAnsi"/>
                <w:szCs w:val="24"/>
              </w:rPr>
            </w:pPr>
            <w:r w:rsidRPr="001928D5">
              <w:rPr>
                <w:szCs w:val="24"/>
              </w:rPr>
              <w:t>Furthermore, WRC</w:t>
            </w:r>
            <w:r w:rsidRPr="001928D5">
              <w:rPr>
                <w:szCs w:val="24"/>
              </w:rPr>
              <w:noBreakHyphen/>
              <w:t xml:space="preserve">19 agreed that modifications to Resolution </w:t>
            </w:r>
            <w:r w:rsidRPr="001928D5">
              <w:rPr>
                <w:b/>
                <w:bCs/>
                <w:szCs w:val="24"/>
              </w:rPr>
              <w:t>750 (Rev WRC-19)</w:t>
            </w:r>
            <w:r w:rsidRPr="001928D5">
              <w:rPr>
                <w:szCs w:val="24"/>
              </w:rPr>
              <w:t xml:space="preserve"> should not be considered under these studies since the frequency band 36-37 GHz is not referenced in No. </w:t>
            </w:r>
            <w:r w:rsidRPr="001928D5">
              <w:rPr>
                <w:b/>
                <w:bCs/>
                <w:szCs w:val="24"/>
              </w:rPr>
              <w:t>5.340</w:t>
            </w:r>
            <w:r w:rsidRPr="001928D5">
              <w:rPr>
                <w:szCs w:val="24"/>
              </w:rPr>
              <w:t>.</w:t>
            </w:r>
          </w:p>
        </w:tc>
      </w:tr>
      <w:tr w:rsidR="008C42C7" w:rsidRPr="00B20114" w14:paraId="0CE73822" w14:textId="77777777" w:rsidTr="00CE6D50">
        <w:trPr>
          <w:trHeight w:val="1139"/>
        </w:trPr>
        <w:tc>
          <w:tcPr>
            <w:tcW w:w="1838" w:type="dxa"/>
          </w:tcPr>
          <w:p w14:paraId="295191D3" w14:textId="7DBB3005" w:rsidR="008C42C7" w:rsidRDefault="008C42C7" w:rsidP="00142634">
            <w:pPr>
              <w:spacing w:before="0" w:line="240" w:lineRule="auto"/>
              <w:jc w:val="left"/>
              <w:rPr>
                <w:b/>
              </w:rPr>
            </w:pPr>
            <w:r>
              <w:rPr>
                <w:b/>
              </w:rPr>
              <w:t xml:space="preserve">Document </w:t>
            </w:r>
            <w:hyperlink r:id="rId52" w:history="1">
              <w:r w:rsidRPr="002849C7">
                <w:rPr>
                  <w:rStyle w:val="Hyperlink"/>
                  <w:b/>
                </w:rPr>
                <w:t>CMR19/575</w:t>
              </w:r>
            </w:hyperlink>
            <w:r>
              <w:rPr>
                <w:b/>
              </w:rPr>
              <w:t xml:space="preserve"> – Minutes of </w:t>
            </w:r>
            <w:r w:rsidRPr="00B20114">
              <w:rPr>
                <w:b/>
              </w:rPr>
              <w:t xml:space="preserve">the </w:t>
            </w:r>
            <w:r>
              <w:rPr>
                <w:b/>
              </w:rPr>
              <w:t>fourteen</w:t>
            </w:r>
            <w:r w:rsidRPr="00B20114">
              <w:rPr>
                <w:b/>
              </w:rPr>
              <w:t>th Plenary meeting</w:t>
            </w:r>
          </w:p>
        </w:tc>
        <w:tc>
          <w:tcPr>
            <w:tcW w:w="1733" w:type="dxa"/>
          </w:tcPr>
          <w:p w14:paraId="39541FF3" w14:textId="77777777" w:rsidR="008C42C7" w:rsidRDefault="008C42C7" w:rsidP="00431B02">
            <w:pPr>
              <w:jc w:val="left"/>
              <w:rPr>
                <w:rFonts w:cs="Times"/>
                <w:b/>
              </w:rPr>
            </w:pPr>
            <w:r>
              <w:rPr>
                <w:rFonts w:cs="Times"/>
                <w:b/>
              </w:rPr>
              <w:t>§§ 3.1 to 3.7</w:t>
            </w:r>
          </w:p>
          <w:p w14:paraId="6B5A6E03" w14:textId="39597EE4" w:rsidR="008C42C7" w:rsidRDefault="008C42C7" w:rsidP="00431B02">
            <w:pPr>
              <w:jc w:val="left"/>
              <w:rPr>
                <w:rFonts w:cs="Times"/>
                <w:b/>
              </w:rPr>
            </w:pPr>
            <w:r>
              <w:rPr>
                <w:rFonts w:cs="Times"/>
                <w:b/>
              </w:rPr>
              <w:t xml:space="preserve">Approval of </w:t>
            </w:r>
            <w:r w:rsidR="00BD0448">
              <w:rPr>
                <w:rFonts w:cs="Times"/>
                <w:b/>
              </w:rPr>
              <w:t>D</w:t>
            </w:r>
            <w:r>
              <w:rPr>
                <w:rFonts w:cs="Times"/>
                <w:b/>
              </w:rPr>
              <w:t xml:space="preserve">ocument </w:t>
            </w:r>
            <w:hyperlink r:id="rId53" w:history="1">
              <w:r w:rsidRPr="002849C7">
                <w:rPr>
                  <w:rStyle w:val="Hyperlink"/>
                  <w:rFonts w:cs="Times"/>
                  <w:b/>
                </w:rPr>
                <w:t>566</w:t>
              </w:r>
            </w:hyperlink>
          </w:p>
        </w:tc>
        <w:tc>
          <w:tcPr>
            <w:tcW w:w="10712" w:type="dxa"/>
          </w:tcPr>
          <w:p w14:paraId="073B66E6" w14:textId="77777777" w:rsidR="008C42C7" w:rsidRPr="006D098C" w:rsidRDefault="008C42C7" w:rsidP="00431B02">
            <w:r w:rsidRPr="00921D16">
              <w:rPr>
                <w:lang w:eastAsia="zh-CN"/>
              </w:rPr>
              <w:t xml:space="preserve">The </w:t>
            </w:r>
            <w:r w:rsidRPr="00921D16">
              <w:rPr>
                <w:b/>
                <w:lang w:eastAsia="zh-CN"/>
              </w:rPr>
              <w:t>Chairman</w:t>
            </w:r>
            <w:r w:rsidRPr="00921D16">
              <w:rPr>
                <w:lang w:eastAsia="zh-CN"/>
              </w:rPr>
              <w:t xml:space="preserve"> took it that the conference wished to authorize the Director of BR to proceed with the inclusion of the corrections outlined in Documents </w:t>
            </w:r>
            <w:r w:rsidRPr="00921D16">
              <w:t xml:space="preserve">203, 212, 336, 340 and </w:t>
            </w:r>
            <w:r w:rsidRPr="00921D16">
              <w:rPr>
                <w:lang w:eastAsia="zh-CN"/>
              </w:rPr>
              <w:t>456 in the next edition of the Radio Regulations, in accordance with the procedure described in Document 566.</w:t>
            </w:r>
          </w:p>
        </w:tc>
      </w:tr>
      <w:bookmarkEnd w:id="0"/>
    </w:tbl>
    <w:p w14:paraId="2BA85C25" w14:textId="3F28886E" w:rsidR="00066E5D" w:rsidRDefault="00066E5D" w:rsidP="005E5C01">
      <w:pPr>
        <w:pStyle w:val="enumlev1"/>
        <w:tabs>
          <w:tab w:val="clear" w:pos="794"/>
          <w:tab w:val="clear" w:pos="1191"/>
          <w:tab w:val="clear" w:pos="1588"/>
          <w:tab w:val="clear" w:pos="1985"/>
        </w:tabs>
        <w:overflowPunct/>
        <w:autoSpaceDE/>
        <w:autoSpaceDN/>
        <w:adjustRightInd/>
        <w:spacing w:before="0" w:line="240" w:lineRule="auto"/>
        <w:ind w:left="0" w:firstLine="0"/>
        <w:jc w:val="lowKashida"/>
        <w:textAlignment w:val="auto"/>
        <w:rPr>
          <w:rFonts w:asciiTheme="minorHAnsi" w:eastAsiaTheme="majorEastAsia" w:hAnsiTheme="minorHAnsi" w:cstheme="minorHAnsi"/>
          <w:sz w:val="18"/>
          <w:szCs w:val="18"/>
        </w:rPr>
      </w:pPr>
    </w:p>
    <w:p w14:paraId="4BB4A73F" w14:textId="77777777" w:rsidR="00CE6D50" w:rsidRDefault="00CE6D50" w:rsidP="00411C49">
      <w:pPr>
        <w:pStyle w:val="Reasons"/>
      </w:pPr>
    </w:p>
    <w:p w14:paraId="6C80F9C5" w14:textId="77777777" w:rsidR="00CE6D50" w:rsidRDefault="00CE6D50">
      <w:pPr>
        <w:jc w:val="center"/>
      </w:pPr>
      <w:r>
        <w:t>______________</w:t>
      </w:r>
    </w:p>
    <w:p w14:paraId="1106C4B2" w14:textId="77777777" w:rsidR="00CE6D50" w:rsidRPr="00D653DE" w:rsidRDefault="00CE6D50" w:rsidP="005E5C01">
      <w:pPr>
        <w:pStyle w:val="enumlev1"/>
        <w:tabs>
          <w:tab w:val="clear" w:pos="794"/>
          <w:tab w:val="clear" w:pos="1191"/>
          <w:tab w:val="clear" w:pos="1588"/>
          <w:tab w:val="clear" w:pos="1985"/>
        </w:tabs>
        <w:overflowPunct/>
        <w:autoSpaceDE/>
        <w:autoSpaceDN/>
        <w:adjustRightInd/>
        <w:spacing w:before="0" w:line="240" w:lineRule="auto"/>
        <w:ind w:left="0" w:firstLine="0"/>
        <w:jc w:val="lowKashida"/>
        <w:textAlignment w:val="auto"/>
        <w:rPr>
          <w:rFonts w:asciiTheme="minorHAnsi" w:eastAsiaTheme="majorEastAsia" w:hAnsiTheme="minorHAnsi" w:cstheme="minorHAnsi"/>
          <w:sz w:val="18"/>
          <w:szCs w:val="18"/>
        </w:rPr>
      </w:pPr>
    </w:p>
    <w:sectPr w:rsidR="00CE6D50" w:rsidRPr="00D653DE" w:rsidSect="005E5C01">
      <w:pgSz w:w="16834" w:h="11907" w:orient="landscape" w:code="9"/>
      <w:pgMar w:top="1134" w:right="1134" w:bottom="992" w:left="902" w:header="567" w:footer="2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7953D" w14:textId="77777777" w:rsidR="00443F9D" w:rsidRDefault="00443F9D">
      <w:r>
        <w:separator/>
      </w:r>
    </w:p>
  </w:endnote>
  <w:endnote w:type="continuationSeparator" w:id="0">
    <w:p w14:paraId="38424D93" w14:textId="77777777" w:rsidR="00443F9D" w:rsidRDefault="0044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8B47" w14:textId="77777777" w:rsidR="00443F9D" w:rsidRPr="005224A1" w:rsidRDefault="00443F9D" w:rsidP="00406D71">
    <w:pPr>
      <w:pStyle w:val="FirstFooter"/>
      <w:spacing w:before="0" w:line="240" w:lineRule="auto"/>
      <w:ind w:left="-397" w:right="-397"/>
      <w:rPr>
        <w:sz w:val="20"/>
        <w:szCs w:val="18"/>
      </w:rPr>
    </w:pPr>
  </w:p>
  <w:p w14:paraId="1C49379D" w14:textId="77777777" w:rsidR="00443F9D" w:rsidRPr="0070656B" w:rsidRDefault="00443F9D"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w:t>
    </w:r>
    <w:proofErr w:type="spellStart"/>
    <w:r w:rsidRPr="0070656B">
      <w:rPr>
        <w:rFonts w:eastAsia="Times New Roman"/>
        <w:color w:val="4F81BD" w:themeColor="accent1"/>
        <w:sz w:val="19"/>
        <w:szCs w:val="19"/>
        <w:lang w:val="fr-CH"/>
      </w:rPr>
      <w:t>Switzerland</w:t>
    </w:r>
    <w:proofErr w:type="spellEnd"/>
    <w:r w:rsidRPr="0070656B">
      <w:rPr>
        <w:rFonts w:eastAsia="Times New Roman"/>
        <w:color w:val="4F81BD" w:themeColor="accent1"/>
        <w:sz w:val="19"/>
        <w:szCs w:val="19"/>
        <w:lang w:val="fr-CH"/>
      </w:rPr>
      <w:t xml:space="preserve"> • </w:t>
    </w:r>
    <w:r w:rsidRPr="0070656B">
      <w:rPr>
        <w:rFonts w:eastAsia="Times New Roman"/>
        <w:color w:val="4F81BD" w:themeColor="accent1"/>
        <w:sz w:val="19"/>
        <w:szCs w:val="19"/>
        <w:lang w:val="fr-CH"/>
      </w:rPr>
      <w:br/>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 xml:space="preserve">Fax: +41 22 733 7256 </w:t>
    </w:r>
    <w:r w:rsidRPr="0070656B">
      <w:rPr>
        <w:rFonts w:eastAsia="Times New Roman"/>
        <w:color w:val="4F81BD" w:themeColor="accent1"/>
        <w:sz w:val="19"/>
        <w:szCs w:val="19"/>
        <w:lang w:val="fr-CH"/>
      </w:rPr>
      <w:t>• www.itu.int</w:t>
    </w:r>
  </w:p>
  <w:p w14:paraId="7957F140" w14:textId="77777777" w:rsidR="00443F9D" w:rsidRPr="005E5EB3" w:rsidRDefault="00443F9D" w:rsidP="00A2671E">
    <w:pPr>
      <w:pStyle w:val="FirstFooter"/>
      <w:spacing w:line="240" w:lineRule="auto"/>
      <w:ind w:right="-39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18514" w14:textId="77777777" w:rsidR="00443F9D" w:rsidRDefault="00443F9D">
      <w:r>
        <w:t>____________________</w:t>
      </w:r>
    </w:p>
  </w:footnote>
  <w:footnote w:type="continuationSeparator" w:id="0">
    <w:p w14:paraId="40F23354" w14:textId="77777777" w:rsidR="00443F9D" w:rsidRDefault="00443F9D">
      <w:r>
        <w:continuationSeparator/>
      </w:r>
    </w:p>
  </w:footnote>
  <w:footnote w:id="1">
    <w:p w14:paraId="0AD319DC" w14:textId="77777777" w:rsidR="00443F9D" w:rsidRPr="007D1F29" w:rsidRDefault="00443F9D" w:rsidP="008C42C7">
      <w:pPr>
        <w:pStyle w:val="FootnoteText"/>
        <w:rPr>
          <w:rFonts w:asciiTheme="minorHAnsi" w:hAnsiTheme="minorHAnsi" w:cstheme="minorHAnsi"/>
          <w:i/>
          <w:iCs/>
          <w:szCs w:val="20"/>
        </w:rPr>
      </w:pPr>
      <w:r w:rsidRPr="004B3869">
        <w:rPr>
          <w:rStyle w:val="FootnoteReference"/>
        </w:rPr>
        <w:footnoteRef/>
      </w:r>
      <w:r w:rsidRPr="004B3869">
        <w:t xml:space="preserve"> </w:t>
      </w:r>
      <w:r w:rsidRPr="004B3869">
        <w:rPr>
          <w:i/>
          <w:iCs/>
        </w:rPr>
        <w:t xml:space="preserve">Note by the BR: this frequency band is no longer subject to No. </w:t>
      </w:r>
      <w:r w:rsidRPr="004B3869">
        <w:rPr>
          <w:b/>
          <w:bCs/>
          <w:i/>
          <w:iCs/>
        </w:rPr>
        <w:t>9.19</w:t>
      </w:r>
      <w:r w:rsidRPr="004B3869">
        <w:rPr>
          <w:i/>
          <w:iCs/>
        </w:rPr>
        <w:t xml:space="preserve">, as a result of suppression of </w:t>
      </w:r>
      <w:r w:rsidRPr="004B3869">
        <w:rPr>
          <w:b/>
          <w:bCs/>
          <w:i/>
          <w:iCs/>
        </w:rPr>
        <w:t>No. 5.311A</w:t>
      </w:r>
      <w:r w:rsidRPr="004B3869">
        <w:rPr>
          <w:i/>
          <w:iCs/>
        </w:rPr>
        <w:t xml:space="preserve"> and </w:t>
      </w:r>
      <w:r w:rsidRPr="004B3869">
        <w:rPr>
          <w:rFonts w:asciiTheme="minorHAnsi" w:hAnsiTheme="minorHAnsi" w:cstheme="minorHAnsi"/>
          <w:i/>
          <w:iCs/>
          <w:szCs w:val="20"/>
          <w:lang w:val="en-GB" w:eastAsia="zh-CN"/>
        </w:rPr>
        <w:t xml:space="preserve">Resolution </w:t>
      </w:r>
      <w:r w:rsidRPr="004B3869">
        <w:rPr>
          <w:rFonts w:asciiTheme="minorHAnsi" w:hAnsiTheme="minorHAnsi" w:cstheme="minorHAnsi"/>
          <w:b/>
          <w:bCs/>
          <w:i/>
          <w:iCs/>
          <w:szCs w:val="20"/>
          <w:lang w:val="en-GB" w:eastAsia="zh-CN"/>
        </w:rPr>
        <w:t>549 (WRC-07)</w:t>
      </w:r>
    </w:p>
  </w:footnote>
  <w:footnote w:id="2">
    <w:p w14:paraId="5F93B395" w14:textId="77777777" w:rsidR="00443F9D" w:rsidRDefault="00443F9D" w:rsidP="008C42C7">
      <w:pPr>
        <w:pStyle w:val="FootnoteText"/>
      </w:pPr>
      <w:r>
        <w:rPr>
          <w:rStyle w:val="FootnoteReference"/>
        </w:rPr>
        <w:footnoteRef/>
      </w:r>
      <w:r>
        <w:t xml:space="preserve"> </w:t>
      </w:r>
      <w:r w:rsidRPr="007E7F9A">
        <w:rPr>
          <w:i/>
          <w:iCs/>
        </w:rPr>
        <w:t xml:space="preserve">Note by the BR: Documents CMR19/518 and CMR19/571 contain a typographical error concerning this value, which should read 35.5 </w:t>
      </w:r>
      <w:proofErr w:type="spellStart"/>
      <w:r w:rsidRPr="007E7F9A">
        <w:rPr>
          <w:i/>
          <w:iCs/>
        </w:rPr>
        <w:t>dBi</w:t>
      </w:r>
      <w:proofErr w:type="spellEnd"/>
      <w:r w:rsidRPr="007E7F9A">
        <w:rPr>
          <w:i/>
          <w:iCs/>
        </w:rPr>
        <w:t xml:space="preserve"> instead of 33.5 </w:t>
      </w:r>
      <w:proofErr w:type="spellStart"/>
      <w:r w:rsidRPr="007E7F9A">
        <w:rPr>
          <w:i/>
          <w:iCs/>
        </w:rPr>
        <w:t>dBi</w:t>
      </w:r>
      <w:proofErr w:type="spellEnd"/>
      <w:r w:rsidRPr="007E7F9A">
        <w:rPr>
          <w:i/>
          <w:iCs/>
        </w:rPr>
        <w:t xml:space="preserve"> as the antenna diameter is 0.6 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D255" w14:textId="77777777" w:rsidR="00443F9D" w:rsidRPr="000D79FA" w:rsidRDefault="00443F9D" w:rsidP="002A6CE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noProof/>
        <w:sz w:val="18"/>
        <w:szCs w:val="18"/>
      </w:rPr>
      <w:t>6</w:t>
    </w:r>
    <w:r w:rsidRPr="000D79FA">
      <w:rPr>
        <w:sz w:val="18"/>
        <w:szCs w:val="18"/>
      </w:rPr>
      <w:fldChar w:fldCharType="end"/>
    </w:r>
    <w:r w:rsidRPr="000D79FA">
      <w:rPr>
        <w:sz w:val="18"/>
        <w:szCs w:val="18"/>
      </w:rPr>
      <w:t xml:space="preserve"> -</w:t>
    </w:r>
  </w:p>
  <w:p w14:paraId="0F498E93" w14:textId="7DCF0480" w:rsidR="00443F9D" w:rsidRPr="002A6CEE" w:rsidRDefault="00443F9D" w:rsidP="002A6CEE">
    <w:pPr>
      <w:pStyle w:val="Header"/>
    </w:pPr>
  </w:p>
  <w:p w14:paraId="6E779C40" w14:textId="77777777" w:rsidR="00443F9D" w:rsidRDefault="00443F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0137" w14:textId="2AD3FA10" w:rsidR="00443F9D" w:rsidRPr="000D79FA" w:rsidRDefault="00443F9D" w:rsidP="00B4508C">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noProof/>
        <w:sz w:val="18"/>
        <w:szCs w:val="18"/>
      </w:rPr>
      <w:t>21</w:t>
    </w:r>
    <w:r w:rsidRPr="000D79FA">
      <w:rPr>
        <w:sz w:val="18"/>
        <w:szCs w:val="18"/>
      </w:rPr>
      <w:fldChar w:fldCharType="end"/>
    </w:r>
    <w:r w:rsidRPr="000D79FA">
      <w:rPr>
        <w:sz w:val="18"/>
        <w:szCs w:val="18"/>
      </w:rPr>
      <w:t xml:space="preserve"> -</w:t>
    </w:r>
  </w:p>
  <w:p w14:paraId="7ECEDF31" w14:textId="77777777" w:rsidR="00443F9D" w:rsidRDefault="00443F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443F9D" w14:paraId="6A118B91" w14:textId="77777777" w:rsidTr="001700C9">
      <w:tc>
        <w:tcPr>
          <w:tcW w:w="9955" w:type="dxa"/>
          <w:noWrap/>
          <w:tcMar>
            <w:left w:w="0" w:type="dxa"/>
          </w:tcMar>
        </w:tcPr>
        <w:p w14:paraId="348B964B" w14:textId="3919A80F" w:rsidR="00443F9D" w:rsidRDefault="00443F9D" w:rsidP="00BE22B9">
          <w:pPr>
            <w:pStyle w:val="Header"/>
            <w:spacing w:before="120" w:line="360" w:lineRule="auto"/>
            <w:jc w:val="center"/>
          </w:pPr>
          <w:r w:rsidRPr="008E52B1">
            <w:rPr>
              <w:noProof/>
              <w:color w:val="3399FF"/>
              <w:lang w:val="en-GB" w:eastAsia="zh-CN"/>
            </w:rPr>
            <w:drawing>
              <wp:inline distT="0" distB="0" distL="0" distR="0" wp14:anchorId="6179D6AD" wp14:editId="1A2D93D3">
                <wp:extent cx="838200" cy="838200"/>
                <wp:effectExtent l="0" t="0" r="0" b="0"/>
                <wp:docPr id="11" name="Picture 1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E242F17" w14:textId="77777777" w:rsidR="00443F9D" w:rsidRPr="00EA15B3" w:rsidRDefault="00443F9D" w:rsidP="00737279">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2"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4"/>
  </w:num>
  <w:num w:numId="5">
    <w:abstractNumId w:val="7"/>
  </w:num>
  <w:num w:numId="6">
    <w:abstractNumId w:val="4"/>
  </w:num>
  <w:num w:numId="7">
    <w:abstractNumId w:val="18"/>
  </w:num>
  <w:num w:numId="8">
    <w:abstractNumId w:val="17"/>
  </w:num>
  <w:num w:numId="9">
    <w:abstractNumId w:val="10"/>
  </w:num>
  <w:num w:numId="10">
    <w:abstractNumId w:val="5"/>
  </w:num>
  <w:num w:numId="11">
    <w:abstractNumId w:val="16"/>
  </w:num>
  <w:num w:numId="12">
    <w:abstractNumId w:val="15"/>
  </w:num>
  <w:num w:numId="13">
    <w:abstractNumId w:val="19"/>
  </w:num>
  <w:num w:numId="14">
    <w:abstractNumId w:val="9"/>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07E7D"/>
    <w:rsid w:val="00010E30"/>
    <w:rsid w:val="00015C76"/>
    <w:rsid w:val="0001764B"/>
    <w:rsid w:val="00022AAC"/>
    <w:rsid w:val="000235F4"/>
    <w:rsid w:val="00023A87"/>
    <w:rsid w:val="00026CF8"/>
    <w:rsid w:val="000304E3"/>
    <w:rsid w:val="00031E64"/>
    <w:rsid w:val="000333D2"/>
    <w:rsid w:val="00034BB5"/>
    <w:rsid w:val="00043C9A"/>
    <w:rsid w:val="000449B0"/>
    <w:rsid w:val="000468B6"/>
    <w:rsid w:val="00047C98"/>
    <w:rsid w:val="000507DC"/>
    <w:rsid w:val="00051709"/>
    <w:rsid w:val="00054E5D"/>
    <w:rsid w:val="00066E5D"/>
    <w:rsid w:val="00070258"/>
    <w:rsid w:val="0007323C"/>
    <w:rsid w:val="00085769"/>
    <w:rsid w:val="00086D03"/>
    <w:rsid w:val="000A1D1B"/>
    <w:rsid w:val="000A2BD9"/>
    <w:rsid w:val="000A43DF"/>
    <w:rsid w:val="000A445E"/>
    <w:rsid w:val="000A7051"/>
    <w:rsid w:val="000B0032"/>
    <w:rsid w:val="000B0AF6"/>
    <w:rsid w:val="000B0E9B"/>
    <w:rsid w:val="000B6635"/>
    <w:rsid w:val="000C03C7"/>
    <w:rsid w:val="000C0E2D"/>
    <w:rsid w:val="000C10EF"/>
    <w:rsid w:val="000C15F9"/>
    <w:rsid w:val="000D288A"/>
    <w:rsid w:val="000D79FA"/>
    <w:rsid w:val="000E3DEE"/>
    <w:rsid w:val="000F38B2"/>
    <w:rsid w:val="000F6541"/>
    <w:rsid w:val="00100B72"/>
    <w:rsid w:val="00101F7D"/>
    <w:rsid w:val="00103C76"/>
    <w:rsid w:val="001102A8"/>
    <w:rsid w:val="0011265F"/>
    <w:rsid w:val="0011553E"/>
    <w:rsid w:val="00117282"/>
    <w:rsid w:val="00122884"/>
    <w:rsid w:val="00126AE4"/>
    <w:rsid w:val="00134404"/>
    <w:rsid w:val="00137ECC"/>
    <w:rsid w:val="00142634"/>
    <w:rsid w:val="00142E6E"/>
    <w:rsid w:val="00143BB6"/>
    <w:rsid w:val="00144DFB"/>
    <w:rsid w:val="0014624F"/>
    <w:rsid w:val="00146F88"/>
    <w:rsid w:val="00151DDC"/>
    <w:rsid w:val="00152E29"/>
    <w:rsid w:val="00154BF4"/>
    <w:rsid w:val="00164A74"/>
    <w:rsid w:val="00165B3D"/>
    <w:rsid w:val="001700C9"/>
    <w:rsid w:val="00180B2F"/>
    <w:rsid w:val="00184F53"/>
    <w:rsid w:val="00187CA3"/>
    <w:rsid w:val="0019129E"/>
    <w:rsid w:val="001956AA"/>
    <w:rsid w:val="00196710"/>
    <w:rsid w:val="00197324"/>
    <w:rsid w:val="001B29EE"/>
    <w:rsid w:val="001B351B"/>
    <w:rsid w:val="001B6254"/>
    <w:rsid w:val="001B734E"/>
    <w:rsid w:val="001C06DB"/>
    <w:rsid w:val="001C2E84"/>
    <w:rsid w:val="001C39B7"/>
    <w:rsid w:val="001C71F3"/>
    <w:rsid w:val="001D4E1D"/>
    <w:rsid w:val="001D7070"/>
    <w:rsid w:val="001E07B8"/>
    <w:rsid w:val="001E2A93"/>
    <w:rsid w:val="001F2339"/>
    <w:rsid w:val="001F3F48"/>
    <w:rsid w:val="001F4D00"/>
    <w:rsid w:val="001F5966"/>
    <w:rsid w:val="001F5A49"/>
    <w:rsid w:val="002004E7"/>
    <w:rsid w:val="00201097"/>
    <w:rsid w:val="00201B6E"/>
    <w:rsid w:val="00202D26"/>
    <w:rsid w:val="00204F26"/>
    <w:rsid w:val="00216B9C"/>
    <w:rsid w:val="002302B3"/>
    <w:rsid w:val="00230C66"/>
    <w:rsid w:val="00235A29"/>
    <w:rsid w:val="00240F91"/>
    <w:rsid w:val="002443A2"/>
    <w:rsid w:val="00250D4F"/>
    <w:rsid w:val="002527DF"/>
    <w:rsid w:val="00257A19"/>
    <w:rsid w:val="00261D5F"/>
    <w:rsid w:val="00263235"/>
    <w:rsid w:val="00266E2B"/>
    <w:rsid w:val="00274AEA"/>
    <w:rsid w:val="002849C7"/>
    <w:rsid w:val="002861E6"/>
    <w:rsid w:val="00287D18"/>
    <w:rsid w:val="00295CF8"/>
    <w:rsid w:val="002A17C1"/>
    <w:rsid w:val="002A2618"/>
    <w:rsid w:val="002A6CEE"/>
    <w:rsid w:val="002D01C2"/>
    <w:rsid w:val="002D585E"/>
    <w:rsid w:val="002D5A15"/>
    <w:rsid w:val="002D5ADC"/>
    <w:rsid w:val="002D5BDD"/>
    <w:rsid w:val="002E2AFE"/>
    <w:rsid w:val="002E3D27"/>
    <w:rsid w:val="002E5BED"/>
    <w:rsid w:val="002F0890"/>
    <w:rsid w:val="002F0A0D"/>
    <w:rsid w:val="002F2531"/>
    <w:rsid w:val="002F4967"/>
    <w:rsid w:val="002F499F"/>
    <w:rsid w:val="00300DB9"/>
    <w:rsid w:val="00316935"/>
    <w:rsid w:val="00327A42"/>
    <w:rsid w:val="00330DAF"/>
    <w:rsid w:val="00335CB4"/>
    <w:rsid w:val="003370B8"/>
    <w:rsid w:val="00337C74"/>
    <w:rsid w:val="00343BD0"/>
    <w:rsid w:val="00345D38"/>
    <w:rsid w:val="00347561"/>
    <w:rsid w:val="00350B86"/>
    <w:rsid w:val="00352877"/>
    <w:rsid w:val="00362140"/>
    <w:rsid w:val="003666FF"/>
    <w:rsid w:val="00367724"/>
    <w:rsid w:val="003677DA"/>
    <w:rsid w:val="00370639"/>
    <w:rsid w:val="003720E3"/>
    <w:rsid w:val="003A1F49"/>
    <w:rsid w:val="003A226A"/>
    <w:rsid w:val="003B02DF"/>
    <w:rsid w:val="003B2BDA"/>
    <w:rsid w:val="003B55EC"/>
    <w:rsid w:val="003C2B69"/>
    <w:rsid w:val="003C4471"/>
    <w:rsid w:val="003E41DB"/>
    <w:rsid w:val="003E504F"/>
    <w:rsid w:val="003E6F09"/>
    <w:rsid w:val="003E78D6"/>
    <w:rsid w:val="003F38A5"/>
    <w:rsid w:val="003F3A0C"/>
    <w:rsid w:val="003F6A1B"/>
    <w:rsid w:val="00402667"/>
    <w:rsid w:val="00403D58"/>
    <w:rsid w:val="00404788"/>
    <w:rsid w:val="00406D71"/>
    <w:rsid w:val="0041247F"/>
    <w:rsid w:val="00415160"/>
    <w:rsid w:val="00420791"/>
    <w:rsid w:val="00431B02"/>
    <w:rsid w:val="004324F8"/>
    <w:rsid w:val="004326DB"/>
    <w:rsid w:val="0043682E"/>
    <w:rsid w:val="004369F2"/>
    <w:rsid w:val="00443F9D"/>
    <w:rsid w:val="00447ECB"/>
    <w:rsid w:val="0045277D"/>
    <w:rsid w:val="004530A4"/>
    <w:rsid w:val="00457403"/>
    <w:rsid w:val="004575EB"/>
    <w:rsid w:val="004623F7"/>
    <w:rsid w:val="00463512"/>
    <w:rsid w:val="00463CE7"/>
    <w:rsid w:val="00463EF0"/>
    <w:rsid w:val="0047245B"/>
    <w:rsid w:val="00480F51"/>
    <w:rsid w:val="00480FE5"/>
    <w:rsid w:val="00481124"/>
    <w:rsid w:val="004815EB"/>
    <w:rsid w:val="004853AD"/>
    <w:rsid w:val="00486571"/>
    <w:rsid w:val="00487569"/>
    <w:rsid w:val="00494933"/>
    <w:rsid w:val="00496864"/>
    <w:rsid w:val="00496920"/>
    <w:rsid w:val="004A1F27"/>
    <w:rsid w:val="004A4496"/>
    <w:rsid w:val="004A451F"/>
    <w:rsid w:val="004B11AB"/>
    <w:rsid w:val="004B7C9A"/>
    <w:rsid w:val="004C13E7"/>
    <w:rsid w:val="004C38A1"/>
    <w:rsid w:val="004C6779"/>
    <w:rsid w:val="004D020F"/>
    <w:rsid w:val="004D0E51"/>
    <w:rsid w:val="004D4ED0"/>
    <w:rsid w:val="004E0712"/>
    <w:rsid w:val="004E0DC4"/>
    <w:rsid w:val="004E0FB5"/>
    <w:rsid w:val="004E43BB"/>
    <w:rsid w:val="004E486B"/>
    <w:rsid w:val="004E677B"/>
    <w:rsid w:val="004F1016"/>
    <w:rsid w:val="004F178E"/>
    <w:rsid w:val="004F1F97"/>
    <w:rsid w:val="00505309"/>
    <w:rsid w:val="0050789B"/>
    <w:rsid w:val="00512C49"/>
    <w:rsid w:val="00513B88"/>
    <w:rsid w:val="00516901"/>
    <w:rsid w:val="00520189"/>
    <w:rsid w:val="005224A1"/>
    <w:rsid w:val="005332A6"/>
    <w:rsid w:val="00534372"/>
    <w:rsid w:val="0053796C"/>
    <w:rsid w:val="00541C5B"/>
    <w:rsid w:val="00543DF8"/>
    <w:rsid w:val="0054475A"/>
    <w:rsid w:val="00546101"/>
    <w:rsid w:val="005530B1"/>
    <w:rsid w:val="00553DD7"/>
    <w:rsid w:val="005628BA"/>
    <w:rsid w:val="005638CF"/>
    <w:rsid w:val="00563FF1"/>
    <w:rsid w:val="0056641D"/>
    <w:rsid w:val="0056741E"/>
    <w:rsid w:val="0057325A"/>
    <w:rsid w:val="0057469A"/>
    <w:rsid w:val="00580814"/>
    <w:rsid w:val="00586DD6"/>
    <w:rsid w:val="00595966"/>
    <w:rsid w:val="005A03A3"/>
    <w:rsid w:val="005A2AAA"/>
    <w:rsid w:val="005A2B92"/>
    <w:rsid w:val="005A6F41"/>
    <w:rsid w:val="005A79E9"/>
    <w:rsid w:val="005B214C"/>
    <w:rsid w:val="005C3112"/>
    <w:rsid w:val="005D3669"/>
    <w:rsid w:val="005D4416"/>
    <w:rsid w:val="005E5C01"/>
    <w:rsid w:val="005E5EB3"/>
    <w:rsid w:val="005F3CB6"/>
    <w:rsid w:val="005F657C"/>
    <w:rsid w:val="005F74B8"/>
    <w:rsid w:val="00602D53"/>
    <w:rsid w:val="0060417B"/>
    <w:rsid w:val="006047E5"/>
    <w:rsid w:val="00606D6A"/>
    <w:rsid w:val="00617DC5"/>
    <w:rsid w:val="00627CE1"/>
    <w:rsid w:val="00637CAB"/>
    <w:rsid w:val="006402E9"/>
    <w:rsid w:val="0064371D"/>
    <w:rsid w:val="00650B2A"/>
    <w:rsid w:val="00651777"/>
    <w:rsid w:val="006550F8"/>
    <w:rsid w:val="006554AB"/>
    <w:rsid w:val="00655A02"/>
    <w:rsid w:val="00655C3A"/>
    <w:rsid w:val="00657F12"/>
    <w:rsid w:val="006800E8"/>
    <w:rsid w:val="00683247"/>
    <w:rsid w:val="00684EE0"/>
    <w:rsid w:val="00690A1B"/>
    <w:rsid w:val="006961E4"/>
    <w:rsid w:val="00696EEE"/>
    <w:rsid w:val="006A115B"/>
    <w:rsid w:val="006A49DC"/>
    <w:rsid w:val="006A518B"/>
    <w:rsid w:val="006A5B9A"/>
    <w:rsid w:val="006A6A97"/>
    <w:rsid w:val="006B04B7"/>
    <w:rsid w:val="006B0590"/>
    <w:rsid w:val="006B49DA"/>
    <w:rsid w:val="006C3ACE"/>
    <w:rsid w:val="006C7CDE"/>
    <w:rsid w:val="006D214D"/>
    <w:rsid w:val="006D70FC"/>
    <w:rsid w:val="006F1A35"/>
    <w:rsid w:val="006F72B3"/>
    <w:rsid w:val="007038CC"/>
    <w:rsid w:val="0070656B"/>
    <w:rsid w:val="00714AE6"/>
    <w:rsid w:val="0071658E"/>
    <w:rsid w:val="00716E7D"/>
    <w:rsid w:val="007234B1"/>
    <w:rsid w:val="00726A6E"/>
    <w:rsid w:val="00727816"/>
    <w:rsid w:val="00730B9A"/>
    <w:rsid w:val="00733CB4"/>
    <w:rsid w:val="00737279"/>
    <w:rsid w:val="0074244F"/>
    <w:rsid w:val="00742E77"/>
    <w:rsid w:val="007502DB"/>
    <w:rsid w:val="00750CFA"/>
    <w:rsid w:val="00754007"/>
    <w:rsid w:val="007553DA"/>
    <w:rsid w:val="0077544F"/>
    <w:rsid w:val="00782354"/>
    <w:rsid w:val="007921A7"/>
    <w:rsid w:val="007A7AB6"/>
    <w:rsid w:val="007B26FA"/>
    <w:rsid w:val="007B3DB1"/>
    <w:rsid w:val="007B7498"/>
    <w:rsid w:val="007C1309"/>
    <w:rsid w:val="007C382F"/>
    <w:rsid w:val="007D0A21"/>
    <w:rsid w:val="007D183E"/>
    <w:rsid w:val="007D55ED"/>
    <w:rsid w:val="007D6846"/>
    <w:rsid w:val="007E0B73"/>
    <w:rsid w:val="007E0E94"/>
    <w:rsid w:val="007E1833"/>
    <w:rsid w:val="007E3F13"/>
    <w:rsid w:val="007F4C50"/>
    <w:rsid w:val="007F7046"/>
    <w:rsid w:val="007F751A"/>
    <w:rsid w:val="00800012"/>
    <w:rsid w:val="00803594"/>
    <w:rsid w:val="00803AED"/>
    <w:rsid w:val="0081338A"/>
    <w:rsid w:val="008143A4"/>
    <w:rsid w:val="0081513E"/>
    <w:rsid w:val="00821311"/>
    <w:rsid w:val="00827FDD"/>
    <w:rsid w:val="008366B5"/>
    <w:rsid w:val="00852EC3"/>
    <w:rsid w:val="00854131"/>
    <w:rsid w:val="0085652D"/>
    <w:rsid w:val="00861A14"/>
    <w:rsid w:val="00874ED2"/>
    <w:rsid w:val="0087694B"/>
    <w:rsid w:val="008864F8"/>
    <w:rsid w:val="008871A4"/>
    <w:rsid w:val="00887EE8"/>
    <w:rsid w:val="00894C14"/>
    <w:rsid w:val="0089578B"/>
    <w:rsid w:val="008A1AC2"/>
    <w:rsid w:val="008A75CD"/>
    <w:rsid w:val="008B7BE5"/>
    <w:rsid w:val="008C0966"/>
    <w:rsid w:val="008C2E74"/>
    <w:rsid w:val="008C42C7"/>
    <w:rsid w:val="008C78B8"/>
    <w:rsid w:val="008D2DF9"/>
    <w:rsid w:val="008D5409"/>
    <w:rsid w:val="008D7618"/>
    <w:rsid w:val="008E006D"/>
    <w:rsid w:val="008E485B"/>
    <w:rsid w:val="008F3A1F"/>
    <w:rsid w:val="008F4D10"/>
    <w:rsid w:val="008F4F21"/>
    <w:rsid w:val="00904D4A"/>
    <w:rsid w:val="00912ECB"/>
    <w:rsid w:val="00913693"/>
    <w:rsid w:val="009141DE"/>
    <w:rsid w:val="009151BA"/>
    <w:rsid w:val="00917B0A"/>
    <w:rsid w:val="00925023"/>
    <w:rsid w:val="009277BC"/>
    <w:rsid w:val="00927D57"/>
    <w:rsid w:val="00931A51"/>
    <w:rsid w:val="009323DA"/>
    <w:rsid w:val="00935527"/>
    <w:rsid w:val="00936D0F"/>
    <w:rsid w:val="00941932"/>
    <w:rsid w:val="00947185"/>
    <w:rsid w:val="00957A98"/>
    <w:rsid w:val="00963D0B"/>
    <w:rsid w:val="00963D9D"/>
    <w:rsid w:val="009661F4"/>
    <w:rsid w:val="009758B9"/>
    <w:rsid w:val="00975D6F"/>
    <w:rsid w:val="0098013E"/>
    <w:rsid w:val="00981B54"/>
    <w:rsid w:val="00982041"/>
    <w:rsid w:val="009842C3"/>
    <w:rsid w:val="00986E5D"/>
    <w:rsid w:val="00990C8F"/>
    <w:rsid w:val="009A009A"/>
    <w:rsid w:val="009A2B0B"/>
    <w:rsid w:val="009A6BB6"/>
    <w:rsid w:val="009B1BF4"/>
    <w:rsid w:val="009B2242"/>
    <w:rsid w:val="009B3F43"/>
    <w:rsid w:val="009B5CFA"/>
    <w:rsid w:val="009C161F"/>
    <w:rsid w:val="009C3038"/>
    <w:rsid w:val="009C56B4"/>
    <w:rsid w:val="009C6769"/>
    <w:rsid w:val="009D00DC"/>
    <w:rsid w:val="009D15A0"/>
    <w:rsid w:val="009D51A2"/>
    <w:rsid w:val="009E04A8"/>
    <w:rsid w:val="009E4AEC"/>
    <w:rsid w:val="009E5BD8"/>
    <w:rsid w:val="009E681E"/>
    <w:rsid w:val="009E6EBB"/>
    <w:rsid w:val="009F1E33"/>
    <w:rsid w:val="009F70E5"/>
    <w:rsid w:val="00A02280"/>
    <w:rsid w:val="00A03CF9"/>
    <w:rsid w:val="00A067CC"/>
    <w:rsid w:val="00A10269"/>
    <w:rsid w:val="00A119E6"/>
    <w:rsid w:val="00A12572"/>
    <w:rsid w:val="00A15F66"/>
    <w:rsid w:val="00A17727"/>
    <w:rsid w:val="00A2062E"/>
    <w:rsid w:val="00A24A6F"/>
    <w:rsid w:val="00A2541D"/>
    <w:rsid w:val="00A2671E"/>
    <w:rsid w:val="00A30388"/>
    <w:rsid w:val="00A31370"/>
    <w:rsid w:val="00A3147D"/>
    <w:rsid w:val="00A340D6"/>
    <w:rsid w:val="00A34963"/>
    <w:rsid w:val="00A34D6F"/>
    <w:rsid w:val="00A35635"/>
    <w:rsid w:val="00A41F91"/>
    <w:rsid w:val="00A442A8"/>
    <w:rsid w:val="00A56F09"/>
    <w:rsid w:val="00A600CA"/>
    <w:rsid w:val="00A700B7"/>
    <w:rsid w:val="00A75CA2"/>
    <w:rsid w:val="00A82972"/>
    <w:rsid w:val="00A963DF"/>
    <w:rsid w:val="00AB10BE"/>
    <w:rsid w:val="00AC05B1"/>
    <w:rsid w:val="00AC3896"/>
    <w:rsid w:val="00AD0123"/>
    <w:rsid w:val="00AD7647"/>
    <w:rsid w:val="00AD7D10"/>
    <w:rsid w:val="00AE112D"/>
    <w:rsid w:val="00AE2D88"/>
    <w:rsid w:val="00AE6F6F"/>
    <w:rsid w:val="00AE7722"/>
    <w:rsid w:val="00AF3325"/>
    <w:rsid w:val="00AF34D9"/>
    <w:rsid w:val="00AF70DA"/>
    <w:rsid w:val="00B019D3"/>
    <w:rsid w:val="00B34CF9"/>
    <w:rsid w:val="00B37559"/>
    <w:rsid w:val="00B4508C"/>
    <w:rsid w:val="00B50A49"/>
    <w:rsid w:val="00B5209B"/>
    <w:rsid w:val="00B579B0"/>
    <w:rsid w:val="00B61D6A"/>
    <w:rsid w:val="00B672ED"/>
    <w:rsid w:val="00B75EA5"/>
    <w:rsid w:val="00B7724A"/>
    <w:rsid w:val="00B82BAA"/>
    <w:rsid w:val="00B84B68"/>
    <w:rsid w:val="00B90C45"/>
    <w:rsid w:val="00B91535"/>
    <w:rsid w:val="00B933BE"/>
    <w:rsid w:val="00BA5BB2"/>
    <w:rsid w:val="00BB0D72"/>
    <w:rsid w:val="00BB1751"/>
    <w:rsid w:val="00BB528C"/>
    <w:rsid w:val="00BB6557"/>
    <w:rsid w:val="00BD0448"/>
    <w:rsid w:val="00BD41F6"/>
    <w:rsid w:val="00BD64F8"/>
    <w:rsid w:val="00BD6738"/>
    <w:rsid w:val="00BD68F8"/>
    <w:rsid w:val="00BD7E5E"/>
    <w:rsid w:val="00BE14EE"/>
    <w:rsid w:val="00BE197D"/>
    <w:rsid w:val="00BE22B9"/>
    <w:rsid w:val="00BE44AA"/>
    <w:rsid w:val="00BE6574"/>
    <w:rsid w:val="00C0122F"/>
    <w:rsid w:val="00C06566"/>
    <w:rsid w:val="00C07274"/>
    <w:rsid w:val="00C07806"/>
    <w:rsid w:val="00C13597"/>
    <w:rsid w:val="00C1516A"/>
    <w:rsid w:val="00C16FD2"/>
    <w:rsid w:val="00C22F0D"/>
    <w:rsid w:val="00C22F1A"/>
    <w:rsid w:val="00C24730"/>
    <w:rsid w:val="00C300E4"/>
    <w:rsid w:val="00C45B3F"/>
    <w:rsid w:val="00C47CF9"/>
    <w:rsid w:val="00C47FFD"/>
    <w:rsid w:val="00C57E2C"/>
    <w:rsid w:val="00C608B7"/>
    <w:rsid w:val="00C617B3"/>
    <w:rsid w:val="00C66F24"/>
    <w:rsid w:val="00C76660"/>
    <w:rsid w:val="00C80B37"/>
    <w:rsid w:val="00C813AA"/>
    <w:rsid w:val="00C826DF"/>
    <w:rsid w:val="00C9291E"/>
    <w:rsid w:val="00C97702"/>
    <w:rsid w:val="00CA3F44"/>
    <w:rsid w:val="00CA4E58"/>
    <w:rsid w:val="00CA5319"/>
    <w:rsid w:val="00CB3771"/>
    <w:rsid w:val="00CB44BF"/>
    <w:rsid w:val="00CB5153"/>
    <w:rsid w:val="00CB6925"/>
    <w:rsid w:val="00CE076A"/>
    <w:rsid w:val="00CE463D"/>
    <w:rsid w:val="00CE6D50"/>
    <w:rsid w:val="00CF27E7"/>
    <w:rsid w:val="00CF2A15"/>
    <w:rsid w:val="00D022E5"/>
    <w:rsid w:val="00D05B3E"/>
    <w:rsid w:val="00D06CD0"/>
    <w:rsid w:val="00D10BA0"/>
    <w:rsid w:val="00D21132"/>
    <w:rsid w:val="00D21952"/>
    <w:rsid w:val="00D24782"/>
    <w:rsid w:val="00D24EB5"/>
    <w:rsid w:val="00D30D33"/>
    <w:rsid w:val="00D35AB9"/>
    <w:rsid w:val="00D41571"/>
    <w:rsid w:val="00D416A0"/>
    <w:rsid w:val="00D4193D"/>
    <w:rsid w:val="00D4609B"/>
    <w:rsid w:val="00D47672"/>
    <w:rsid w:val="00D5123C"/>
    <w:rsid w:val="00D55560"/>
    <w:rsid w:val="00D61C5A"/>
    <w:rsid w:val="00D653DE"/>
    <w:rsid w:val="00D733F5"/>
    <w:rsid w:val="00D758F8"/>
    <w:rsid w:val="00D7741D"/>
    <w:rsid w:val="00D843D3"/>
    <w:rsid w:val="00D84FF2"/>
    <w:rsid w:val="00D85887"/>
    <w:rsid w:val="00D87828"/>
    <w:rsid w:val="00D87E20"/>
    <w:rsid w:val="00D97139"/>
    <w:rsid w:val="00DA31C1"/>
    <w:rsid w:val="00DB37E7"/>
    <w:rsid w:val="00DC284D"/>
    <w:rsid w:val="00DD0EF9"/>
    <w:rsid w:val="00DD5171"/>
    <w:rsid w:val="00DE16C2"/>
    <w:rsid w:val="00DE31F9"/>
    <w:rsid w:val="00DE66A5"/>
    <w:rsid w:val="00DF2B50"/>
    <w:rsid w:val="00DF4325"/>
    <w:rsid w:val="00DF4B44"/>
    <w:rsid w:val="00E01280"/>
    <w:rsid w:val="00E03D73"/>
    <w:rsid w:val="00E04C86"/>
    <w:rsid w:val="00E06B13"/>
    <w:rsid w:val="00E20F30"/>
    <w:rsid w:val="00E2189C"/>
    <w:rsid w:val="00E2337D"/>
    <w:rsid w:val="00E25BB1"/>
    <w:rsid w:val="00E27BBA"/>
    <w:rsid w:val="00E35279"/>
    <w:rsid w:val="00E35E8F"/>
    <w:rsid w:val="00E41CDA"/>
    <w:rsid w:val="00E428AB"/>
    <w:rsid w:val="00E4296A"/>
    <w:rsid w:val="00E438E8"/>
    <w:rsid w:val="00E448F0"/>
    <w:rsid w:val="00E453A3"/>
    <w:rsid w:val="00E46E06"/>
    <w:rsid w:val="00E520E2"/>
    <w:rsid w:val="00E62738"/>
    <w:rsid w:val="00E64254"/>
    <w:rsid w:val="00E71242"/>
    <w:rsid w:val="00E77BED"/>
    <w:rsid w:val="00E817BF"/>
    <w:rsid w:val="00E915AF"/>
    <w:rsid w:val="00E9622B"/>
    <w:rsid w:val="00E96415"/>
    <w:rsid w:val="00EA15B3"/>
    <w:rsid w:val="00EA2DF7"/>
    <w:rsid w:val="00EB2358"/>
    <w:rsid w:val="00EB3EB8"/>
    <w:rsid w:val="00EC02FE"/>
    <w:rsid w:val="00EC0880"/>
    <w:rsid w:val="00EC6A98"/>
    <w:rsid w:val="00ED1745"/>
    <w:rsid w:val="00ED2F62"/>
    <w:rsid w:val="00ED3B2E"/>
    <w:rsid w:val="00EE1264"/>
    <w:rsid w:val="00EE3CDE"/>
    <w:rsid w:val="00EF5D0B"/>
    <w:rsid w:val="00F07E51"/>
    <w:rsid w:val="00F10E33"/>
    <w:rsid w:val="00F117BE"/>
    <w:rsid w:val="00F37853"/>
    <w:rsid w:val="00F424BF"/>
    <w:rsid w:val="00F45A19"/>
    <w:rsid w:val="00F46107"/>
    <w:rsid w:val="00F468C5"/>
    <w:rsid w:val="00F52F39"/>
    <w:rsid w:val="00F53F25"/>
    <w:rsid w:val="00F810C9"/>
    <w:rsid w:val="00F867F0"/>
    <w:rsid w:val="00F914DD"/>
    <w:rsid w:val="00F93E4F"/>
    <w:rsid w:val="00F9757F"/>
    <w:rsid w:val="00FA2358"/>
    <w:rsid w:val="00FA7867"/>
    <w:rsid w:val="00FB2592"/>
    <w:rsid w:val="00FB2810"/>
    <w:rsid w:val="00FC2947"/>
    <w:rsid w:val="00FC2CAB"/>
    <w:rsid w:val="00FC3BFE"/>
    <w:rsid w:val="00FC7CA5"/>
    <w:rsid w:val="00FD2A1B"/>
    <w:rsid w:val="00FD7E83"/>
    <w:rsid w:val="00FE0818"/>
    <w:rsid w:val="00FE593A"/>
    <w:rsid w:val="00FF4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0707090"/>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uiPriority w:val="39"/>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uiPriority w:val="99"/>
    <w:rsid w:val="00DD0EF9"/>
    <w:rPr>
      <w:sz w:val="22"/>
      <w:szCs w:val="22"/>
      <w:lang w:val="en-US" w:eastAsia="en-US"/>
    </w:rPr>
  </w:style>
  <w:style w:type="paragraph" w:styleId="ListParagraph">
    <w:name w:val="List Paragraph"/>
    <w:basedOn w:val="Normal"/>
    <w:uiPriority w:val="34"/>
    <w:qFormat/>
    <w:rsid w:val="00AC05B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2062E"/>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cs="Times New Roman"/>
      <w:sz w:val="24"/>
      <w:lang w:val="en-GB" w:eastAsia="en-US"/>
    </w:rPr>
  </w:style>
  <w:style w:type="character" w:customStyle="1" w:styleId="enumlev1Char">
    <w:name w:val="enumlev1 Char"/>
    <w:link w:val="enumlev1"/>
    <w:locked/>
    <w:rsid w:val="008C42C7"/>
    <w:rPr>
      <w:sz w:val="22"/>
      <w:szCs w:val="22"/>
      <w:lang w:val="en-US" w:eastAsia="en-US"/>
    </w:rPr>
  </w:style>
  <w:style w:type="paragraph" w:customStyle="1" w:styleId="TableNo">
    <w:name w:val="Table_No"/>
    <w:basedOn w:val="Normal"/>
    <w:next w:val="Normal"/>
    <w:rsid w:val="008C42C7"/>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paragraph" w:customStyle="1" w:styleId="Tabletitle">
    <w:name w:val="Table_title"/>
    <w:basedOn w:val="Normal"/>
    <w:next w:val="Tabletext"/>
    <w:rsid w:val="008C42C7"/>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eastAsia="Times New Roman" w:hAnsi="Times New Roman Bold" w:cs="Times New Roman"/>
      <w:b/>
      <w:sz w:val="20"/>
      <w:szCs w:val="20"/>
      <w:lang w:val="en-GB"/>
    </w:rPr>
  </w:style>
  <w:style w:type="character" w:customStyle="1" w:styleId="TabletextChar">
    <w:name w:val="Table_text Char"/>
    <w:link w:val="Tabletext"/>
    <w:rsid w:val="008C42C7"/>
    <w:rPr>
      <w:szCs w:val="22"/>
      <w:lang w:val="en-US" w:eastAsia="en-US"/>
    </w:rPr>
  </w:style>
  <w:style w:type="paragraph" w:customStyle="1" w:styleId="Tablefin">
    <w:name w:val="Table_fin"/>
    <w:basedOn w:val="Tabletext"/>
    <w:rsid w:val="008C42C7"/>
    <w:pPr>
      <w:tabs>
        <w:tab w:val="left" w:pos="1871"/>
      </w:tabs>
      <w:spacing w:before="0" w:after="0"/>
    </w:pPr>
    <w:rPr>
      <w:rFonts w:ascii="Times New Roman" w:eastAsia="Times New Roman" w:hAnsi="Times New Roman" w:cs="Times New Roman"/>
      <w:szCs w:val="20"/>
      <w:lang w:val="en-GB"/>
    </w:rPr>
  </w:style>
  <w:style w:type="paragraph" w:customStyle="1" w:styleId="AnnexNotitle0">
    <w:name w:val="Annex_No &amp; title"/>
    <w:basedOn w:val="Normal"/>
    <w:next w:val="Normal"/>
    <w:rsid w:val="008C42C7"/>
    <w:pPr>
      <w:keepNext/>
      <w:keepLines/>
      <w:spacing w:before="480" w:line="240" w:lineRule="auto"/>
      <w:jc w:val="center"/>
    </w:pPr>
    <w:rPr>
      <w:rFonts w:ascii="Times New Roman" w:eastAsia="Times New Roman" w:hAnsi="Times New Roman" w:cs="Times New Roman"/>
      <w:b/>
      <w:sz w:val="28"/>
      <w:szCs w:val="20"/>
      <w:lang w:val="en-GB"/>
    </w:rPr>
  </w:style>
  <w:style w:type="character" w:styleId="UnresolvedMention">
    <w:name w:val="Unresolved Mention"/>
    <w:basedOn w:val="DefaultParagraphFont"/>
    <w:uiPriority w:val="99"/>
    <w:semiHidden/>
    <w:unhideWhenUsed/>
    <w:rsid w:val="00917B0A"/>
    <w:rPr>
      <w:color w:val="605E5C"/>
      <w:shd w:val="clear" w:color="auto" w:fill="E1DFDD"/>
    </w:rPr>
  </w:style>
  <w:style w:type="paragraph" w:customStyle="1" w:styleId="Reasons">
    <w:name w:val="Reasons"/>
    <w:basedOn w:val="Normal"/>
    <w:qFormat/>
    <w:rsid w:val="00B61D6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6-WRC19-C-0201/en" TargetMode="External"/><Relationship Id="rId18" Type="http://schemas.openxmlformats.org/officeDocument/2006/relationships/hyperlink" Target="https://www.itu.int/md/R16-WRC19-C-0293/en" TargetMode="External"/><Relationship Id="rId26" Type="http://schemas.openxmlformats.org/officeDocument/2006/relationships/hyperlink" Target="https://www.itu.int/md/R16-WRC19-C-0344/en" TargetMode="External"/><Relationship Id="rId39" Type="http://schemas.openxmlformats.org/officeDocument/2006/relationships/hyperlink" Target="https://www.itu.int/md/R16-WRC19-C-0500/en" TargetMode="External"/><Relationship Id="rId21" Type="http://schemas.openxmlformats.org/officeDocument/2006/relationships/hyperlink" Target="https://www.itu.int/md/R16-WRC19-C-0303/en" TargetMode="External"/><Relationship Id="rId34" Type="http://schemas.openxmlformats.org/officeDocument/2006/relationships/image" Target="media/image2.emf"/><Relationship Id="rId42" Type="http://schemas.openxmlformats.org/officeDocument/2006/relationships/hyperlink" Target="https://www.itu.int/md/R16-WRC19-C-0572/en" TargetMode="External"/><Relationship Id="rId47" Type="http://schemas.openxmlformats.org/officeDocument/2006/relationships/hyperlink" Target="https://www.itu.int/md/R16-WRC19-C-0550/en" TargetMode="External"/><Relationship Id="rId50" Type="http://schemas.openxmlformats.org/officeDocument/2006/relationships/hyperlink" Target="https://www.itu.int/md/R16-WRC19-C-0554/en"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6-WRC19-C-0237/en" TargetMode="External"/><Relationship Id="rId17" Type="http://schemas.openxmlformats.org/officeDocument/2006/relationships/hyperlink" Target="https://www.itu.int/md/R16-WRC19-C-0232/en" TargetMode="External"/><Relationship Id="rId25" Type="http://schemas.openxmlformats.org/officeDocument/2006/relationships/hyperlink" Target="https://www.itu.int/md/R16-WRC19-C-0569/en" TargetMode="External"/><Relationship Id="rId33" Type="http://schemas.openxmlformats.org/officeDocument/2006/relationships/hyperlink" Target="https://www.itu.int/md/R16-WRC19-C-0518/en" TargetMode="External"/><Relationship Id="rId38" Type="http://schemas.openxmlformats.org/officeDocument/2006/relationships/hyperlink" Target="https://www.itu.int/md/R16-WRC19-C-0499/en" TargetMode="External"/><Relationship Id="rId46" Type="http://schemas.openxmlformats.org/officeDocument/2006/relationships/hyperlink" Target="https://www.itu.int/md/R16-WRC19-C-0518/en" TargetMode="External"/><Relationship Id="rId2" Type="http://schemas.openxmlformats.org/officeDocument/2006/relationships/numbering" Target="numbering.xml"/><Relationship Id="rId16" Type="http://schemas.openxmlformats.org/officeDocument/2006/relationships/hyperlink" Target="https://www.itu.int/md/R16-WRC19-C-0228/en" TargetMode="External"/><Relationship Id="rId20" Type="http://schemas.openxmlformats.org/officeDocument/2006/relationships/hyperlink" Target="https://www.itu.int/md/R16-WRC19-C-0568/en" TargetMode="External"/><Relationship Id="rId29" Type="http://schemas.openxmlformats.org/officeDocument/2006/relationships/hyperlink" Target="https://www.itu.int/md/R16-WRC19-C-0351/en" TargetMode="External"/><Relationship Id="rId41" Type="http://schemas.openxmlformats.org/officeDocument/2006/relationships/hyperlink" Target="https://www.itu.int/md/R16-WRC19-C-0510/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R16-WRC19-C-0238/en" TargetMode="External"/><Relationship Id="rId32" Type="http://schemas.openxmlformats.org/officeDocument/2006/relationships/hyperlink" Target="https://www.itu.int/md/R16-WRC19-C-0571/en" TargetMode="External"/><Relationship Id="rId37" Type="http://schemas.openxmlformats.org/officeDocument/2006/relationships/image" Target="media/image5.emf"/><Relationship Id="rId40" Type="http://schemas.openxmlformats.org/officeDocument/2006/relationships/hyperlink" Target="https://www.itu.int/md/R16-WRC19-C-0509/en" TargetMode="External"/><Relationship Id="rId45" Type="http://schemas.openxmlformats.org/officeDocument/2006/relationships/hyperlink" Target="https://www.itu.int/md/R16-WRC19-C-0518/en" TargetMode="External"/><Relationship Id="rId53" Type="http://schemas.openxmlformats.org/officeDocument/2006/relationships/hyperlink" Target="https://www.itu.int/md/R16-WRC19-C-0566/en" TargetMode="External"/><Relationship Id="rId5" Type="http://schemas.openxmlformats.org/officeDocument/2006/relationships/webSettings" Target="webSettings.xml"/><Relationship Id="rId15" Type="http://schemas.openxmlformats.org/officeDocument/2006/relationships/hyperlink" Target="https://www.itu.int/md/R16-WRC19-C-0469/en" TargetMode="External"/><Relationship Id="rId23" Type="http://schemas.openxmlformats.org/officeDocument/2006/relationships/hyperlink" Target="https://www.itu.int/dms_pub/itu-r/md/16/wrc19/c/R16-WRC19-C-0004!A2!MSW-E.docx" TargetMode="External"/><Relationship Id="rId28" Type="http://schemas.openxmlformats.org/officeDocument/2006/relationships/hyperlink" Target="https://www.itu.int/md/R16-WRC19-C-0451/en" TargetMode="External"/><Relationship Id="rId36" Type="http://schemas.openxmlformats.org/officeDocument/2006/relationships/image" Target="media/image4.emf"/><Relationship Id="rId49" Type="http://schemas.openxmlformats.org/officeDocument/2006/relationships/hyperlink" Target="https://www.itu.int/md/R16-WRC19-C-0563/en" TargetMode="External"/><Relationship Id="rId10" Type="http://schemas.openxmlformats.org/officeDocument/2006/relationships/header" Target="header3.xml"/><Relationship Id="rId19" Type="http://schemas.openxmlformats.org/officeDocument/2006/relationships/hyperlink" Target="https://www.itu.int/md/R16-WRC19-C-0289/en" TargetMode="External"/><Relationship Id="rId31" Type="http://schemas.openxmlformats.org/officeDocument/2006/relationships/hyperlink" Target="https://www.itu.int/md/R16-WRC19-C-0471/en" TargetMode="External"/><Relationship Id="rId44" Type="http://schemas.openxmlformats.org/officeDocument/2006/relationships/hyperlink" Target="https://www.itu.int/md/R16-WRC19-C-0573/en" TargetMode="External"/><Relationship Id="rId52" Type="http://schemas.openxmlformats.org/officeDocument/2006/relationships/hyperlink" Target="https://www.itu.int/md/R16-WRC19-C-0575/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md/R16-WRC19-C-0189/en" TargetMode="External"/><Relationship Id="rId22" Type="http://schemas.openxmlformats.org/officeDocument/2006/relationships/hyperlink" Target="https://www.itu.int/md/R16-WRC19-C-0338/en" TargetMode="External"/><Relationship Id="rId27" Type="http://schemas.openxmlformats.org/officeDocument/2006/relationships/hyperlink" Target="https://www.itu.int/md/R16-WRC19-C-0347/en" TargetMode="External"/><Relationship Id="rId30" Type="http://schemas.openxmlformats.org/officeDocument/2006/relationships/hyperlink" Target="https://www.itu.int/md/R16-WRC19-C-0452/en" TargetMode="External"/><Relationship Id="rId35" Type="http://schemas.openxmlformats.org/officeDocument/2006/relationships/image" Target="media/image3.emf"/><Relationship Id="rId43" Type="http://schemas.openxmlformats.org/officeDocument/2006/relationships/hyperlink" Target="https://www.itu.int/md/R16-WRC19-C-0402/en" TargetMode="External"/><Relationship Id="rId48" Type="http://schemas.openxmlformats.org/officeDocument/2006/relationships/hyperlink" Target="https://www.itu.int/md/R16-WRC19-C-0283/en" TargetMode="External"/><Relationship Id="rId8" Type="http://schemas.openxmlformats.org/officeDocument/2006/relationships/header" Target="header1.xml"/><Relationship Id="rId51" Type="http://schemas.openxmlformats.org/officeDocument/2006/relationships/hyperlink" Target="https://www.itu.int/md/R16-WRC19-C-0535/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6702-768D-4DA0-9D1A-4689B4E1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45</TotalTime>
  <Pages>31</Pages>
  <Words>9470</Words>
  <Characters>53026</Characters>
  <Application>Microsoft Office Word</Application>
  <DocSecurity>0</DocSecurity>
  <Lines>441</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62372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BR</cp:lastModifiedBy>
  <cp:revision>11</cp:revision>
  <cp:lastPrinted>2020-02-21T08:00:00Z</cp:lastPrinted>
  <dcterms:created xsi:type="dcterms:W3CDTF">2020-04-14T08:52:00Z</dcterms:created>
  <dcterms:modified xsi:type="dcterms:W3CDTF">2020-04-14T09:57:00Z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