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4A0" w:firstRow="1" w:lastRow="0" w:firstColumn="1" w:lastColumn="0" w:noHBand="0" w:noVBand="1"/>
      </w:tblPr>
      <w:tblGrid>
        <w:gridCol w:w="1526"/>
        <w:gridCol w:w="5137"/>
        <w:gridCol w:w="3226"/>
      </w:tblGrid>
      <w:tr w:rsidR="00E53DCE" w:rsidRPr="007B3DB1" w:rsidTr="004228FA">
        <w:trPr>
          <w:jc w:val="center"/>
        </w:trPr>
        <w:tc>
          <w:tcPr>
            <w:tcW w:w="9889" w:type="dxa"/>
            <w:gridSpan w:val="3"/>
            <w:shd w:val="clear" w:color="auto" w:fill="auto"/>
          </w:tcPr>
          <w:p w:rsidR="00E53DCE" w:rsidRDefault="00E53DCE" w:rsidP="0094509A">
            <w:pPr>
              <w:spacing w:before="0" w:line="240" w:lineRule="auto"/>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94509A">
            <w:pPr>
              <w:spacing w:before="0" w:line="240" w:lineRule="auto"/>
              <w:jc w:val="left"/>
              <w:rPr>
                <w:rFonts w:cstheme="minorHAnsi"/>
                <w:b/>
                <w:bCs/>
                <w:color w:val="808080"/>
                <w:sz w:val="28"/>
                <w:szCs w:val="28"/>
                <w:lang w:val="en-GB"/>
              </w:rPr>
            </w:pPr>
          </w:p>
          <w:p w:rsidR="00E53DCE" w:rsidRPr="00AF70DA" w:rsidRDefault="00E53DCE" w:rsidP="0094509A">
            <w:pPr>
              <w:spacing w:before="0" w:line="240" w:lineRule="auto"/>
              <w:jc w:val="left"/>
              <w:rPr>
                <w:rFonts w:cs="Times New Roman Bold"/>
                <w:b/>
                <w:bCs/>
                <w:color w:val="808080"/>
                <w:sz w:val="28"/>
                <w:szCs w:val="28"/>
                <w:lang w:val="en-GB"/>
              </w:rPr>
            </w:pPr>
          </w:p>
        </w:tc>
      </w:tr>
      <w:tr w:rsidR="00E53DCE" w:rsidRPr="00773F7E" w:rsidTr="00084869">
        <w:trPr>
          <w:jc w:val="center"/>
        </w:trPr>
        <w:tc>
          <w:tcPr>
            <w:tcW w:w="6663" w:type="dxa"/>
            <w:gridSpan w:val="2"/>
            <w:shd w:val="clear" w:color="auto" w:fill="auto"/>
          </w:tcPr>
          <w:p w:rsidR="00E53DCE" w:rsidRPr="00773F7E" w:rsidRDefault="00AA781A" w:rsidP="0094509A">
            <w:pPr>
              <w:spacing w:before="0" w:line="240" w:lineRule="auto"/>
              <w:jc w:val="left"/>
              <w:rPr>
                <w:sz w:val="28"/>
                <w:szCs w:val="28"/>
                <w:lang w:val="fr-CH"/>
              </w:rPr>
            </w:pPr>
            <w:r>
              <w:rPr>
                <w:szCs w:val="24"/>
                <w:lang w:val="fr-CH"/>
              </w:rPr>
              <w:t>Lettre circulaire</w:t>
            </w:r>
          </w:p>
          <w:p w:rsidR="00E53DCE" w:rsidRPr="00773F7E" w:rsidRDefault="00AA781A" w:rsidP="0094509A">
            <w:pPr>
              <w:spacing w:before="0" w:line="240" w:lineRule="auto"/>
              <w:jc w:val="left"/>
              <w:rPr>
                <w:b/>
                <w:bCs/>
                <w:sz w:val="28"/>
                <w:szCs w:val="28"/>
                <w:lang w:val="fr-CH"/>
              </w:rPr>
            </w:pPr>
            <w:r>
              <w:rPr>
                <w:b/>
                <w:bCs/>
                <w:szCs w:val="24"/>
                <w:lang w:val="fr-CH"/>
              </w:rPr>
              <w:t>CR</w:t>
            </w:r>
            <w:r w:rsidR="005432EE">
              <w:rPr>
                <w:b/>
                <w:bCs/>
                <w:szCs w:val="24"/>
                <w:lang w:val="fr-CH"/>
              </w:rPr>
              <w:t>/</w:t>
            </w:r>
            <w:r w:rsidR="00084869">
              <w:rPr>
                <w:b/>
                <w:bCs/>
                <w:szCs w:val="24"/>
                <w:lang w:val="fr-CH"/>
              </w:rPr>
              <w:t>438</w:t>
            </w:r>
          </w:p>
        </w:tc>
        <w:tc>
          <w:tcPr>
            <w:tcW w:w="3226" w:type="dxa"/>
            <w:shd w:val="clear" w:color="auto" w:fill="auto"/>
          </w:tcPr>
          <w:p w:rsidR="00E53DCE" w:rsidRPr="00773F7E" w:rsidRDefault="00181926" w:rsidP="00181926">
            <w:pPr>
              <w:spacing w:before="0" w:line="240" w:lineRule="auto"/>
              <w:jc w:val="right"/>
              <w:rPr>
                <w:sz w:val="28"/>
                <w:szCs w:val="28"/>
                <w:lang w:val="en-GB"/>
              </w:rPr>
            </w:pPr>
            <w:r>
              <w:rPr>
                <w:szCs w:val="24"/>
              </w:rPr>
              <w:t>Genève, le 10</w:t>
            </w:r>
            <w:bookmarkStart w:id="0" w:name="_GoBack"/>
            <w:bookmarkEnd w:id="0"/>
            <w:r w:rsidR="00084869">
              <w:rPr>
                <w:szCs w:val="24"/>
              </w:rPr>
              <w:t xml:space="preserve"> </w:t>
            </w:r>
            <w:proofErr w:type="spellStart"/>
            <w:r w:rsidR="003C3800">
              <w:rPr>
                <w:szCs w:val="24"/>
              </w:rPr>
              <w:t>déce</w:t>
            </w:r>
            <w:r w:rsidR="00084869">
              <w:rPr>
                <w:szCs w:val="24"/>
              </w:rPr>
              <w:t>mbre</w:t>
            </w:r>
            <w:proofErr w:type="spellEnd"/>
            <w:r w:rsidR="00084869">
              <w:rPr>
                <w:szCs w:val="24"/>
              </w:rPr>
              <w:t xml:space="preserve"> 2018</w:t>
            </w:r>
          </w:p>
        </w:tc>
      </w:tr>
      <w:tr w:rsidR="00E53DCE" w:rsidRPr="00773F7E" w:rsidTr="004228FA">
        <w:trPr>
          <w:jc w:val="center"/>
        </w:trPr>
        <w:tc>
          <w:tcPr>
            <w:tcW w:w="9889" w:type="dxa"/>
            <w:gridSpan w:val="3"/>
            <w:shd w:val="clear" w:color="auto" w:fill="auto"/>
          </w:tcPr>
          <w:p w:rsidR="00E53DCE" w:rsidRDefault="00E53DCE" w:rsidP="0094509A">
            <w:pPr>
              <w:spacing w:before="0" w:line="240" w:lineRule="auto"/>
              <w:jc w:val="left"/>
              <w:rPr>
                <w:rFonts w:cs="Arial"/>
                <w:szCs w:val="24"/>
                <w:lang w:val="en-GB"/>
              </w:rPr>
            </w:pPr>
          </w:p>
          <w:p w:rsidR="00022DBF" w:rsidRPr="00773F7E" w:rsidRDefault="00022DBF" w:rsidP="0094509A">
            <w:pPr>
              <w:spacing w:before="0" w:line="240" w:lineRule="auto"/>
              <w:jc w:val="left"/>
              <w:rPr>
                <w:rFonts w:cs="Arial"/>
                <w:szCs w:val="24"/>
                <w:lang w:val="en-GB"/>
              </w:rPr>
            </w:pPr>
          </w:p>
        </w:tc>
      </w:tr>
      <w:tr w:rsidR="00E53DCE" w:rsidRPr="00997249" w:rsidTr="004228FA">
        <w:trPr>
          <w:jc w:val="center"/>
        </w:trPr>
        <w:tc>
          <w:tcPr>
            <w:tcW w:w="9889" w:type="dxa"/>
            <w:gridSpan w:val="3"/>
            <w:shd w:val="clear" w:color="auto" w:fill="auto"/>
          </w:tcPr>
          <w:p w:rsidR="00E53DCE" w:rsidRPr="002569F7" w:rsidRDefault="00EE1A57" w:rsidP="0094509A">
            <w:pPr>
              <w:spacing w:before="0" w:line="240" w:lineRule="auto"/>
              <w:jc w:val="left"/>
              <w:rPr>
                <w:b/>
                <w:bCs/>
                <w:szCs w:val="24"/>
                <w:lang w:val="fr-CH"/>
              </w:rPr>
            </w:pPr>
            <w:r w:rsidRPr="002569F7">
              <w:rPr>
                <w:b/>
                <w:bCs/>
                <w:szCs w:val="24"/>
                <w:lang w:val="fr-CH"/>
              </w:rPr>
              <w:t>Aux Administrations des Etats Membres de l'UIT</w:t>
            </w:r>
          </w:p>
          <w:p w:rsidR="00E53DCE" w:rsidRPr="00773F7E" w:rsidRDefault="00E53DCE" w:rsidP="0094509A">
            <w:pPr>
              <w:spacing w:before="0" w:line="240" w:lineRule="auto"/>
              <w:jc w:val="left"/>
              <w:rPr>
                <w:b/>
                <w:bCs/>
                <w:szCs w:val="24"/>
                <w:lang w:val="fr-CH"/>
              </w:rPr>
            </w:pPr>
          </w:p>
        </w:tc>
      </w:tr>
      <w:tr w:rsidR="00E53DCE" w:rsidRPr="00997249" w:rsidTr="004228FA">
        <w:trPr>
          <w:jc w:val="center"/>
        </w:trPr>
        <w:tc>
          <w:tcPr>
            <w:tcW w:w="9889" w:type="dxa"/>
            <w:gridSpan w:val="3"/>
            <w:shd w:val="clear" w:color="auto" w:fill="auto"/>
          </w:tcPr>
          <w:p w:rsidR="00E53DCE" w:rsidRPr="00773F7E" w:rsidRDefault="00E53DCE" w:rsidP="0094509A">
            <w:pPr>
              <w:spacing w:before="0" w:line="240" w:lineRule="auto"/>
              <w:jc w:val="left"/>
              <w:rPr>
                <w:szCs w:val="24"/>
                <w:lang w:val="fr-CH"/>
              </w:rPr>
            </w:pPr>
          </w:p>
        </w:tc>
      </w:tr>
      <w:tr w:rsidR="00E53DCE" w:rsidRPr="00997249" w:rsidTr="004228FA">
        <w:trPr>
          <w:jc w:val="center"/>
        </w:trPr>
        <w:tc>
          <w:tcPr>
            <w:tcW w:w="1526" w:type="dxa"/>
            <w:shd w:val="clear" w:color="auto" w:fill="auto"/>
          </w:tcPr>
          <w:p w:rsidR="00E53DCE" w:rsidRPr="00773F7E" w:rsidRDefault="003471C9" w:rsidP="0094509A">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Pr="005432EE" w:rsidRDefault="005432EE" w:rsidP="0094509A">
            <w:pPr>
              <w:tabs>
                <w:tab w:val="clear" w:pos="1588"/>
                <w:tab w:val="left" w:pos="1560"/>
              </w:tabs>
              <w:spacing w:before="0" w:line="240" w:lineRule="auto"/>
              <w:jc w:val="left"/>
              <w:rPr>
                <w:b/>
                <w:bCs/>
                <w:szCs w:val="24"/>
                <w:lang w:val="fr-CH"/>
              </w:rPr>
            </w:pPr>
            <w:r w:rsidRPr="00774BA1">
              <w:rPr>
                <w:b/>
                <w:bCs/>
                <w:szCs w:val="24"/>
                <w:lang w:val="fr-CH"/>
              </w:rPr>
              <w:t>Organisation d'un programme de contrôl</w:t>
            </w:r>
            <w:r>
              <w:rPr>
                <w:b/>
                <w:bCs/>
                <w:szCs w:val="24"/>
                <w:lang w:val="fr-CH"/>
              </w:rPr>
              <w:t>e des émissions dans les bandes 405,9</w:t>
            </w:r>
            <w:r>
              <w:rPr>
                <w:b/>
                <w:bCs/>
                <w:szCs w:val="24"/>
                <w:lang w:val="fr-CH"/>
              </w:rPr>
              <w:noBreakHyphen/>
            </w:r>
            <w:r w:rsidRPr="00774BA1">
              <w:rPr>
                <w:b/>
                <w:bCs/>
                <w:szCs w:val="24"/>
                <w:lang w:val="fr-CH"/>
              </w:rPr>
              <w:t xml:space="preserve">406 MHz </w:t>
            </w:r>
            <w:r>
              <w:rPr>
                <w:b/>
                <w:bCs/>
                <w:szCs w:val="24"/>
                <w:lang w:val="fr-CH"/>
              </w:rPr>
              <w:t>et 406,1-406,</w:t>
            </w:r>
            <w:r w:rsidRPr="00774BA1">
              <w:rPr>
                <w:b/>
                <w:bCs/>
                <w:szCs w:val="24"/>
                <w:lang w:val="fr-CH"/>
              </w:rPr>
              <w:t>2 MHz</w:t>
            </w:r>
          </w:p>
        </w:tc>
      </w:tr>
      <w:tr w:rsidR="00E53DCE" w:rsidRPr="00997249" w:rsidTr="004228FA">
        <w:trPr>
          <w:jc w:val="center"/>
        </w:trPr>
        <w:tc>
          <w:tcPr>
            <w:tcW w:w="1526" w:type="dxa"/>
            <w:shd w:val="clear" w:color="auto" w:fill="auto"/>
          </w:tcPr>
          <w:p w:rsidR="00E53DCE" w:rsidRPr="005432EE" w:rsidRDefault="00E53DCE" w:rsidP="0094509A">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5432EE" w:rsidRDefault="00E53DCE" w:rsidP="0094509A">
            <w:pPr>
              <w:tabs>
                <w:tab w:val="clear" w:pos="1588"/>
                <w:tab w:val="left" w:pos="1560"/>
              </w:tabs>
              <w:spacing w:before="0" w:line="240" w:lineRule="auto"/>
              <w:rPr>
                <w:b/>
                <w:bCs/>
                <w:szCs w:val="24"/>
                <w:lang w:val="fr-CH"/>
              </w:rPr>
            </w:pPr>
          </w:p>
        </w:tc>
      </w:tr>
      <w:tr w:rsidR="00E53DCE" w:rsidRPr="00997249" w:rsidTr="004228FA">
        <w:trPr>
          <w:jc w:val="center"/>
        </w:trPr>
        <w:tc>
          <w:tcPr>
            <w:tcW w:w="1526" w:type="dxa"/>
            <w:shd w:val="clear" w:color="auto" w:fill="auto"/>
          </w:tcPr>
          <w:p w:rsidR="00E53DCE" w:rsidRPr="005432EE" w:rsidRDefault="00E53DCE" w:rsidP="0094509A">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5432EE" w:rsidRDefault="00E53DCE" w:rsidP="0094509A">
            <w:pPr>
              <w:tabs>
                <w:tab w:val="clear" w:pos="1588"/>
                <w:tab w:val="left" w:pos="1560"/>
              </w:tabs>
              <w:spacing w:before="0" w:line="240" w:lineRule="auto"/>
              <w:rPr>
                <w:b/>
                <w:bCs/>
                <w:szCs w:val="24"/>
                <w:lang w:val="fr-CH"/>
              </w:rPr>
            </w:pPr>
          </w:p>
        </w:tc>
      </w:tr>
      <w:tr w:rsidR="005432EE" w:rsidRPr="00997249" w:rsidTr="00DC3FA5">
        <w:trPr>
          <w:jc w:val="center"/>
        </w:trPr>
        <w:tc>
          <w:tcPr>
            <w:tcW w:w="1526" w:type="dxa"/>
            <w:shd w:val="clear" w:color="auto" w:fill="auto"/>
          </w:tcPr>
          <w:p w:rsidR="005432EE" w:rsidRPr="00773F7E" w:rsidRDefault="005432EE" w:rsidP="0094509A">
            <w:pPr>
              <w:tabs>
                <w:tab w:val="clear" w:pos="1588"/>
                <w:tab w:val="left" w:pos="1560"/>
              </w:tabs>
              <w:spacing w:before="0" w:line="240" w:lineRule="auto"/>
              <w:jc w:val="left"/>
              <w:rPr>
                <w:szCs w:val="24"/>
              </w:rPr>
            </w:pPr>
            <w:r>
              <w:rPr>
                <w:lang w:val="fr-CH"/>
              </w:rPr>
              <w:t>Référence</w:t>
            </w:r>
            <w:r w:rsidRPr="00773F7E">
              <w:rPr>
                <w:szCs w:val="24"/>
              </w:rPr>
              <w:t>:</w:t>
            </w:r>
          </w:p>
        </w:tc>
        <w:tc>
          <w:tcPr>
            <w:tcW w:w="8363" w:type="dxa"/>
            <w:gridSpan w:val="2"/>
            <w:vMerge w:val="restart"/>
            <w:shd w:val="clear" w:color="auto" w:fill="auto"/>
          </w:tcPr>
          <w:p w:rsidR="005432EE" w:rsidRPr="005432EE" w:rsidRDefault="005432EE" w:rsidP="0094509A">
            <w:pPr>
              <w:tabs>
                <w:tab w:val="clear" w:pos="1588"/>
                <w:tab w:val="left" w:pos="1560"/>
              </w:tabs>
              <w:spacing w:before="0" w:line="240" w:lineRule="auto"/>
              <w:rPr>
                <w:b/>
                <w:bCs/>
                <w:szCs w:val="24"/>
                <w:lang w:val="fr-CH"/>
              </w:rPr>
            </w:pPr>
            <w:r w:rsidRPr="00774BA1">
              <w:rPr>
                <w:b/>
                <w:bCs/>
                <w:szCs w:val="24"/>
                <w:lang w:val="fr-CH"/>
              </w:rPr>
              <w:t>Résolution 205 (Rév.CMR-15) relative à la protection des systèmes fonctionnant dans le service mobile par satellite dans la bande de fréquences 406-406,1 MHz</w:t>
            </w:r>
          </w:p>
        </w:tc>
      </w:tr>
      <w:tr w:rsidR="005432EE" w:rsidRPr="00997249" w:rsidTr="00DC3FA5">
        <w:trPr>
          <w:jc w:val="center"/>
        </w:trPr>
        <w:tc>
          <w:tcPr>
            <w:tcW w:w="1526" w:type="dxa"/>
            <w:shd w:val="clear" w:color="auto" w:fill="auto"/>
          </w:tcPr>
          <w:p w:rsidR="005432EE" w:rsidRPr="005432EE" w:rsidRDefault="005432EE" w:rsidP="0094509A">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5432EE" w:rsidRPr="005432EE" w:rsidRDefault="005432EE" w:rsidP="0094509A">
            <w:pPr>
              <w:tabs>
                <w:tab w:val="clear" w:pos="1588"/>
                <w:tab w:val="left" w:pos="1560"/>
              </w:tabs>
              <w:spacing w:before="0" w:line="240" w:lineRule="auto"/>
              <w:rPr>
                <w:b/>
                <w:bCs/>
                <w:szCs w:val="24"/>
                <w:lang w:val="fr-CH"/>
              </w:rPr>
            </w:pPr>
          </w:p>
        </w:tc>
      </w:tr>
      <w:tr w:rsidR="005432EE" w:rsidRPr="00997249" w:rsidTr="00DC3FA5">
        <w:trPr>
          <w:jc w:val="center"/>
        </w:trPr>
        <w:tc>
          <w:tcPr>
            <w:tcW w:w="1526" w:type="dxa"/>
            <w:shd w:val="clear" w:color="auto" w:fill="auto"/>
          </w:tcPr>
          <w:p w:rsidR="005432EE" w:rsidRPr="005432EE" w:rsidRDefault="005432EE" w:rsidP="0094509A">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5432EE" w:rsidRPr="005432EE" w:rsidRDefault="005432EE" w:rsidP="0094509A">
            <w:pPr>
              <w:tabs>
                <w:tab w:val="clear" w:pos="1588"/>
                <w:tab w:val="left" w:pos="1560"/>
              </w:tabs>
              <w:spacing w:before="0" w:line="240" w:lineRule="auto"/>
              <w:rPr>
                <w:b/>
                <w:bCs/>
                <w:szCs w:val="24"/>
                <w:lang w:val="fr-CH"/>
              </w:rPr>
            </w:pPr>
          </w:p>
        </w:tc>
      </w:tr>
    </w:tbl>
    <w:p w:rsidR="005432EE" w:rsidRPr="00774BA1" w:rsidRDefault="005432EE" w:rsidP="009713A0">
      <w:pPr>
        <w:spacing w:before="0" w:line="240" w:lineRule="auto"/>
        <w:rPr>
          <w:rFonts w:asciiTheme="majorBidi" w:hAnsiTheme="majorBidi" w:cstheme="majorBidi"/>
          <w:lang w:val="fr-CH"/>
        </w:rPr>
      </w:pPr>
      <w:r w:rsidRPr="00774BA1">
        <w:rPr>
          <w:lang w:val="fr-CH"/>
        </w:rPr>
        <w:t>La Conférence mondiale des radiocommunications de 2015 (CMR-15) a révisé</w:t>
      </w:r>
      <w:r>
        <w:rPr>
          <w:lang w:val="fr-CH"/>
        </w:rPr>
        <w:t xml:space="preserve"> </w:t>
      </w:r>
      <w:r w:rsidRPr="00774BA1">
        <w:rPr>
          <w:lang w:val="fr-CH"/>
        </w:rPr>
        <w:t>la Résolution</w:t>
      </w:r>
      <w:r>
        <w:rPr>
          <w:lang w:val="fr-CH"/>
        </w:rPr>
        <w:t xml:space="preserve"> </w:t>
      </w:r>
      <w:r w:rsidRPr="00774BA1">
        <w:rPr>
          <w:b/>
          <w:bCs/>
          <w:lang w:val="fr-CH"/>
        </w:rPr>
        <w:t>205</w:t>
      </w:r>
      <w:r w:rsidRPr="00774BA1">
        <w:rPr>
          <w:lang w:val="fr-CH"/>
        </w:rPr>
        <w:t xml:space="preserve"> relative à la protection du service mobile par satellite (SMS) dans la bande de fréquences </w:t>
      </w:r>
      <w:r w:rsidRPr="00774BA1">
        <w:rPr>
          <w:rFonts w:asciiTheme="minorHAnsi" w:hAnsiTheme="minorHAnsi"/>
          <w:lang w:val="fr-CH"/>
        </w:rPr>
        <w:t>406-406</w:t>
      </w:r>
      <w:r>
        <w:rPr>
          <w:rFonts w:asciiTheme="minorHAnsi" w:hAnsiTheme="minorHAnsi"/>
          <w:lang w:val="fr-CH"/>
        </w:rPr>
        <w:t>,</w:t>
      </w:r>
      <w:r w:rsidR="007029FE">
        <w:rPr>
          <w:rFonts w:asciiTheme="minorHAnsi" w:hAnsiTheme="minorHAnsi"/>
          <w:lang w:val="fr-CH"/>
        </w:rPr>
        <w:t>1 </w:t>
      </w:r>
      <w:r w:rsidRPr="00774BA1">
        <w:rPr>
          <w:rFonts w:asciiTheme="minorHAnsi" w:hAnsiTheme="minorHAnsi"/>
          <w:lang w:val="fr-CH"/>
        </w:rPr>
        <w:t xml:space="preserve">MHz </w:t>
      </w:r>
      <w:r>
        <w:rPr>
          <w:lang w:val="fr-CH"/>
        </w:rPr>
        <w:t xml:space="preserve">utilisée </w:t>
      </w:r>
      <w:r w:rsidRPr="00774BA1">
        <w:rPr>
          <w:lang w:val="fr-CH"/>
        </w:rPr>
        <w:t>en exclusivité</w:t>
      </w:r>
      <w:r>
        <w:rPr>
          <w:lang w:val="fr-CH"/>
        </w:rPr>
        <w:t xml:space="preserve"> par les</w:t>
      </w:r>
      <w:r w:rsidRPr="00774BA1">
        <w:rPr>
          <w:lang w:val="fr-CH"/>
        </w:rPr>
        <w:t xml:space="preserve"> radiobalises de localisation des sinistres (RLS) par satellite</w:t>
      </w:r>
      <w:r>
        <w:rPr>
          <w:lang w:val="fr-CH"/>
        </w:rPr>
        <w:t xml:space="preserve"> </w:t>
      </w:r>
      <w:r w:rsidRPr="00774BA1">
        <w:rPr>
          <w:lang w:val="fr-CH"/>
        </w:rPr>
        <w:t xml:space="preserve">fonctionnant dans le système </w:t>
      </w:r>
      <w:proofErr w:type="spellStart"/>
      <w:r w:rsidRPr="00774BA1">
        <w:rPr>
          <w:lang w:val="fr-CH"/>
        </w:rPr>
        <w:t>Cospas-Sarsat</w:t>
      </w:r>
      <w:proofErr w:type="spellEnd"/>
      <w:r>
        <w:rPr>
          <w:lang w:val="fr-CH"/>
        </w:rPr>
        <w:t>.</w:t>
      </w:r>
    </w:p>
    <w:p w:rsidR="005432EE" w:rsidRPr="00AF22A9" w:rsidRDefault="005432EE" w:rsidP="0094509A">
      <w:pPr>
        <w:spacing w:before="120" w:line="240" w:lineRule="auto"/>
        <w:rPr>
          <w:lang w:val="fr-CH"/>
        </w:rPr>
      </w:pPr>
      <w:r w:rsidRPr="00774BA1">
        <w:rPr>
          <w:lang w:val="fr-CH" w:eastAsia="zh-CN"/>
        </w:rPr>
        <w:t xml:space="preserve">Le Règlement des radiocommunications </w:t>
      </w:r>
      <w:r>
        <w:rPr>
          <w:lang w:val="fr-CH" w:eastAsia="zh-CN"/>
        </w:rPr>
        <w:t>prévoit</w:t>
      </w:r>
      <w:r w:rsidRPr="00774BA1">
        <w:rPr>
          <w:lang w:val="fr-CH" w:eastAsia="zh-CN"/>
        </w:rPr>
        <w:t xml:space="preserve"> une protection absolue contre les brouillages préjudiciables </w:t>
      </w:r>
      <w:r>
        <w:rPr>
          <w:lang w:val="fr-CH" w:eastAsia="zh-CN"/>
        </w:rPr>
        <w:t xml:space="preserve">dans cette bande de fréquences, conformément aux dispositions du numéro </w:t>
      </w:r>
      <w:r w:rsidRPr="00774BA1">
        <w:rPr>
          <w:b/>
          <w:bCs/>
          <w:lang w:val="fr-CH" w:eastAsia="zh-CN"/>
        </w:rPr>
        <w:t>5.267</w:t>
      </w:r>
      <w:r w:rsidRPr="00774BA1">
        <w:rPr>
          <w:lang w:val="fr-CH" w:eastAsia="zh-CN"/>
        </w:rPr>
        <w:t xml:space="preserve"> </w:t>
      </w:r>
      <w:r>
        <w:rPr>
          <w:lang w:val="fr-CH" w:eastAsia="zh-CN"/>
        </w:rPr>
        <w:t xml:space="preserve">et de l'Appendice </w:t>
      </w:r>
      <w:r w:rsidRPr="00774BA1">
        <w:rPr>
          <w:b/>
          <w:bCs/>
          <w:lang w:val="fr-CH" w:eastAsia="zh-CN"/>
        </w:rPr>
        <w:t>15</w:t>
      </w:r>
      <w:r w:rsidRPr="00774BA1">
        <w:rPr>
          <w:lang w:val="fr-CH" w:eastAsia="zh-CN"/>
        </w:rPr>
        <w:t xml:space="preserve">. </w:t>
      </w:r>
      <w:r w:rsidRPr="00AF22A9">
        <w:rPr>
          <w:lang w:val="fr-CH" w:eastAsia="zh-CN"/>
        </w:rPr>
        <w:t xml:space="preserve">Le Bureau organise un programme de contrôle des </w:t>
      </w:r>
      <w:r w:rsidR="007029FE">
        <w:rPr>
          <w:lang w:val="fr-CH" w:eastAsia="zh-CN"/>
        </w:rPr>
        <w:t>émissions dans la bande </w:t>
      </w:r>
      <w:r>
        <w:rPr>
          <w:lang w:val="fr-CH" w:eastAsia="zh-CN"/>
        </w:rPr>
        <w:t>406-406,</w:t>
      </w:r>
      <w:r w:rsidRPr="00AF22A9">
        <w:rPr>
          <w:lang w:val="fr-CH" w:eastAsia="zh-CN"/>
        </w:rPr>
        <w:t>1 MHz, afin identifier</w:t>
      </w:r>
      <w:r>
        <w:rPr>
          <w:lang w:val="fr-CH" w:eastAsia="zh-CN"/>
        </w:rPr>
        <w:t xml:space="preserve"> </w:t>
      </w:r>
      <w:r w:rsidRPr="00AF22A9">
        <w:rPr>
          <w:lang w:val="fr-CH" w:eastAsia="zh-CN"/>
        </w:rPr>
        <w:t>l</w:t>
      </w:r>
      <w:r w:rsidR="007029FE">
        <w:rPr>
          <w:lang w:val="fr-CH" w:eastAsia="zh-CN"/>
        </w:rPr>
        <w:t>es</w:t>
      </w:r>
      <w:r w:rsidRPr="00AF22A9">
        <w:rPr>
          <w:lang w:val="fr-CH" w:eastAsia="zh-CN"/>
        </w:rPr>
        <w:t xml:space="preserve"> source</w:t>
      </w:r>
      <w:r w:rsidR="007029FE">
        <w:rPr>
          <w:lang w:val="fr-CH" w:eastAsia="zh-CN"/>
        </w:rPr>
        <w:t>s</w:t>
      </w:r>
      <w:r w:rsidRPr="00AF22A9">
        <w:rPr>
          <w:lang w:val="fr-CH" w:eastAsia="zh-CN"/>
        </w:rPr>
        <w:t xml:space="preserve"> de toute émission non autorisée. </w:t>
      </w:r>
      <w:r w:rsidR="007029FE">
        <w:rPr>
          <w:lang w:val="fr-CH" w:eastAsia="zh-CN"/>
        </w:rPr>
        <w:t>Sur la base</w:t>
      </w:r>
      <w:r w:rsidRPr="00AF22A9">
        <w:rPr>
          <w:lang w:val="fr-CH" w:eastAsia="zh-CN"/>
        </w:rPr>
        <w:t xml:space="preserve"> des résultats du contrôle des émissions, le Bureau communique avec les administrations</w:t>
      </w:r>
      <w:r>
        <w:rPr>
          <w:lang w:val="fr-CH" w:eastAsia="zh-CN"/>
        </w:rPr>
        <w:t xml:space="preserve"> </w:t>
      </w:r>
      <w:r w:rsidRPr="00AF22A9">
        <w:rPr>
          <w:lang w:val="fr-CH" w:eastAsia="zh-CN"/>
        </w:rPr>
        <w:t>responsables des stations des services autres que le SMS</w:t>
      </w:r>
      <w:r>
        <w:rPr>
          <w:lang w:val="fr-CH" w:eastAsia="zh-CN"/>
        </w:rPr>
        <w:t xml:space="preserve"> qui émettent dans la bande et leur demande de prendre les mesures nécessaires pour mettre fin à ces émissions non autorisées. </w:t>
      </w:r>
    </w:p>
    <w:p w:rsidR="007029FE" w:rsidRDefault="005432EE" w:rsidP="00997249">
      <w:pPr>
        <w:spacing w:before="120" w:line="240" w:lineRule="auto"/>
        <w:rPr>
          <w:lang w:val="fr-CH" w:eastAsia="zh-CN"/>
        </w:rPr>
      </w:pPr>
      <w:r>
        <w:rPr>
          <w:lang w:val="fr-CH" w:eastAsia="zh-CN"/>
        </w:rPr>
        <w:t xml:space="preserve">La </w:t>
      </w:r>
      <w:r w:rsidRPr="00AF22A9">
        <w:rPr>
          <w:lang w:val="fr-CH" w:eastAsia="zh-CN"/>
        </w:rPr>
        <w:t>CMR-15</w:t>
      </w:r>
      <w:r>
        <w:rPr>
          <w:lang w:val="fr-CH"/>
        </w:rPr>
        <w:t xml:space="preserve"> a reconnu </w:t>
      </w:r>
      <w:r w:rsidRPr="00AF22A9">
        <w:rPr>
          <w:lang w:val="fr-CH"/>
        </w:rPr>
        <w:t xml:space="preserve">que les rayonnements non désirés provenant de services </w:t>
      </w:r>
      <w:r>
        <w:rPr>
          <w:lang w:val="fr-CH"/>
        </w:rPr>
        <w:t xml:space="preserve">de radiocommunication </w:t>
      </w:r>
      <w:r w:rsidRPr="00AF22A9">
        <w:rPr>
          <w:lang w:val="fr-CH"/>
        </w:rPr>
        <w:t>exploités en dehors de la bande de fréquences 406-406,1 MHz risquent de causer des brouillages aux récepteurs du SMS exploités dans la bande</w:t>
      </w:r>
      <w:r>
        <w:rPr>
          <w:lang w:val="fr-CH"/>
        </w:rPr>
        <w:t xml:space="preserve"> </w:t>
      </w:r>
      <w:r w:rsidRPr="00AF22A9">
        <w:rPr>
          <w:lang w:val="fr-CH"/>
        </w:rPr>
        <w:t>406-406,1 MHz</w:t>
      </w:r>
      <w:r w:rsidRPr="00AF22A9">
        <w:rPr>
          <w:lang w:val="fr-CH" w:eastAsia="zh-CN"/>
        </w:rPr>
        <w:t>.</w:t>
      </w:r>
      <w:r>
        <w:rPr>
          <w:lang w:val="fr-CH"/>
        </w:rPr>
        <w:t xml:space="preserve"> </w:t>
      </w:r>
      <w:r w:rsidR="00997249">
        <w:rPr>
          <w:lang w:val="fr-CH"/>
        </w:rPr>
        <w:t>A</w:t>
      </w:r>
      <w:r w:rsidR="00D40FFB">
        <w:rPr>
          <w:lang w:val="fr-CH" w:eastAsia="zh-CN"/>
        </w:rPr>
        <w:t xml:space="preserve"> cet effet</w:t>
      </w:r>
      <w:r w:rsidRPr="00AF22A9">
        <w:rPr>
          <w:lang w:val="fr-CH" w:eastAsia="zh-CN"/>
        </w:rPr>
        <w:t xml:space="preserve">, </w:t>
      </w:r>
      <w:r w:rsidR="007029FE">
        <w:rPr>
          <w:lang w:val="fr-CH" w:eastAsia="zh-CN"/>
        </w:rPr>
        <w:t>elle</w:t>
      </w:r>
      <w:r w:rsidRPr="00AF22A9">
        <w:rPr>
          <w:lang w:val="fr-CH" w:eastAsia="zh-CN"/>
        </w:rPr>
        <w:t xml:space="preserve"> a décidé de prendre des mesures de protection additionnelle</w:t>
      </w:r>
      <w:r w:rsidR="007029FE">
        <w:rPr>
          <w:lang w:val="fr-CH" w:eastAsia="zh-CN"/>
        </w:rPr>
        <w:t>s</w:t>
      </w:r>
      <w:r>
        <w:rPr>
          <w:lang w:val="fr-CH" w:eastAsia="zh-CN"/>
        </w:rPr>
        <w:t xml:space="preserve"> </w:t>
      </w:r>
      <w:r w:rsidR="007029FE">
        <w:rPr>
          <w:lang w:val="fr-CH" w:eastAsia="zh-CN"/>
        </w:rPr>
        <w:t>pour</w:t>
      </w:r>
      <w:r>
        <w:rPr>
          <w:lang w:val="fr-CH" w:eastAsia="zh-CN"/>
        </w:rPr>
        <w:t xml:space="preserve"> </w:t>
      </w:r>
      <w:r w:rsidRPr="00AF22A9">
        <w:rPr>
          <w:lang w:val="fr-CH" w:eastAsia="zh-CN"/>
        </w:rPr>
        <w:t>les bandes adjacentes</w:t>
      </w:r>
      <w:r>
        <w:rPr>
          <w:lang w:val="fr-CH" w:eastAsia="zh-CN"/>
        </w:rPr>
        <w:t xml:space="preserve"> </w:t>
      </w:r>
      <w:r w:rsidR="007029FE">
        <w:rPr>
          <w:lang w:val="fr-CH"/>
        </w:rPr>
        <w:t>405,9-406,</w:t>
      </w:r>
      <w:r w:rsidRPr="00AF22A9">
        <w:rPr>
          <w:lang w:val="fr-CH"/>
        </w:rPr>
        <w:t>0 MHz</w:t>
      </w:r>
      <w:r>
        <w:rPr>
          <w:lang w:val="fr-CH"/>
        </w:rPr>
        <w:t xml:space="preserve"> et </w:t>
      </w:r>
      <w:r w:rsidR="007029FE">
        <w:rPr>
          <w:lang w:val="fr-CH"/>
        </w:rPr>
        <w:t>406,1-406,</w:t>
      </w:r>
      <w:r w:rsidRPr="00AF22A9">
        <w:rPr>
          <w:lang w:val="fr-CH"/>
        </w:rPr>
        <w:t>2 MHz</w:t>
      </w:r>
      <w:r w:rsidRPr="00AF22A9">
        <w:rPr>
          <w:lang w:val="fr-CH" w:eastAsia="zh-CN"/>
        </w:rPr>
        <w:t xml:space="preserve">. </w:t>
      </w:r>
      <w:r>
        <w:rPr>
          <w:lang w:val="fr-CH" w:eastAsia="zh-CN"/>
        </w:rPr>
        <w:t>La Conférence a décidé en particulier</w:t>
      </w:r>
      <w:r w:rsidR="007029FE">
        <w:rPr>
          <w:lang w:val="fr-CH" w:eastAsia="zh-CN"/>
        </w:rPr>
        <w:t>:</w:t>
      </w:r>
    </w:p>
    <w:p w:rsidR="005432EE" w:rsidRPr="00AF22A9" w:rsidRDefault="007029FE" w:rsidP="0094509A">
      <w:pPr>
        <w:pStyle w:val="enumlev1"/>
        <w:spacing w:line="240" w:lineRule="auto"/>
        <w:rPr>
          <w:rFonts w:asciiTheme="minorHAnsi" w:hAnsiTheme="minorHAnsi" w:cs="Times New Roman"/>
          <w:lang w:val="fr-CH" w:eastAsia="zh-CN"/>
        </w:rPr>
      </w:pPr>
      <w:r w:rsidRPr="007029FE">
        <w:rPr>
          <w:rFonts w:asciiTheme="minorHAnsi" w:hAnsiTheme="minorHAnsi" w:cs="Times New Roman"/>
          <w:lang w:val="fr-CH" w:eastAsia="zh-CN"/>
        </w:rPr>
        <w:t>–</w:t>
      </w:r>
      <w:r>
        <w:rPr>
          <w:rFonts w:asciiTheme="minorHAnsi" w:hAnsiTheme="minorHAnsi" w:cs="Times New Roman"/>
          <w:lang w:val="fr-CH" w:eastAsia="zh-CN"/>
        </w:rPr>
        <w:tab/>
      </w:r>
      <w:r w:rsidR="005432EE" w:rsidRPr="00AF22A9">
        <w:rPr>
          <w:lang w:val="fr-CH"/>
        </w:rPr>
        <w:t>de demander aux administrations de ne pas procéder à de nouvelles assignations de fréquence dans les bandes de fréquences 405,9-406,0 MHz et 406,1-406,2 MHz</w:t>
      </w:r>
      <w:r w:rsidR="005432EE">
        <w:rPr>
          <w:lang w:val="fr-CH"/>
        </w:rPr>
        <w:t xml:space="preserve"> </w:t>
      </w:r>
      <w:r w:rsidR="005432EE" w:rsidRPr="00AF22A9">
        <w:rPr>
          <w:lang w:val="fr-CH"/>
        </w:rPr>
        <w:t>dans le cadre des services mobile et fixe</w:t>
      </w:r>
      <w:r>
        <w:rPr>
          <w:lang w:val="fr-CH"/>
        </w:rPr>
        <w:t>;</w:t>
      </w:r>
    </w:p>
    <w:p w:rsidR="005432EE" w:rsidRPr="00AF22A9" w:rsidRDefault="007029FE" w:rsidP="0094509A">
      <w:pPr>
        <w:pStyle w:val="enumlev1"/>
        <w:spacing w:line="240" w:lineRule="auto"/>
        <w:rPr>
          <w:rFonts w:asciiTheme="minorHAnsi" w:hAnsiTheme="minorHAnsi" w:cs="Times New Roman"/>
          <w:lang w:val="fr-CH" w:eastAsia="zh-CN"/>
        </w:rPr>
      </w:pPr>
      <w:r w:rsidRPr="007029FE">
        <w:rPr>
          <w:lang w:val="fr-CH"/>
        </w:rPr>
        <w:t>–</w:t>
      </w:r>
      <w:r>
        <w:rPr>
          <w:lang w:val="fr-CH"/>
        </w:rPr>
        <w:tab/>
      </w:r>
      <w:r w:rsidR="005432EE" w:rsidRPr="00AF22A9">
        <w:rPr>
          <w:lang w:val="fr-CH"/>
        </w:rPr>
        <w:t xml:space="preserve">que les administrations doivent tenir compte des caractéristiques de dérive de fréquence des radiosondes lorsqu'elles choisissent des fréquences </w:t>
      </w:r>
      <w:r>
        <w:rPr>
          <w:lang w:val="fr-CH"/>
        </w:rPr>
        <w:t>d'exploitation au-dessus de 405 </w:t>
      </w:r>
      <w:r w:rsidR="005432EE" w:rsidRPr="00AF22A9">
        <w:rPr>
          <w:lang w:val="fr-CH"/>
        </w:rPr>
        <w:t xml:space="preserve">MHz, afin d'éviter que ces dernières n'émettent dans la bande de fréquences 406-406,1 MHz, et prendre toutes les mesures pratiquement envisageables pour éviter toute </w:t>
      </w:r>
      <w:proofErr w:type="gramStart"/>
      <w:r w:rsidR="005432EE" w:rsidRPr="00AF22A9">
        <w:rPr>
          <w:lang w:val="fr-CH"/>
        </w:rPr>
        <w:t>dérive</w:t>
      </w:r>
      <w:proofErr w:type="gramEnd"/>
      <w:r w:rsidR="005432EE" w:rsidRPr="00AF22A9">
        <w:rPr>
          <w:lang w:val="fr-CH"/>
        </w:rPr>
        <w:t xml:space="preserve"> de fréquence à proximité de 406 MHz</w:t>
      </w:r>
      <w:r>
        <w:rPr>
          <w:lang w:val="fr-CH"/>
        </w:rPr>
        <w:t>.</w:t>
      </w:r>
    </w:p>
    <w:p w:rsidR="005432EE" w:rsidRPr="00206C70" w:rsidRDefault="005432EE" w:rsidP="00E85AAA">
      <w:pPr>
        <w:keepNext/>
        <w:keepLines/>
        <w:spacing w:before="120" w:line="240" w:lineRule="auto"/>
        <w:rPr>
          <w:lang w:val="fr-CH"/>
        </w:rPr>
      </w:pPr>
      <w:r w:rsidRPr="00206C70">
        <w:rPr>
          <w:lang w:val="fr-CH"/>
        </w:rPr>
        <w:lastRenderedPageBreak/>
        <w:t>En outre, la CMR-15 a chargé le Directeur du Bureau des radiocommunications d'organiser des programmes de contrôle des émissions pour déterminer l'incidence des rayonnements non désirés provenant des systèmes fonctionnant dans les bandes de fréquences 405,9-406 MHz et 406,1-</w:t>
      </w:r>
      <w:r w:rsidR="00796E99">
        <w:rPr>
          <w:lang w:val="fr-CH"/>
        </w:rPr>
        <w:t>406,2 </w:t>
      </w:r>
      <w:r w:rsidRPr="00206C70">
        <w:rPr>
          <w:lang w:val="fr-CH"/>
        </w:rPr>
        <w:t xml:space="preserve">MHz sur la réception par le SMS dans la bande de fréquences 406-406,1 MHz, afin d'évaluer l'efficacité de </w:t>
      </w:r>
      <w:r>
        <w:rPr>
          <w:lang w:val="fr-CH"/>
        </w:rPr>
        <w:t>cette</w:t>
      </w:r>
      <w:r w:rsidRPr="00206C70">
        <w:rPr>
          <w:lang w:val="fr-CH"/>
        </w:rPr>
        <w:t xml:space="preserve"> Résolution</w:t>
      </w:r>
      <w:r w:rsidR="007029FE">
        <w:rPr>
          <w:lang w:val="fr-CH"/>
        </w:rPr>
        <w:t>.</w:t>
      </w:r>
    </w:p>
    <w:p w:rsidR="005432EE" w:rsidRPr="00206C70" w:rsidRDefault="005432EE" w:rsidP="0094509A">
      <w:pPr>
        <w:spacing w:before="120" w:line="240" w:lineRule="auto"/>
        <w:rPr>
          <w:lang w:val="fr-CH"/>
        </w:rPr>
      </w:pPr>
      <w:r w:rsidRPr="00206C70">
        <w:rPr>
          <w:lang w:val="fr-CH"/>
        </w:rPr>
        <w:t>En application de cette décision de la CMR-</w:t>
      </w:r>
      <w:proofErr w:type="gramStart"/>
      <w:r w:rsidRPr="00206C70">
        <w:rPr>
          <w:lang w:val="fr-CH"/>
        </w:rPr>
        <w:t>15 ,</w:t>
      </w:r>
      <w:proofErr w:type="gramEnd"/>
      <w:r w:rsidRPr="00206C70">
        <w:rPr>
          <w:lang w:val="fr-CH"/>
        </w:rPr>
        <w:t xml:space="preserve"> le Groupe de travail 1C de</w:t>
      </w:r>
      <w:r>
        <w:rPr>
          <w:lang w:val="fr-CH"/>
        </w:rPr>
        <w:t xml:space="preserve"> </w:t>
      </w:r>
      <w:r w:rsidRPr="00206C70">
        <w:rPr>
          <w:lang w:val="fr-CH"/>
        </w:rPr>
        <w:t>l'UIT-R, en collaboration avec le</w:t>
      </w:r>
      <w:r>
        <w:rPr>
          <w:lang w:val="fr-CH"/>
        </w:rPr>
        <w:t xml:space="preserve"> </w:t>
      </w:r>
      <w:r w:rsidRPr="00206C70">
        <w:rPr>
          <w:lang w:val="fr-CH"/>
        </w:rPr>
        <w:t xml:space="preserve">Comité mixte </w:t>
      </w:r>
      <w:proofErr w:type="spellStart"/>
      <w:r w:rsidRPr="00206C70">
        <w:rPr>
          <w:lang w:val="fr-CH"/>
        </w:rPr>
        <w:t>Cospas-Sarsat</w:t>
      </w:r>
      <w:proofErr w:type="spellEnd"/>
      <w:r w:rsidRPr="00206C70">
        <w:rPr>
          <w:lang w:val="fr-CH"/>
        </w:rPr>
        <w:t xml:space="preserve"> </w:t>
      </w:r>
      <w:r>
        <w:rPr>
          <w:lang w:val="fr-CH"/>
        </w:rPr>
        <w:t xml:space="preserve">et le Bureau, a déterminé les moyens </w:t>
      </w:r>
      <w:r w:rsidRPr="00206C70">
        <w:rPr>
          <w:lang w:val="fr-CH"/>
        </w:rPr>
        <w:t>possibles</w:t>
      </w:r>
      <w:r>
        <w:rPr>
          <w:lang w:val="fr-CH"/>
        </w:rPr>
        <w:t xml:space="preserve"> d'assurer </w:t>
      </w:r>
      <w:r w:rsidR="007029FE">
        <w:rPr>
          <w:lang w:val="fr-CH"/>
        </w:rPr>
        <w:t>un</w:t>
      </w:r>
      <w:r>
        <w:rPr>
          <w:lang w:val="fr-CH"/>
        </w:rPr>
        <w:t xml:space="preserve"> contrôle des émissions dans les bandes </w:t>
      </w:r>
      <w:r w:rsidR="007029FE">
        <w:rPr>
          <w:lang w:val="fr-CH"/>
        </w:rPr>
        <w:t>405,</w:t>
      </w:r>
      <w:r w:rsidRPr="00206C70">
        <w:rPr>
          <w:lang w:val="fr-CH"/>
        </w:rPr>
        <w:t xml:space="preserve">9-406 MHz </w:t>
      </w:r>
      <w:r>
        <w:rPr>
          <w:lang w:val="fr-CH"/>
        </w:rPr>
        <w:t xml:space="preserve">et </w:t>
      </w:r>
      <w:r w:rsidR="007029FE">
        <w:rPr>
          <w:lang w:val="fr-CH"/>
        </w:rPr>
        <w:t>406,1-406,</w:t>
      </w:r>
      <w:r w:rsidRPr="00206C70">
        <w:rPr>
          <w:lang w:val="fr-CH"/>
        </w:rPr>
        <w:t xml:space="preserve">2 MHz </w:t>
      </w:r>
      <w:r>
        <w:rPr>
          <w:lang w:val="fr-CH"/>
        </w:rPr>
        <w:t xml:space="preserve">et a établi la liste des paramètres à mesurer. </w:t>
      </w:r>
      <w:r w:rsidRPr="00206C70">
        <w:rPr>
          <w:lang w:val="fr-CH"/>
        </w:rPr>
        <w:t>Cette liste figure dans la Recommandation</w:t>
      </w:r>
      <w:r>
        <w:rPr>
          <w:lang w:val="fr-CH"/>
        </w:rPr>
        <w:t xml:space="preserve"> </w:t>
      </w:r>
      <w:r w:rsidRPr="00206C70">
        <w:rPr>
          <w:lang w:val="fr-CH"/>
        </w:rPr>
        <w:t>UIT-R SM.1051-4</w:t>
      </w:r>
      <w:proofErr w:type="gramStart"/>
      <w:r w:rsidRPr="00206C70">
        <w:rPr>
          <w:lang w:val="fr-CH"/>
        </w:rPr>
        <w:t xml:space="preserve"> </w:t>
      </w:r>
      <w:r w:rsidR="007029FE">
        <w:rPr>
          <w:lang w:val="fr-CH"/>
        </w:rPr>
        <w:t>«</w:t>
      </w:r>
      <w:r w:rsidRPr="00206C70">
        <w:rPr>
          <w:lang w:val="fr-CH"/>
        </w:rPr>
        <w:t>Priorité</w:t>
      </w:r>
      <w:proofErr w:type="gramEnd"/>
      <w:r w:rsidRPr="00206C70">
        <w:rPr>
          <w:lang w:val="fr-CH"/>
        </w:rPr>
        <w:t xml:space="preserve"> accordée à l'identification et à la suppression des brouillages préjudi</w:t>
      </w:r>
      <w:r w:rsidR="007029FE">
        <w:rPr>
          <w:lang w:val="fr-CH"/>
        </w:rPr>
        <w:t>ciables dans la bande 406-406,1 </w:t>
      </w:r>
      <w:r w:rsidRPr="00206C70">
        <w:rPr>
          <w:lang w:val="fr-CH"/>
        </w:rPr>
        <w:t>MHz</w:t>
      </w:r>
      <w:r w:rsidR="007029FE">
        <w:rPr>
          <w:lang w:val="fr-CH"/>
        </w:rPr>
        <w:t>»</w:t>
      </w:r>
      <w:r>
        <w:rPr>
          <w:lang w:val="fr-CH"/>
        </w:rPr>
        <w:t>, qui a été approuvée par la Commission d'étude</w:t>
      </w:r>
      <w:r w:rsidR="007029FE">
        <w:rPr>
          <w:lang w:val="fr-CH"/>
        </w:rPr>
        <w:t>s</w:t>
      </w:r>
      <w:r>
        <w:rPr>
          <w:lang w:val="fr-CH"/>
        </w:rPr>
        <w:t xml:space="preserve"> 1 à sa réunion de juin 2018</w:t>
      </w:r>
      <w:r w:rsidR="007029FE">
        <w:rPr>
          <w:lang w:val="fr-CH"/>
        </w:rPr>
        <w:t>.</w:t>
      </w:r>
    </w:p>
    <w:p w:rsidR="005432EE" w:rsidRPr="00214E55" w:rsidRDefault="005432EE" w:rsidP="0094509A">
      <w:pPr>
        <w:spacing w:before="120" w:line="240" w:lineRule="auto"/>
        <w:rPr>
          <w:lang w:val="fr-CH"/>
        </w:rPr>
      </w:pPr>
      <w:r w:rsidRPr="00951D59">
        <w:rPr>
          <w:lang w:val="fr-CH"/>
        </w:rPr>
        <w:t>La présente Lettre circulaire a pour objet d'informer les membres que le Bureau</w:t>
      </w:r>
      <w:r>
        <w:rPr>
          <w:lang w:val="fr-CH"/>
        </w:rPr>
        <w:t xml:space="preserve"> est</w:t>
      </w:r>
      <w:r w:rsidR="007029FE">
        <w:rPr>
          <w:lang w:val="fr-CH"/>
        </w:rPr>
        <w:t xml:space="preserve"> désormais prêt à recevoir et </w:t>
      </w:r>
      <w:r>
        <w:rPr>
          <w:lang w:val="fr-CH"/>
        </w:rPr>
        <w:t>traiter les r</w:t>
      </w:r>
      <w:r w:rsidRPr="00951D59">
        <w:rPr>
          <w:lang w:val="fr-CH"/>
        </w:rPr>
        <w:t xml:space="preserve">apports sur </w:t>
      </w:r>
      <w:r w:rsidR="007029FE">
        <w:rPr>
          <w:lang w:val="fr-CH"/>
        </w:rPr>
        <w:t>le</w:t>
      </w:r>
      <w:r w:rsidRPr="00951D59">
        <w:rPr>
          <w:lang w:val="fr-CH"/>
        </w:rPr>
        <w:t xml:space="preserve"> contrôle des émissions</w:t>
      </w:r>
      <w:r>
        <w:rPr>
          <w:lang w:val="fr-CH"/>
        </w:rPr>
        <w:t xml:space="preserve"> dans les bandes </w:t>
      </w:r>
      <w:r w:rsidR="007029FE">
        <w:rPr>
          <w:lang w:val="fr-CH"/>
        </w:rPr>
        <w:t>405,</w:t>
      </w:r>
      <w:r w:rsidRPr="00951D59">
        <w:rPr>
          <w:lang w:val="fr-CH"/>
        </w:rPr>
        <w:t xml:space="preserve">9-406 MHz </w:t>
      </w:r>
      <w:r>
        <w:rPr>
          <w:lang w:val="fr-CH"/>
        </w:rPr>
        <w:t xml:space="preserve">et </w:t>
      </w:r>
      <w:r w:rsidRPr="00951D59">
        <w:rPr>
          <w:lang w:val="fr-CH"/>
        </w:rPr>
        <w:t>406</w:t>
      </w:r>
      <w:r w:rsidR="007029FE">
        <w:rPr>
          <w:lang w:val="fr-CH"/>
        </w:rPr>
        <w:t>,1-406,</w:t>
      </w:r>
      <w:r w:rsidRPr="00951D59">
        <w:rPr>
          <w:lang w:val="fr-CH"/>
        </w:rPr>
        <w:t>2 MHz.</w:t>
      </w:r>
      <w:r>
        <w:rPr>
          <w:lang w:val="fr-CH"/>
        </w:rPr>
        <w:t xml:space="preserve"> A cet égard, les administrations </w:t>
      </w:r>
      <w:r w:rsidRPr="00095F68">
        <w:rPr>
          <w:lang w:val="fr-CH"/>
        </w:rPr>
        <w:t>qui disposent de</w:t>
      </w:r>
      <w:r>
        <w:rPr>
          <w:lang w:val="fr-CH"/>
        </w:rPr>
        <w:t xml:space="preserve"> </w:t>
      </w:r>
      <w:r w:rsidRPr="00095F68">
        <w:rPr>
          <w:lang w:val="fr-CH"/>
        </w:rPr>
        <w:t xml:space="preserve">moyens </w:t>
      </w:r>
      <w:r>
        <w:rPr>
          <w:lang w:val="fr-CH"/>
        </w:rPr>
        <w:t xml:space="preserve">de contrôle des émissions dans ces bandes adjacentes sont instamment priées de participer au programme de contrôle des émissions et de rendre compte périodiquement des résultats au Bureau. </w:t>
      </w:r>
    </w:p>
    <w:p w:rsidR="005432EE" w:rsidRPr="00430414" w:rsidRDefault="005432EE" w:rsidP="006F00CC">
      <w:pPr>
        <w:spacing w:before="120" w:line="240" w:lineRule="auto"/>
        <w:rPr>
          <w:lang w:val="fr-CH"/>
        </w:rPr>
      </w:pPr>
      <w:r w:rsidRPr="00430414">
        <w:rPr>
          <w:lang w:val="fr-CH"/>
        </w:rPr>
        <w:t>Les paramètres à contrôler</w:t>
      </w:r>
      <w:r>
        <w:rPr>
          <w:lang w:val="fr-CH"/>
        </w:rPr>
        <w:t xml:space="preserve"> ainsi que </w:t>
      </w:r>
      <w:r w:rsidRPr="00430414">
        <w:rPr>
          <w:lang w:val="fr-CH"/>
        </w:rPr>
        <w:t>la périodicité et la durée des mesures sont indiqués dans l'</w:t>
      </w:r>
      <w:r w:rsidR="007029FE">
        <w:rPr>
          <w:lang w:val="fr-CH"/>
        </w:rPr>
        <w:t>A</w:t>
      </w:r>
      <w:r w:rsidRPr="00430414">
        <w:rPr>
          <w:lang w:val="fr-CH"/>
        </w:rPr>
        <w:t>nnexe de la présente Lettre circulaire</w:t>
      </w:r>
      <w:r>
        <w:rPr>
          <w:lang w:val="fr-CH"/>
        </w:rPr>
        <w:t xml:space="preserve"> </w:t>
      </w:r>
      <w:r w:rsidRPr="00430414">
        <w:rPr>
          <w:lang w:val="fr-CH"/>
        </w:rPr>
        <w:t>(</w:t>
      </w:r>
      <w:r w:rsidR="007029FE">
        <w:rPr>
          <w:lang w:val="fr-CH"/>
        </w:rPr>
        <w:t>qui est reprise de l'</w:t>
      </w:r>
      <w:r w:rsidRPr="00430414">
        <w:rPr>
          <w:lang w:val="fr-CH"/>
        </w:rPr>
        <w:t>Annex</w:t>
      </w:r>
      <w:r>
        <w:rPr>
          <w:lang w:val="fr-CH"/>
        </w:rPr>
        <w:t>e</w:t>
      </w:r>
      <w:r w:rsidRPr="00430414">
        <w:rPr>
          <w:lang w:val="fr-CH"/>
        </w:rPr>
        <w:t xml:space="preserve"> 3</w:t>
      </w:r>
      <w:r>
        <w:rPr>
          <w:lang w:val="fr-CH"/>
        </w:rPr>
        <w:t xml:space="preserve"> de la Recommandation </w:t>
      </w:r>
      <w:r w:rsidRPr="00430414">
        <w:rPr>
          <w:lang w:val="fr-CH"/>
        </w:rPr>
        <w:t>UIT</w:t>
      </w:r>
      <w:r w:rsidR="007029FE">
        <w:rPr>
          <w:lang w:val="fr-CH"/>
        </w:rPr>
        <w:noBreakHyphen/>
      </w:r>
      <w:r w:rsidRPr="00430414">
        <w:rPr>
          <w:lang w:val="fr-CH"/>
        </w:rPr>
        <w:t>R SM.1051-4).</w:t>
      </w:r>
      <w:r>
        <w:rPr>
          <w:lang w:val="fr-CH"/>
        </w:rPr>
        <w:t xml:space="preserve"> Les administrations sont invitées à </w:t>
      </w:r>
      <w:r w:rsidR="007029FE">
        <w:rPr>
          <w:lang w:val="fr-CH"/>
        </w:rPr>
        <w:t>envoyer</w:t>
      </w:r>
      <w:r>
        <w:rPr>
          <w:lang w:val="fr-CH"/>
        </w:rPr>
        <w:t xml:space="preserve"> leurs </w:t>
      </w:r>
      <w:r w:rsidRPr="00430414">
        <w:rPr>
          <w:lang w:val="fr-CH"/>
        </w:rPr>
        <w:t xml:space="preserve">rapports sur le contrôle des émissions </w:t>
      </w:r>
      <w:r>
        <w:rPr>
          <w:lang w:val="fr-CH"/>
        </w:rPr>
        <w:t xml:space="preserve">concernant les bandes de fréquences </w:t>
      </w:r>
      <w:r w:rsidRPr="00430414">
        <w:rPr>
          <w:lang w:val="fr-CH"/>
        </w:rPr>
        <w:t>405</w:t>
      </w:r>
      <w:r w:rsidR="006F00CC">
        <w:rPr>
          <w:lang w:val="fr-CH"/>
        </w:rPr>
        <w:t>,</w:t>
      </w:r>
      <w:r w:rsidRPr="00430414">
        <w:rPr>
          <w:lang w:val="fr-CH"/>
        </w:rPr>
        <w:t xml:space="preserve">9-406 MHz </w:t>
      </w:r>
      <w:r>
        <w:rPr>
          <w:lang w:val="fr-CH"/>
        </w:rPr>
        <w:t xml:space="preserve">et </w:t>
      </w:r>
      <w:r w:rsidR="006F00CC">
        <w:rPr>
          <w:lang w:val="fr-CH"/>
        </w:rPr>
        <w:t>406,1-406,</w:t>
      </w:r>
      <w:r w:rsidRPr="00430414">
        <w:rPr>
          <w:lang w:val="fr-CH"/>
        </w:rPr>
        <w:t>2 MHz</w:t>
      </w:r>
      <w:r>
        <w:rPr>
          <w:lang w:val="fr-CH"/>
        </w:rPr>
        <w:t xml:space="preserve"> à l'adresse </w:t>
      </w:r>
      <w:hyperlink r:id="rId8" w:history="1">
        <w:r w:rsidRPr="00430414">
          <w:rPr>
            <w:rStyle w:val="Hyperlink"/>
            <w:lang w:val="fr-CH"/>
          </w:rPr>
          <w:t>brtpr@itu.int</w:t>
        </w:r>
      </w:hyperlink>
      <w:r>
        <w:rPr>
          <w:lang w:val="fr-CH"/>
        </w:rPr>
        <w:t xml:space="preserve">, de préférence au format </w:t>
      </w:r>
      <w:r w:rsidRPr="00430414">
        <w:rPr>
          <w:lang w:val="fr-CH"/>
        </w:rPr>
        <w:t>Excel</w:t>
      </w:r>
      <w:r w:rsidR="007029FE">
        <w:rPr>
          <w:lang w:val="fr-CH"/>
        </w:rPr>
        <w:t>.</w:t>
      </w:r>
    </w:p>
    <w:p w:rsidR="005432EE" w:rsidRPr="00430414" w:rsidRDefault="005432EE" w:rsidP="00796E99">
      <w:pPr>
        <w:spacing w:before="120" w:line="240" w:lineRule="auto"/>
        <w:rPr>
          <w:rFonts w:asciiTheme="minorHAnsi" w:hAnsiTheme="minorHAnsi" w:cstheme="minorHAnsi"/>
          <w:lang w:val="fr-CH"/>
        </w:rPr>
      </w:pPr>
      <w:r w:rsidRPr="00430414">
        <w:rPr>
          <w:lang w:val="fr-CH"/>
        </w:rPr>
        <w:t>Le Bureau reste à la disposition de votre Administration pour toute précision dont elle pourrait avoir besoin concernant le sujet traité dans la présente Lettre circulaire</w:t>
      </w:r>
      <w:r w:rsidR="007029FE">
        <w:rPr>
          <w:lang w:val="fr-CH"/>
        </w:rPr>
        <w:t>.</w:t>
      </w:r>
      <w:r>
        <w:rPr>
          <w:lang w:val="fr-CH"/>
        </w:rPr>
        <w:t xml:space="preserve"> </w:t>
      </w:r>
      <w:r w:rsidRPr="00430414">
        <w:rPr>
          <w:lang w:val="fr-CH"/>
        </w:rPr>
        <w:t xml:space="preserve">Pour toute assistance, veuillez écrire à l'adresse </w:t>
      </w:r>
      <w:hyperlink r:id="rId9" w:history="1">
        <w:r w:rsidR="00796E99" w:rsidRPr="00796E99">
          <w:rPr>
            <w:rStyle w:val="Hyperlink"/>
            <w:lang w:val="fr-CH"/>
          </w:rPr>
          <w:t>brmail@itu.int</w:t>
        </w:r>
      </w:hyperlink>
      <w:r w:rsidRPr="00430414">
        <w:rPr>
          <w:lang w:val="fr-CH"/>
        </w:rPr>
        <w:t>.</w:t>
      </w:r>
      <w:r>
        <w:rPr>
          <w:lang w:val="fr-CH"/>
        </w:rPr>
        <w:t xml:space="preserve"> </w:t>
      </w:r>
    </w:p>
    <w:p w:rsidR="005432EE" w:rsidRPr="005432EE" w:rsidRDefault="005432EE" w:rsidP="00022DBF">
      <w:pPr>
        <w:spacing w:before="1080" w:line="240" w:lineRule="auto"/>
        <w:jc w:val="left"/>
        <w:rPr>
          <w:lang w:val="fr-CH"/>
        </w:rPr>
      </w:pPr>
      <w:r w:rsidRPr="005432EE">
        <w:rPr>
          <w:lang w:val="fr-CH"/>
        </w:rPr>
        <w:t>François Rancy</w:t>
      </w:r>
      <w:r w:rsidR="007029FE">
        <w:rPr>
          <w:lang w:val="fr-CH"/>
        </w:rPr>
        <w:br/>
      </w:r>
      <w:r w:rsidRPr="005432EE">
        <w:rPr>
          <w:lang w:val="fr-CH"/>
        </w:rPr>
        <w:t>Directeur</w:t>
      </w:r>
    </w:p>
    <w:p w:rsidR="005432EE" w:rsidRPr="007029FE" w:rsidRDefault="005432EE" w:rsidP="00022DBF">
      <w:pPr>
        <w:tabs>
          <w:tab w:val="clear" w:pos="794"/>
          <w:tab w:val="clear" w:pos="1191"/>
          <w:tab w:val="clear" w:pos="1588"/>
          <w:tab w:val="clear" w:pos="1985"/>
        </w:tabs>
        <w:overflowPunct/>
        <w:spacing w:before="1320" w:line="240" w:lineRule="auto"/>
        <w:textAlignment w:val="auto"/>
        <w:rPr>
          <w:rFonts w:asciiTheme="minorHAnsi" w:hAnsiTheme="minorHAnsi" w:cstheme="minorHAnsi"/>
          <w:b/>
          <w:bCs/>
          <w:sz w:val="18"/>
          <w:szCs w:val="18"/>
          <w:lang w:val="fr-CH"/>
        </w:rPr>
      </w:pPr>
      <w:r w:rsidRPr="007029FE">
        <w:rPr>
          <w:sz w:val="18"/>
          <w:szCs w:val="18"/>
          <w:lang w:val="fr-CH"/>
        </w:rPr>
        <w:t>Distribution</w:t>
      </w:r>
      <w:r w:rsidRPr="007029FE">
        <w:rPr>
          <w:rFonts w:asciiTheme="minorHAnsi" w:hAnsiTheme="minorHAnsi" w:cstheme="minorHAnsi"/>
          <w:b/>
          <w:bCs/>
          <w:sz w:val="18"/>
          <w:szCs w:val="18"/>
          <w:lang w:val="fr-CH"/>
        </w:rPr>
        <w:t>:</w:t>
      </w:r>
    </w:p>
    <w:p w:rsidR="005432EE" w:rsidRPr="007029FE" w:rsidRDefault="005432EE" w:rsidP="0094509A">
      <w:pPr>
        <w:pStyle w:val="enumlev1"/>
        <w:tabs>
          <w:tab w:val="clear" w:pos="794"/>
          <w:tab w:val="left" w:pos="284"/>
        </w:tabs>
        <w:spacing w:before="120" w:line="240" w:lineRule="auto"/>
        <w:jc w:val="left"/>
        <w:rPr>
          <w:sz w:val="18"/>
          <w:szCs w:val="18"/>
          <w:lang w:val="fr-CH"/>
        </w:rPr>
      </w:pPr>
      <w:bookmarkStart w:id="1" w:name="CurrentLocation"/>
      <w:bookmarkEnd w:id="1"/>
      <w:r w:rsidRPr="007029FE">
        <w:rPr>
          <w:sz w:val="18"/>
          <w:szCs w:val="18"/>
          <w:lang w:val="fr-CH"/>
        </w:rPr>
        <w:t>–</w:t>
      </w:r>
      <w:r w:rsidRPr="007029FE">
        <w:rPr>
          <w:sz w:val="18"/>
          <w:szCs w:val="18"/>
          <w:lang w:val="fr-CH"/>
        </w:rPr>
        <w:tab/>
        <w:t>Administrations des Etats Membres de l'UIT</w:t>
      </w:r>
    </w:p>
    <w:p w:rsidR="005432EE" w:rsidRPr="007029FE" w:rsidRDefault="005432EE" w:rsidP="0094509A">
      <w:pPr>
        <w:pStyle w:val="enumlev1"/>
        <w:tabs>
          <w:tab w:val="clear" w:pos="794"/>
          <w:tab w:val="left" w:pos="284"/>
        </w:tabs>
        <w:spacing w:before="0" w:line="240" w:lineRule="auto"/>
        <w:jc w:val="left"/>
        <w:rPr>
          <w:b/>
          <w:sz w:val="18"/>
          <w:szCs w:val="18"/>
          <w:lang w:val="fr-CH"/>
        </w:rPr>
      </w:pPr>
      <w:r w:rsidRPr="007029FE">
        <w:rPr>
          <w:sz w:val="18"/>
          <w:szCs w:val="18"/>
          <w:lang w:val="fr-CH"/>
        </w:rPr>
        <w:t>–</w:t>
      </w:r>
      <w:r w:rsidRPr="007029FE">
        <w:rPr>
          <w:sz w:val="18"/>
          <w:szCs w:val="18"/>
          <w:lang w:val="fr-CH"/>
        </w:rPr>
        <w:tab/>
        <w:t>Membres du Comité du Règlement des radiocommunications</w:t>
      </w:r>
    </w:p>
    <w:p w:rsidR="005432EE" w:rsidRPr="008E5BA3" w:rsidRDefault="005432EE" w:rsidP="0094509A">
      <w:pPr>
        <w:tabs>
          <w:tab w:val="clear" w:pos="794"/>
          <w:tab w:val="clear" w:pos="1191"/>
          <w:tab w:val="clear" w:pos="1588"/>
          <w:tab w:val="clear" w:pos="1985"/>
        </w:tabs>
        <w:overflowPunct/>
        <w:autoSpaceDE/>
        <w:autoSpaceDN/>
        <w:adjustRightInd/>
        <w:spacing w:before="0" w:line="240" w:lineRule="auto"/>
        <w:jc w:val="left"/>
        <w:textAlignment w:val="auto"/>
        <w:rPr>
          <w:b/>
          <w:szCs w:val="24"/>
          <w:lang w:val="fr-CH"/>
        </w:rPr>
      </w:pPr>
      <w:r w:rsidRPr="008E5BA3">
        <w:rPr>
          <w:szCs w:val="24"/>
          <w:lang w:val="fr-CH"/>
        </w:rPr>
        <w:br w:type="page"/>
      </w:r>
    </w:p>
    <w:p w:rsidR="003B2525" w:rsidRDefault="0094509A" w:rsidP="003B2525">
      <w:pPr>
        <w:pStyle w:val="AnnexNoTitle"/>
        <w:spacing w:before="360" w:after="240" w:line="240" w:lineRule="auto"/>
        <w:rPr>
          <w:sz w:val="28"/>
          <w:szCs w:val="28"/>
          <w:lang w:val="fr-CH"/>
        </w:rPr>
      </w:pPr>
      <w:bookmarkStart w:id="2" w:name="asunto"/>
      <w:bookmarkEnd w:id="2"/>
      <w:r w:rsidRPr="0094509A">
        <w:rPr>
          <w:sz w:val="28"/>
          <w:szCs w:val="28"/>
          <w:lang w:val="fr-CH"/>
        </w:rPr>
        <w:lastRenderedPageBreak/>
        <w:t>Annexe</w:t>
      </w:r>
    </w:p>
    <w:p w:rsidR="005432EE" w:rsidRPr="0094509A" w:rsidRDefault="005432EE" w:rsidP="003B2525">
      <w:pPr>
        <w:pStyle w:val="AnnexNoTitle"/>
        <w:spacing w:before="360" w:after="240" w:line="240" w:lineRule="auto"/>
        <w:rPr>
          <w:sz w:val="28"/>
          <w:szCs w:val="28"/>
          <w:lang w:val="fr-CH"/>
        </w:rPr>
      </w:pPr>
      <w:r w:rsidRPr="0094509A">
        <w:rPr>
          <w:sz w:val="28"/>
          <w:szCs w:val="28"/>
          <w:lang w:val="fr-CH"/>
        </w:rPr>
        <w:t>Liste des paramètres à contrôler dans les bandes de fréquences 405</w:t>
      </w:r>
      <w:r w:rsidR="007029FE" w:rsidRPr="0094509A">
        <w:rPr>
          <w:sz w:val="28"/>
          <w:szCs w:val="28"/>
          <w:lang w:val="fr-CH"/>
        </w:rPr>
        <w:t>,</w:t>
      </w:r>
      <w:r w:rsidRPr="0094509A">
        <w:rPr>
          <w:sz w:val="28"/>
          <w:szCs w:val="28"/>
          <w:lang w:val="fr-CH"/>
        </w:rPr>
        <w:t>9-406 MHz et</w:t>
      </w:r>
      <w:r w:rsidR="0094509A">
        <w:rPr>
          <w:sz w:val="28"/>
          <w:szCs w:val="28"/>
          <w:lang w:val="fr-CH"/>
        </w:rPr>
        <w:t> </w:t>
      </w:r>
      <w:r w:rsidRPr="0094509A">
        <w:rPr>
          <w:sz w:val="28"/>
          <w:szCs w:val="28"/>
          <w:lang w:val="fr-CH"/>
        </w:rPr>
        <w:t>406</w:t>
      </w:r>
      <w:r w:rsidR="007029FE" w:rsidRPr="0094509A">
        <w:rPr>
          <w:sz w:val="28"/>
          <w:szCs w:val="28"/>
          <w:lang w:val="fr-CH"/>
        </w:rPr>
        <w:t>,</w:t>
      </w:r>
      <w:r w:rsidRPr="0094509A">
        <w:rPr>
          <w:sz w:val="28"/>
          <w:szCs w:val="28"/>
          <w:lang w:val="fr-CH"/>
        </w:rPr>
        <w:t>1-406</w:t>
      </w:r>
      <w:r w:rsidR="007029FE" w:rsidRPr="0094509A">
        <w:rPr>
          <w:sz w:val="28"/>
          <w:szCs w:val="28"/>
          <w:lang w:val="fr-CH"/>
        </w:rPr>
        <w:t>,</w:t>
      </w:r>
      <w:r w:rsidRPr="0094509A">
        <w:rPr>
          <w:sz w:val="28"/>
          <w:szCs w:val="28"/>
          <w:lang w:val="fr-CH"/>
        </w:rPr>
        <w:t>2 MHz et autres renseignements connexes</w:t>
      </w:r>
    </w:p>
    <w:p w:rsidR="005432EE" w:rsidRPr="0094509A" w:rsidRDefault="0094509A" w:rsidP="003B2525">
      <w:pPr>
        <w:pStyle w:val="Heading1"/>
        <w:spacing w:before="240"/>
        <w:rPr>
          <w:lang w:val="fr-CH"/>
        </w:rPr>
      </w:pPr>
      <w:r w:rsidRPr="0094509A">
        <w:rPr>
          <w:lang w:val="fr-CH"/>
        </w:rPr>
        <w:t>1</w:t>
      </w:r>
      <w:r w:rsidRPr="0094509A">
        <w:rPr>
          <w:lang w:val="fr-CH"/>
        </w:rPr>
        <w:tab/>
      </w:r>
      <w:r w:rsidR="005432EE" w:rsidRPr="0094509A">
        <w:rPr>
          <w:lang w:val="fr-CH"/>
        </w:rPr>
        <w:t>Renseignements demandés en cas de contrôle des émissions de Terre</w:t>
      </w:r>
    </w:p>
    <w:p w:rsidR="005432EE" w:rsidRPr="0094509A" w:rsidRDefault="0094509A" w:rsidP="003B2525">
      <w:pPr>
        <w:pStyle w:val="enumlev1"/>
        <w:spacing w:before="60"/>
        <w:rPr>
          <w:lang w:val="fr-CH"/>
        </w:rPr>
      </w:pPr>
      <w:r w:rsidRPr="0094509A">
        <w:rPr>
          <w:lang w:val="fr-CH"/>
        </w:rPr>
        <w:t>•</w:t>
      </w:r>
      <w:r w:rsidRPr="0094509A">
        <w:rPr>
          <w:lang w:val="fr-CH"/>
        </w:rPr>
        <w:tab/>
      </w:r>
      <w:r w:rsidR="005432EE" w:rsidRPr="0094509A">
        <w:rPr>
          <w:lang w:val="fr-CH"/>
        </w:rPr>
        <w:t xml:space="preserve">Emplacement du récepteur de contrôle (latitude, longitude, pays, </w:t>
      </w:r>
      <w:r w:rsidR="007029FE" w:rsidRPr="0094509A">
        <w:rPr>
          <w:lang w:val="fr-CH"/>
        </w:rPr>
        <w:t>grande ville la plus proche</w:t>
      </w:r>
      <w:r w:rsidR="005432EE" w:rsidRPr="0094509A">
        <w:rPr>
          <w:lang w:val="fr-CH"/>
        </w:rPr>
        <w:t>).</w:t>
      </w:r>
    </w:p>
    <w:p w:rsidR="005432EE" w:rsidRPr="0094509A" w:rsidRDefault="0094509A" w:rsidP="003B2525">
      <w:pPr>
        <w:pStyle w:val="enumlev1"/>
        <w:spacing w:before="60"/>
        <w:rPr>
          <w:lang w:val="fr-CH"/>
        </w:rPr>
      </w:pPr>
      <w:r w:rsidRPr="0094509A">
        <w:rPr>
          <w:lang w:val="fr-CH"/>
        </w:rPr>
        <w:t>•</w:t>
      </w:r>
      <w:r w:rsidRPr="0094509A">
        <w:rPr>
          <w:lang w:val="fr-CH"/>
        </w:rPr>
        <w:tab/>
      </w:r>
      <w:r w:rsidR="005432EE" w:rsidRPr="0094509A">
        <w:rPr>
          <w:lang w:val="fr-CH"/>
        </w:rPr>
        <w:t>Heure de début/fin pendant la période de contrôle des émissions</w:t>
      </w:r>
      <w:r w:rsidRPr="0094509A">
        <w:rPr>
          <w:lang w:val="fr-CH"/>
        </w:rPr>
        <w:t>.</w:t>
      </w:r>
    </w:p>
    <w:p w:rsidR="005432EE" w:rsidRPr="0094509A" w:rsidRDefault="0094509A" w:rsidP="003B2525">
      <w:pPr>
        <w:pStyle w:val="enumlev1"/>
        <w:spacing w:before="60"/>
        <w:rPr>
          <w:lang w:val="fr-CH"/>
        </w:rPr>
      </w:pPr>
      <w:r w:rsidRPr="0094509A">
        <w:rPr>
          <w:lang w:val="fr-CH"/>
        </w:rPr>
        <w:t>•</w:t>
      </w:r>
      <w:r w:rsidRPr="0094509A">
        <w:rPr>
          <w:lang w:val="fr-CH"/>
        </w:rPr>
        <w:tab/>
        <w:t>C</w:t>
      </w:r>
      <w:r w:rsidR="005432EE" w:rsidRPr="0094509A">
        <w:rPr>
          <w:lang w:val="fr-CH"/>
        </w:rPr>
        <w:t xml:space="preserve">hamp électrique moyen, minimal et maximal en </w:t>
      </w:r>
      <w:proofErr w:type="spellStart"/>
      <w:r w:rsidR="005432EE" w:rsidRPr="0094509A">
        <w:rPr>
          <w:lang w:val="fr-CH"/>
        </w:rPr>
        <w:t>dBµV</w:t>
      </w:r>
      <w:proofErr w:type="spellEnd"/>
      <w:r w:rsidR="005432EE" w:rsidRPr="0094509A">
        <w:rPr>
          <w:lang w:val="fr-CH"/>
        </w:rPr>
        <w:t xml:space="preserve">/m (détecteur de moyenne </w:t>
      </w:r>
      <w:r w:rsidRPr="0094509A">
        <w:rPr>
          <w:lang w:val="fr-CH"/>
        </w:rPr>
        <w:t xml:space="preserve">linéaire </w:t>
      </w:r>
      <w:r w:rsidR="005432EE" w:rsidRPr="0094509A">
        <w:rPr>
          <w:lang w:val="fr-CH"/>
        </w:rPr>
        <w:t xml:space="preserve">ou </w:t>
      </w:r>
      <w:r w:rsidRPr="0094509A">
        <w:rPr>
          <w:lang w:val="fr-CH"/>
        </w:rPr>
        <w:t xml:space="preserve">de </w:t>
      </w:r>
      <w:r w:rsidR="005432EE" w:rsidRPr="0094509A">
        <w:rPr>
          <w:lang w:val="fr-CH"/>
        </w:rPr>
        <w:t xml:space="preserve">moyenne), puissance reçue minimale et maximale en </w:t>
      </w:r>
      <w:proofErr w:type="spellStart"/>
      <w:r w:rsidR="005432EE" w:rsidRPr="0094509A">
        <w:rPr>
          <w:lang w:val="fr-CH"/>
        </w:rPr>
        <w:t>dBµW</w:t>
      </w:r>
      <w:proofErr w:type="spellEnd"/>
      <w:r w:rsidR="005432EE" w:rsidRPr="0094509A">
        <w:rPr>
          <w:lang w:val="fr-CH"/>
        </w:rPr>
        <w:t xml:space="preserve"> (</w:t>
      </w:r>
      <w:r w:rsidRPr="0094509A">
        <w:rPr>
          <w:lang w:val="fr-CH"/>
        </w:rPr>
        <w:t>d</w:t>
      </w:r>
      <w:r w:rsidR="005432EE" w:rsidRPr="0094509A">
        <w:rPr>
          <w:lang w:val="fr-CH"/>
        </w:rPr>
        <w:t>étecteur de moyenne</w:t>
      </w:r>
      <w:r w:rsidRPr="0094509A">
        <w:rPr>
          <w:lang w:val="fr-CH"/>
        </w:rPr>
        <w:t xml:space="preserve"> logarithmique</w:t>
      </w:r>
      <w:r w:rsidR="005432EE" w:rsidRPr="0094509A">
        <w:rPr>
          <w:lang w:val="fr-CH"/>
        </w:rPr>
        <w:t>) reçue par l'antenne du dispositif de contrôle des émissions dans la bande de fréquences 405</w:t>
      </w:r>
      <w:r w:rsidRPr="0094509A">
        <w:rPr>
          <w:lang w:val="fr-CH"/>
        </w:rPr>
        <w:t>,9-406 MHz.</w:t>
      </w:r>
    </w:p>
    <w:p w:rsidR="005432EE" w:rsidRPr="0094509A" w:rsidRDefault="0094509A" w:rsidP="003B2525">
      <w:pPr>
        <w:pStyle w:val="enumlev1"/>
        <w:spacing w:before="60"/>
        <w:rPr>
          <w:lang w:val="fr-CH"/>
        </w:rPr>
      </w:pPr>
      <w:r w:rsidRPr="0094509A">
        <w:rPr>
          <w:lang w:val="fr-CH"/>
        </w:rPr>
        <w:t>•</w:t>
      </w:r>
      <w:r w:rsidRPr="0094509A">
        <w:rPr>
          <w:lang w:val="fr-CH"/>
        </w:rPr>
        <w:tab/>
        <w:t>C</w:t>
      </w:r>
      <w:r w:rsidR="005432EE" w:rsidRPr="0094509A">
        <w:rPr>
          <w:lang w:val="fr-CH"/>
        </w:rPr>
        <w:t xml:space="preserve">hamp électrique moyen, minimal et maximal en </w:t>
      </w:r>
      <w:proofErr w:type="spellStart"/>
      <w:r w:rsidR="005432EE" w:rsidRPr="0094509A">
        <w:rPr>
          <w:lang w:val="fr-CH"/>
        </w:rPr>
        <w:t>dBµV</w:t>
      </w:r>
      <w:proofErr w:type="spellEnd"/>
      <w:r w:rsidR="005432EE" w:rsidRPr="0094509A">
        <w:rPr>
          <w:lang w:val="fr-CH"/>
        </w:rPr>
        <w:t xml:space="preserve">/m (détecteur de moyenne </w:t>
      </w:r>
      <w:r w:rsidRPr="0094509A">
        <w:rPr>
          <w:lang w:val="fr-CH"/>
        </w:rPr>
        <w:t xml:space="preserve">linéaire </w:t>
      </w:r>
      <w:r w:rsidR="005432EE" w:rsidRPr="0094509A">
        <w:rPr>
          <w:lang w:val="fr-CH"/>
        </w:rPr>
        <w:t xml:space="preserve">ou </w:t>
      </w:r>
      <w:r w:rsidRPr="0094509A">
        <w:rPr>
          <w:lang w:val="fr-CH"/>
        </w:rPr>
        <w:t xml:space="preserve">de </w:t>
      </w:r>
      <w:r w:rsidR="005432EE" w:rsidRPr="0094509A">
        <w:rPr>
          <w:lang w:val="fr-CH"/>
        </w:rPr>
        <w:t xml:space="preserve">moyenne), puissance reçue minimale et maximale en </w:t>
      </w:r>
      <w:proofErr w:type="spellStart"/>
      <w:r w:rsidR="005432EE" w:rsidRPr="0094509A">
        <w:rPr>
          <w:lang w:val="fr-CH"/>
        </w:rPr>
        <w:t>dBµW</w:t>
      </w:r>
      <w:proofErr w:type="spellEnd"/>
      <w:r w:rsidR="005432EE" w:rsidRPr="0094509A">
        <w:rPr>
          <w:lang w:val="fr-CH"/>
        </w:rPr>
        <w:t xml:space="preserve"> (</w:t>
      </w:r>
      <w:r w:rsidRPr="0094509A">
        <w:rPr>
          <w:lang w:val="fr-CH"/>
        </w:rPr>
        <w:t>d</w:t>
      </w:r>
      <w:r w:rsidR="005432EE" w:rsidRPr="0094509A">
        <w:rPr>
          <w:lang w:val="fr-CH"/>
        </w:rPr>
        <w:t xml:space="preserve">étecteur de moyenne </w:t>
      </w:r>
      <w:r w:rsidRPr="0094509A">
        <w:rPr>
          <w:lang w:val="fr-CH"/>
        </w:rPr>
        <w:t>logarithmique</w:t>
      </w:r>
      <w:r w:rsidR="005432EE" w:rsidRPr="0094509A">
        <w:rPr>
          <w:lang w:val="fr-CH"/>
        </w:rPr>
        <w:t>) reçue par l'antenne du dispositif de contrôle des émissions dans la bande de fréquences 406</w:t>
      </w:r>
      <w:r w:rsidRPr="0094509A">
        <w:rPr>
          <w:lang w:val="fr-CH"/>
        </w:rPr>
        <w:t>,</w:t>
      </w:r>
      <w:r w:rsidR="005432EE" w:rsidRPr="0094509A">
        <w:rPr>
          <w:lang w:val="fr-CH"/>
        </w:rPr>
        <w:t>1-406</w:t>
      </w:r>
      <w:r w:rsidRPr="0094509A">
        <w:rPr>
          <w:lang w:val="fr-CH"/>
        </w:rPr>
        <w:t>,</w:t>
      </w:r>
      <w:r w:rsidR="005432EE" w:rsidRPr="0094509A">
        <w:rPr>
          <w:lang w:val="fr-CH"/>
        </w:rPr>
        <w:t>2 MHz</w:t>
      </w:r>
      <w:r w:rsidRPr="0094509A">
        <w:rPr>
          <w:lang w:val="fr-CH"/>
        </w:rPr>
        <w:t>.</w:t>
      </w:r>
    </w:p>
    <w:p w:rsidR="005432EE" w:rsidRPr="0064455F" w:rsidRDefault="005432EE" w:rsidP="003B2525">
      <w:pPr>
        <w:tabs>
          <w:tab w:val="left" w:pos="426"/>
        </w:tabs>
        <w:spacing w:before="120" w:line="240" w:lineRule="auto"/>
        <w:rPr>
          <w:lang w:val="fr-CH"/>
        </w:rPr>
      </w:pPr>
      <w:r w:rsidRPr="0064455F">
        <w:rPr>
          <w:lang w:val="fr-CH"/>
        </w:rPr>
        <w:t>Si une émission est détectée, la base de données contiendra les paramètres suivants</w:t>
      </w:r>
      <w:r w:rsidR="0094509A">
        <w:rPr>
          <w:lang w:val="fr-CH"/>
        </w:rPr>
        <w:t>:</w:t>
      </w:r>
      <w:r>
        <w:rPr>
          <w:lang w:val="fr-CH"/>
        </w:rPr>
        <w:t xml:space="preserve"> </w:t>
      </w:r>
    </w:p>
    <w:p w:rsidR="005432EE" w:rsidRPr="0094509A" w:rsidRDefault="0094509A" w:rsidP="003B2525">
      <w:pPr>
        <w:pStyle w:val="enumlev1"/>
        <w:spacing w:before="60"/>
        <w:rPr>
          <w:lang w:val="fr-CH"/>
        </w:rPr>
      </w:pPr>
      <w:r w:rsidRPr="0094509A">
        <w:rPr>
          <w:lang w:val="fr-CH"/>
        </w:rPr>
        <w:t>•</w:t>
      </w:r>
      <w:r w:rsidRPr="0094509A">
        <w:rPr>
          <w:lang w:val="fr-CH"/>
        </w:rPr>
        <w:tab/>
      </w:r>
      <w:r w:rsidR="005432EE" w:rsidRPr="0094509A">
        <w:rPr>
          <w:lang w:val="fr-CH"/>
        </w:rPr>
        <w:t>Fréquence centrale pour une largeur de bande de transmission donnée (largeur de bande de résolution de l'ordre de 100 Hz)</w:t>
      </w:r>
      <w:r w:rsidR="008D2F0B">
        <w:rPr>
          <w:lang w:val="fr-CH"/>
        </w:rPr>
        <w:t>.</w:t>
      </w:r>
    </w:p>
    <w:p w:rsidR="005432EE" w:rsidRPr="0094509A" w:rsidRDefault="0094509A" w:rsidP="003B2525">
      <w:pPr>
        <w:pStyle w:val="enumlev1"/>
        <w:spacing w:before="60"/>
        <w:rPr>
          <w:lang w:val="fr-CH"/>
        </w:rPr>
      </w:pPr>
      <w:r w:rsidRPr="0094509A">
        <w:rPr>
          <w:lang w:val="fr-CH"/>
        </w:rPr>
        <w:t>•</w:t>
      </w:r>
      <w:r w:rsidRPr="0094509A">
        <w:rPr>
          <w:lang w:val="fr-CH"/>
        </w:rPr>
        <w:tab/>
      </w:r>
      <w:r w:rsidR="005432EE" w:rsidRPr="0094509A">
        <w:rPr>
          <w:lang w:val="fr-CH"/>
        </w:rPr>
        <w:t>Largeur de bande obtenue pour chaque observation</w:t>
      </w:r>
      <w:r w:rsidR="008D2F0B">
        <w:rPr>
          <w:lang w:val="fr-CH"/>
        </w:rPr>
        <w:t>.</w:t>
      </w:r>
    </w:p>
    <w:p w:rsidR="005432EE" w:rsidRPr="0094509A" w:rsidRDefault="0094509A" w:rsidP="003B2525">
      <w:pPr>
        <w:pStyle w:val="enumlev1"/>
        <w:spacing w:before="60"/>
        <w:rPr>
          <w:lang w:val="fr-CH"/>
        </w:rPr>
      </w:pPr>
      <w:r w:rsidRPr="0094509A">
        <w:rPr>
          <w:lang w:val="fr-CH"/>
        </w:rPr>
        <w:t>•</w:t>
      </w:r>
      <w:r w:rsidRPr="0094509A">
        <w:rPr>
          <w:lang w:val="fr-CH"/>
        </w:rPr>
        <w:tab/>
      </w:r>
      <w:r w:rsidR="005432EE" w:rsidRPr="0094509A">
        <w:rPr>
          <w:lang w:val="fr-CH"/>
        </w:rPr>
        <w:t xml:space="preserve">Champ électrique en </w:t>
      </w:r>
      <w:proofErr w:type="spellStart"/>
      <w:r w:rsidR="005432EE" w:rsidRPr="0094509A">
        <w:rPr>
          <w:lang w:val="fr-CH"/>
        </w:rPr>
        <w:t>dBµV</w:t>
      </w:r>
      <w:proofErr w:type="spellEnd"/>
      <w:r w:rsidR="005432EE" w:rsidRPr="0094509A">
        <w:rPr>
          <w:lang w:val="fr-CH"/>
        </w:rPr>
        <w:t>/m reçu par l'antenne du dispositif de contrôle des émissions</w:t>
      </w:r>
      <w:r w:rsidR="008D2F0B">
        <w:rPr>
          <w:lang w:val="fr-CH"/>
        </w:rPr>
        <w:t>.</w:t>
      </w:r>
    </w:p>
    <w:p w:rsidR="005432EE" w:rsidRPr="0094509A" w:rsidRDefault="0094509A" w:rsidP="003B2525">
      <w:pPr>
        <w:pStyle w:val="enumlev1"/>
        <w:spacing w:before="60"/>
        <w:rPr>
          <w:lang w:val="fr-CH"/>
        </w:rPr>
      </w:pPr>
      <w:r w:rsidRPr="0094509A">
        <w:rPr>
          <w:lang w:val="fr-CH"/>
        </w:rPr>
        <w:t>•</w:t>
      </w:r>
      <w:r w:rsidRPr="0094509A">
        <w:rPr>
          <w:lang w:val="fr-CH"/>
        </w:rPr>
        <w:tab/>
      </w:r>
      <w:r w:rsidR="005432EE" w:rsidRPr="0094509A">
        <w:rPr>
          <w:lang w:val="fr-CH"/>
        </w:rPr>
        <w:t>Si les mesures sont effectuées au moyen d'une antenne directive, azimut de réception</w:t>
      </w:r>
      <w:r w:rsidR="008D2F0B">
        <w:rPr>
          <w:lang w:val="fr-CH"/>
        </w:rPr>
        <w:t>.</w:t>
      </w:r>
    </w:p>
    <w:p w:rsidR="005432EE" w:rsidRPr="0064455F" w:rsidRDefault="005432EE" w:rsidP="003B2525">
      <w:pPr>
        <w:spacing w:before="120" w:line="240" w:lineRule="auto"/>
        <w:rPr>
          <w:lang w:val="fr-CH"/>
        </w:rPr>
      </w:pPr>
      <w:r w:rsidRPr="0064455F">
        <w:rPr>
          <w:lang w:val="fr-CH"/>
        </w:rPr>
        <w:t>D'autres résultats du contrôle des émissions p</w:t>
      </w:r>
      <w:r>
        <w:rPr>
          <w:lang w:val="fr-CH"/>
        </w:rPr>
        <w:t>euvent</w:t>
      </w:r>
      <w:r w:rsidRPr="0064455F">
        <w:rPr>
          <w:lang w:val="fr-CH"/>
        </w:rPr>
        <w:t xml:space="preserve"> être fournis,</w:t>
      </w:r>
      <w:r w:rsidRPr="0064455F">
        <w:rPr>
          <w:color w:val="000000"/>
          <w:lang w:val="fr-CH"/>
        </w:rPr>
        <w:t xml:space="preserve"> s'il y a lieu</w:t>
      </w:r>
      <w:r>
        <w:rPr>
          <w:color w:val="000000"/>
          <w:lang w:val="fr-CH"/>
        </w:rPr>
        <w:t xml:space="preserve">, </w:t>
      </w:r>
      <w:r>
        <w:rPr>
          <w:lang w:val="fr-CH"/>
        </w:rPr>
        <w:t>par exemple l'</w:t>
      </w:r>
      <w:r w:rsidRPr="0064455F">
        <w:rPr>
          <w:color w:val="000000"/>
          <w:lang w:val="fr-CH"/>
        </w:rPr>
        <w:t>occupation des canaux</w:t>
      </w:r>
      <w:r w:rsidR="008D2F0B">
        <w:rPr>
          <w:color w:val="000000"/>
          <w:lang w:val="fr-CH"/>
        </w:rPr>
        <w:t>.</w:t>
      </w:r>
    </w:p>
    <w:p w:rsidR="005432EE" w:rsidRPr="006225A2" w:rsidRDefault="005432EE" w:rsidP="0094509A">
      <w:pPr>
        <w:spacing w:before="120" w:line="240" w:lineRule="auto"/>
        <w:rPr>
          <w:lang w:val="fr-CH"/>
        </w:rPr>
      </w:pPr>
      <w:r w:rsidRPr="006225A2">
        <w:rPr>
          <w:lang w:val="fr-CH"/>
        </w:rPr>
        <w:t xml:space="preserve">Les administrations qui souhaitent fournir des données devraient mener </w:t>
      </w:r>
      <w:r>
        <w:rPr>
          <w:lang w:val="fr-CH"/>
        </w:rPr>
        <w:t xml:space="preserve">périodiquement </w:t>
      </w:r>
      <w:r w:rsidRPr="006225A2">
        <w:rPr>
          <w:lang w:val="fr-CH"/>
        </w:rPr>
        <w:t>des campagnes de contrôle des émissions</w:t>
      </w:r>
      <w:r>
        <w:rPr>
          <w:lang w:val="fr-CH"/>
        </w:rPr>
        <w:t xml:space="preserve"> </w:t>
      </w:r>
      <w:r w:rsidRPr="006225A2">
        <w:rPr>
          <w:lang w:val="fr-CH"/>
        </w:rPr>
        <w:t>(</w:t>
      </w:r>
      <w:r>
        <w:rPr>
          <w:lang w:val="fr-CH"/>
        </w:rPr>
        <w:t>pa</w:t>
      </w:r>
      <w:r w:rsidR="0094509A">
        <w:rPr>
          <w:lang w:val="fr-CH"/>
        </w:rPr>
        <w:t>r exemple plusieurs fois par an</w:t>
      </w:r>
      <w:r>
        <w:rPr>
          <w:lang w:val="fr-CH"/>
        </w:rPr>
        <w:t>, si possible). La durée d'une campagne de contrôle des émissions devrait être optimisée en fonction du type d'observation</w:t>
      </w:r>
      <w:r w:rsidR="0094509A">
        <w:rPr>
          <w:lang w:val="fr-CH"/>
        </w:rPr>
        <w:t>:</w:t>
      </w:r>
      <w:r>
        <w:rPr>
          <w:lang w:val="fr-CH"/>
        </w:rPr>
        <w:t xml:space="preserve"> </w:t>
      </w:r>
      <w:r w:rsidRPr="006225A2">
        <w:rPr>
          <w:lang w:val="fr-CH"/>
        </w:rPr>
        <w:t>fixe</w:t>
      </w:r>
      <w:r>
        <w:rPr>
          <w:lang w:val="fr-CH"/>
        </w:rPr>
        <w:t xml:space="preserve"> </w:t>
      </w:r>
      <w:r w:rsidRPr="006225A2">
        <w:rPr>
          <w:lang w:val="fr-CH"/>
        </w:rPr>
        <w:t>(</w:t>
      </w:r>
      <w:r>
        <w:rPr>
          <w:lang w:val="fr-CH"/>
        </w:rPr>
        <w:t>en général 2 jours</w:t>
      </w:r>
      <w:r w:rsidRPr="006225A2">
        <w:rPr>
          <w:lang w:val="fr-CH"/>
        </w:rPr>
        <w:t>).</w:t>
      </w:r>
    </w:p>
    <w:p w:rsidR="005432EE" w:rsidRPr="0094509A" w:rsidRDefault="0094509A" w:rsidP="003B2525">
      <w:pPr>
        <w:pStyle w:val="Heading1"/>
        <w:spacing w:before="360"/>
        <w:rPr>
          <w:lang w:val="fr-CH"/>
        </w:rPr>
      </w:pPr>
      <w:r>
        <w:rPr>
          <w:lang w:val="fr-CH"/>
        </w:rPr>
        <w:t>2</w:t>
      </w:r>
      <w:r>
        <w:rPr>
          <w:lang w:val="fr-CH"/>
        </w:rPr>
        <w:tab/>
      </w:r>
      <w:r w:rsidR="005432EE" w:rsidRPr="0094509A">
        <w:rPr>
          <w:lang w:val="fr-CH"/>
        </w:rPr>
        <w:t>Renseignements demandés en cas de contrôle des émissions au moyen de satellites</w:t>
      </w:r>
    </w:p>
    <w:p w:rsidR="005432EE" w:rsidRPr="006225A2" w:rsidRDefault="005432EE" w:rsidP="003B2525">
      <w:pPr>
        <w:spacing w:before="120" w:line="240" w:lineRule="auto"/>
        <w:rPr>
          <w:rFonts w:eastAsiaTheme="minorHAnsi"/>
          <w:lang w:val="fr-CH"/>
        </w:rPr>
      </w:pPr>
      <w:r w:rsidRPr="006225A2">
        <w:rPr>
          <w:rFonts w:eastAsiaTheme="minorHAnsi"/>
          <w:lang w:val="fr-CH"/>
        </w:rPr>
        <w:t xml:space="preserve">La liste de renseignements </w:t>
      </w:r>
      <w:r>
        <w:rPr>
          <w:rFonts w:eastAsiaTheme="minorHAnsi"/>
          <w:lang w:val="fr-CH"/>
        </w:rPr>
        <w:t>c</w:t>
      </w:r>
      <w:r w:rsidR="0094509A">
        <w:rPr>
          <w:rFonts w:eastAsiaTheme="minorHAnsi"/>
          <w:lang w:val="fr-CH"/>
        </w:rPr>
        <w:t>i-</w:t>
      </w:r>
      <w:r w:rsidRPr="006225A2">
        <w:rPr>
          <w:rFonts w:eastAsiaTheme="minorHAnsi"/>
          <w:lang w:val="fr-CH"/>
        </w:rPr>
        <w:t xml:space="preserve">après peut être </w:t>
      </w:r>
      <w:r>
        <w:rPr>
          <w:rFonts w:eastAsiaTheme="minorHAnsi"/>
          <w:lang w:val="fr-CH"/>
        </w:rPr>
        <w:t>fournie</w:t>
      </w:r>
      <w:r w:rsidR="0094509A">
        <w:rPr>
          <w:rFonts w:eastAsiaTheme="minorHAnsi"/>
          <w:lang w:val="fr-CH"/>
        </w:rPr>
        <w:t xml:space="preserve"> par les agences spatiales et</w:t>
      </w:r>
      <w:r w:rsidRPr="006225A2">
        <w:rPr>
          <w:rFonts w:eastAsiaTheme="minorHAnsi"/>
          <w:lang w:val="fr-CH"/>
        </w:rPr>
        <w:t xml:space="preserve"> les institutions </w:t>
      </w:r>
      <w:r>
        <w:rPr>
          <w:rFonts w:eastAsiaTheme="minorHAnsi"/>
          <w:lang w:val="fr-CH"/>
        </w:rPr>
        <w:t xml:space="preserve">ou les </w:t>
      </w:r>
      <w:r w:rsidRPr="006225A2">
        <w:rPr>
          <w:rFonts w:eastAsiaTheme="minorHAnsi"/>
          <w:lang w:val="fr-CH"/>
        </w:rPr>
        <w:t>organisations internationales ayant accès à des infrastructures satellitaires</w:t>
      </w:r>
      <w:r w:rsidR="006F00CC">
        <w:rPr>
          <w:rFonts w:eastAsiaTheme="minorHAnsi"/>
          <w:lang w:val="fr-CH"/>
        </w:rPr>
        <w:t>:</w:t>
      </w:r>
    </w:p>
    <w:p w:rsidR="005432EE" w:rsidRPr="006225A2" w:rsidRDefault="008D2F0B" w:rsidP="003B2525">
      <w:pPr>
        <w:pStyle w:val="enumlev1"/>
        <w:spacing w:before="60"/>
        <w:rPr>
          <w:lang w:val="fr-CH"/>
        </w:rPr>
      </w:pPr>
      <w:r w:rsidRPr="0094509A">
        <w:rPr>
          <w:lang w:val="fr-CH"/>
        </w:rPr>
        <w:t>•</w:t>
      </w:r>
      <w:r w:rsidRPr="0094509A">
        <w:rPr>
          <w:lang w:val="fr-CH"/>
        </w:rPr>
        <w:tab/>
      </w:r>
      <w:r w:rsidR="005432EE" w:rsidRPr="00095F68">
        <w:rPr>
          <w:lang w:val="fr-CH"/>
        </w:rPr>
        <w:t>Heure de début/fin</w:t>
      </w:r>
      <w:r w:rsidR="005432EE">
        <w:rPr>
          <w:lang w:val="fr-CH"/>
        </w:rPr>
        <w:t xml:space="preserve"> pendant la </w:t>
      </w:r>
      <w:r w:rsidR="005432EE" w:rsidRPr="00095F68">
        <w:rPr>
          <w:lang w:val="fr-CH"/>
        </w:rPr>
        <w:t>période de contrôle des émissions</w:t>
      </w:r>
      <w:r w:rsidR="00EE1E31">
        <w:rPr>
          <w:lang w:val="fr-CH"/>
        </w:rPr>
        <w:t>.</w:t>
      </w:r>
    </w:p>
    <w:p w:rsidR="005432EE" w:rsidRPr="006225A2" w:rsidRDefault="008D2F0B" w:rsidP="003B2525">
      <w:pPr>
        <w:pStyle w:val="enumlev1"/>
        <w:spacing w:before="60"/>
        <w:rPr>
          <w:lang w:val="fr-CH"/>
        </w:rPr>
      </w:pPr>
      <w:r w:rsidRPr="0094509A">
        <w:rPr>
          <w:lang w:val="fr-CH"/>
        </w:rPr>
        <w:t>•</w:t>
      </w:r>
      <w:r w:rsidRPr="0094509A">
        <w:rPr>
          <w:lang w:val="fr-CH"/>
        </w:rPr>
        <w:tab/>
      </w:r>
      <w:r w:rsidR="005432EE" w:rsidRPr="006225A2">
        <w:rPr>
          <w:lang w:val="fr-CH"/>
        </w:rPr>
        <w:t xml:space="preserve">Latitude/longitude moyenne, site de l'émission </w:t>
      </w:r>
      <w:r w:rsidR="0094509A">
        <w:rPr>
          <w:lang w:val="fr-CH"/>
        </w:rPr>
        <w:t>faisant l'objet d'un contrôle</w:t>
      </w:r>
      <w:r w:rsidR="005432EE" w:rsidRPr="006225A2">
        <w:rPr>
          <w:lang w:val="fr-CH"/>
        </w:rPr>
        <w:t>, notamment le pays et la grande ville la plus proche</w:t>
      </w:r>
      <w:r w:rsidR="00EE1E31">
        <w:rPr>
          <w:lang w:val="fr-CH"/>
        </w:rPr>
        <w:t>.</w:t>
      </w:r>
    </w:p>
    <w:p w:rsidR="005432EE" w:rsidRPr="006225A2" w:rsidRDefault="008D2F0B" w:rsidP="003B2525">
      <w:pPr>
        <w:pStyle w:val="enumlev1"/>
        <w:spacing w:before="60"/>
        <w:rPr>
          <w:lang w:val="fr-CH"/>
        </w:rPr>
      </w:pPr>
      <w:r w:rsidRPr="0094509A">
        <w:rPr>
          <w:lang w:val="fr-CH"/>
        </w:rPr>
        <w:t>•</w:t>
      </w:r>
      <w:r w:rsidRPr="0094509A">
        <w:rPr>
          <w:lang w:val="fr-CH"/>
        </w:rPr>
        <w:tab/>
      </w:r>
      <w:r w:rsidR="005432EE" w:rsidRPr="006225A2">
        <w:rPr>
          <w:lang w:val="fr-CH"/>
        </w:rPr>
        <w:t xml:space="preserve">Durée et heure de l'émission </w:t>
      </w:r>
      <w:r w:rsidR="0094509A">
        <w:rPr>
          <w:lang w:val="fr-CH"/>
        </w:rPr>
        <w:t>qui se produit</w:t>
      </w:r>
      <w:r w:rsidR="00EE1E31">
        <w:rPr>
          <w:lang w:val="fr-CH"/>
        </w:rPr>
        <w:t>.</w:t>
      </w:r>
    </w:p>
    <w:p w:rsidR="005432EE" w:rsidRPr="006225A2" w:rsidRDefault="008D2F0B" w:rsidP="003B2525">
      <w:pPr>
        <w:pStyle w:val="enumlev1"/>
        <w:spacing w:before="60"/>
        <w:rPr>
          <w:lang w:val="fr-CH"/>
        </w:rPr>
      </w:pPr>
      <w:r w:rsidRPr="0094509A">
        <w:rPr>
          <w:lang w:val="fr-CH"/>
        </w:rPr>
        <w:t>•</w:t>
      </w:r>
      <w:r w:rsidRPr="0094509A">
        <w:rPr>
          <w:lang w:val="fr-CH"/>
        </w:rPr>
        <w:tab/>
      </w:r>
      <w:r w:rsidR="005432EE" w:rsidRPr="0064455F">
        <w:rPr>
          <w:lang w:val="fr-CH"/>
        </w:rPr>
        <w:t>Fréquence centrale pour</w:t>
      </w:r>
      <w:r w:rsidR="005432EE">
        <w:rPr>
          <w:lang w:val="fr-CH"/>
        </w:rPr>
        <w:t xml:space="preserve"> </w:t>
      </w:r>
      <w:r w:rsidR="005432EE" w:rsidRPr="008D2F0B">
        <w:rPr>
          <w:lang w:val="fr-CH"/>
        </w:rPr>
        <w:t>une largeur de bande de transmission</w:t>
      </w:r>
      <w:r w:rsidR="005432EE" w:rsidRPr="0064455F">
        <w:rPr>
          <w:lang w:val="fr-CH"/>
        </w:rPr>
        <w:t xml:space="preserve"> donnée</w:t>
      </w:r>
      <w:r w:rsidR="00EE1E31">
        <w:rPr>
          <w:lang w:val="fr-CH"/>
        </w:rPr>
        <w:t>.</w:t>
      </w:r>
    </w:p>
    <w:p w:rsidR="005432EE" w:rsidRPr="006225A2" w:rsidRDefault="008D2F0B" w:rsidP="003B2525">
      <w:pPr>
        <w:pStyle w:val="enumlev1"/>
        <w:spacing w:before="60"/>
        <w:rPr>
          <w:lang w:val="fr-CH"/>
        </w:rPr>
      </w:pPr>
      <w:r w:rsidRPr="0094509A">
        <w:rPr>
          <w:lang w:val="fr-CH"/>
        </w:rPr>
        <w:t>•</w:t>
      </w:r>
      <w:r w:rsidRPr="0094509A">
        <w:rPr>
          <w:lang w:val="fr-CH"/>
        </w:rPr>
        <w:tab/>
      </w:r>
      <w:r w:rsidR="005432EE" w:rsidRPr="0064455F">
        <w:rPr>
          <w:lang w:val="fr-CH"/>
        </w:rPr>
        <w:t>Largeur de bande obtenue pour chaque observation</w:t>
      </w:r>
      <w:r w:rsidR="00EE1E31">
        <w:rPr>
          <w:lang w:val="fr-CH"/>
        </w:rPr>
        <w:t>.</w:t>
      </w:r>
    </w:p>
    <w:p w:rsidR="005432EE" w:rsidRPr="008D2F0B" w:rsidRDefault="008D2F0B" w:rsidP="003B2525">
      <w:pPr>
        <w:pStyle w:val="enumlev1"/>
        <w:spacing w:before="60"/>
        <w:rPr>
          <w:lang w:val="fr-CH"/>
        </w:rPr>
      </w:pPr>
      <w:r w:rsidRPr="0094509A">
        <w:rPr>
          <w:lang w:val="fr-CH"/>
        </w:rPr>
        <w:t>•</w:t>
      </w:r>
      <w:r w:rsidRPr="0094509A">
        <w:rPr>
          <w:lang w:val="fr-CH"/>
        </w:rPr>
        <w:tab/>
      </w:r>
      <w:r>
        <w:rPr>
          <w:lang w:val="fr-CH"/>
        </w:rPr>
        <w:t>I</w:t>
      </w:r>
      <w:r w:rsidR="005432EE" w:rsidRPr="008D2F0B">
        <w:rPr>
          <w:lang w:val="fr-CH"/>
        </w:rPr>
        <w:t>ntensité du signal.</w:t>
      </w:r>
    </w:p>
    <w:p w:rsidR="005432EE" w:rsidRPr="006225A2" w:rsidRDefault="008D2F0B" w:rsidP="003B2525">
      <w:pPr>
        <w:pStyle w:val="enumlev1"/>
        <w:spacing w:before="60"/>
        <w:rPr>
          <w:lang w:val="fr-CH"/>
        </w:rPr>
      </w:pPr>
      <w:r w:rsidRPr="0094509A">
        <w:rPr>
          <w:lang w:val="fr-CH"/>
        </w:rPr>
        <w:t>•</w:t>
      </w:r>
      <w:r w:rsidRPr="0094509A">
        <w:rPr>
          <w:lang w:val="fr-CH"/>
        </w:rPr>
        <w:tab/>
      </w:r>
      <w:r w:rsidR="005432EE" w:rsidRPr="0064455F">
        <w:rPr>
          <w:lang w:val="fr-CH"/>
        </w:rPr>
        <w:t>Si les mesures sont effectuées au moyen d'une antenne directive, azimut de réception</w:t>
      </w:r>
      <w:r w:rsidR="00EE1E31">
        <w:rPr>
          <w:lang w:val="fr-CH"/>
        </w:rPr>
        <w:t>.</w:t>
      </w:r>
    </w:p>
    <w:p w:rsidR="005432EE" w:rsidRPr="006225A2" w:rsidRDefault="005432EE" w:rsidP="003B2525">
      <w:pPr>
        <w:spacing w:before="120"/>
        <w:rPr>
          <w:lang w:val="fr-CH"/>
        </w:rPr>
      </w:pPr>
      <w:r w:rsidRPr="006225A2">
        <w:rPr>
          <w:lang w:val="fr-CH"/>
        </w:rPr>
        <w:t>D'autres résultats du contrôle des émissions peuvent être fournis,</w:t>
      </w:r>
      <w:r w:rsidRPr="008D2F0B">
        <w:rPr>
          <w:lang w:val="fr-CH"/>
        </w:rPr>
        <w:t xml:space="preserve"> s'il y a lieu, </w:t>
      </w:r>
      <w:r w:rsidRPr="006225A2">
        <w:rPr>
          <w:lang w:val="fr-CH"/>
        </w:rPr>
        <w:t>par exemple l'</w:t>
      </w:r>
      <w:r w:rsidRPr="008D2F0B">
        <w:rPr>
          <w:lang w:val="fr-CH"/>
        </w:rPr>
        <w:t>occupation des canaux</w:t>
      </w:r>
      <w:r w:rsidR="00EE1E31">
        <w:rPr>
          <w:lang w:val="fr-CH"/>
        </w:rPr>
        <w:t>.</w:t>
      </w:r>
    </w:p>
    <w:p w:rsidR="00D21694" w:rsidRDefault="005432EE" w:rsidP="003B2525">
      <w:pPr>
        <w:keepNext/>
        <w:keepLines/>
        <w:spacing w:before="120" w:line="240" w:lineRule="auto"/>
        <w:rPr>
          <w:lang w:val="fr-CH"/>
        </w:rPr>
      </w:pPr>
      <w:r w:rsidRPr="006225A2">
        <w:rPr>
          <w:lang w:val="fr-CH"/>
        </w:rPr>
        <w:lastRenderedPageBreak/>
        <w:t>Les</w:t>
      </w:r>
      <w:r>
        <w:rPr>
          <w:lang w:val="fr-CH"/>
        </w:rPr>
        <w:t xml:space="preserve"> </w:t>
      </w:r>
      <w:r w:rsidR="0094509A">
        <w:rPr>
          <w:rFonts w:eastAsiaTheme="minorHAnsi"/>
          <w:lang w:val="fr-CH"/>
        </w:rPr>
        <w:t>agences spatiales et</w:t>
      </w:r>
      <w:r w:rsidRPr="006225A2">
        <w:rPr>
          <w:rFonts w:eastAsiaTheme="minorHAnsi"/>
          <w:lang w:val="fr-CH"/>
        </w:rPr>
        <w:t xml:space="preserve"> les institutions </w:t>
      </w:r>
      <w:r>
        <w:rPr>
          <w:rFonts w:eastAsiaTheme="minorHAnsi"/>
          <w:lang w:val="fr-CH"/>
        </w:rPr>
        <w:t xml:space="preserve">ou les </w:t>
      </w:r>
      <w:r w:rsidRPr="006225A2">
        <w:rPr>
          <w:rFonts w:eastAsiaTheme="minorHAnsi"/>
          <w:lang w:val="fr-CH"/>
        </w:rPr>
        <w:t xml:space="preserve">organisations internationales </w:t>
      </w:r>
      <w:r w:rsidRPr="006225A2">
        <w:rPr>
          <w:lang w:val="fr-CH"/>
        </w:rPr>
        <w:t>qui souhaitent fournir des données devraient mener périodiquement des campagnes de contrôle des émissions</w:t>
      </w:r>
      <w:r>
        <w:rPr>
          <w:lang w:val="fr-CH"/>
        </w:rPr>
        <w:t xml:space="preserve"> </w:t>
      </w:r>
      <w:r w:rsidRPr="006225A2">
        <w:rPr>
          <w:lang w:val="fr-CH"/>
        </w:rPr>
        <w:t>(pa</w:t>
      </w:r>
      <w:r w:rsidR="0094509A">
        <w:rPr>
          <w:lang w:val="fr-CH"/>
        </w:rPr>
        <w:t>r exemple plusieurs fois par an</w:t>
      </w:r>
      <w:r w:rsidRPr="006225A2">
        <w:rPr>
          <w:lang w:val="fr-CH"/>
        </w:rPr>
        <w:t>, si possible).</w:t>
      </w:r>
      <w:r>
        <w:rPr>
          <w:lang w:val="fr-CH"/>
        </w:rPr>
        <w:t xml:space="preserve"> </w:t>
      </w:r>
      <w:r w:rsidRPr="006225A2">
        <w:rPr>
          <w:lang w:val="fr-CH"/>
        </w:rPr>
        <w:t>La durée d'une campagne de contrôle des émissions devrait être optimisée en fonction du type</w:t>
      </w:r>
      <w:r>
        <w:rPr>
          <w:lang w:val="fr-CH"/>
        </w:rPr>
        <w:t xml:space="preserve"> </w:t>
      </w:r>
      <w:r w:rsidRPr="006225A2">
        <w:rPr>
          <w:lang w:val="fr-CH"/>
        </w:rPr>
        <w:t>d'observation</w:t>
      </w:r>
      <w:r w:rsidR="0094509A">
        <w:rPr>
          <w:lang w:val="fr-CH"/>
        </w:rPr>
        <w:t>:</w:t>
      </w:r>
      <w:r w:rsidRPr="006225A2">
        <w:rPr>
          <w:lang w:val="fr-CH"/>
        </w:rPr>
        <w:t xml:space="preserve"> fixe (en général 2 jours).</w:t>
      </w:r>
    </w:p>
    <w:p w:rsidR="0094509A" w:rsidRPr="003C3800" w:rsidRDefault="0094509A" w:rsidP="0094509A">
      <w:pPr>
        <w:spacing w:line="240" w:lineRule="auto"/>
        <w:rPr>
          <w:lang w:val="fr-CH"/>
        </w:rPr>
      </w:pPr>
    </w:p>
    <w:p w:rsidR="0094509A" w:rsidRPr="005432EE" w:rsidRDefault="0094509A" w:rsidP="0094509A">
      <w:pPr>
        <w:spacing w:line="240" w:lineRule="auto"/>
        <w:jc w:val="center"/>
        <w:rPr>
          <w:rFonts w:asciiTheme="minorHAnsi" w:hAnsiTheme="minorHAnsi" w:cstheme="minorHAnsi"/>
          <w:szCs w:val="24"/>
          <w:lang w:val="fr-CH"/>
        </w:rPr>
      </w:pPr>
      <w:r>
        <w:t>______________</w:t>
      </w:r>
    </w:p>
    <w:sectPr w:rsidR="0094509A" w:rsidRPr="005432EE" w:rsidSect="003F2F3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C3" w:rsidRDefault="00A50BC3">
      <w:r>
        <w:separator/>
      </w:r>
    </w:p>
  </w:endnote>
  <w:endnote w:type="continuationSeparator" w:id="0">
    <w:p w:rsidR="00A50BC3" w:rsidRDefault="00A5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5432EE">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C3" w:rsidRDefault="00A50BC3">
      <w:r>
        <w:t>____________________</w:t>
      </w:r>
    </w:p>
  </w:footnote>
  <w:footnote w:type="continuationSeparator" w:id="0">
    <w:p w:rsidR="00A50BC3" w:rsidRDefault="00A5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181926">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E443D" w:rsidTr="005432EE">
      <w:trPr>
        <w:jc w:val="center"/>
      </w:trPr>
      <w:tc>
        <w:tcPr>
          <w:tcW w:w="9923" w:type="dxa"/>
        </w:tcPr>
        <w:p w:rsidR="000E443D" w:rsidRDefault="000E443D" w:rsidP="000E443D">
          <w:pPr>
            <w:pStyle w:val="Header"/>
            <w:tabs>
              <w:tab w:val="clear" w:pos="794"/>
              <w:tab w:val="clear" w:pos="4820"/>
            </w:tabs>
            <w:spacing w:line="360" w:lineRule="auto"/>
            <w:jc w:val="center"/>
          </w:pPr>
          <w:r>
            <w:rPr>
              <w:b/>
              <w:bCs/>
              <w:noProof/>
              <w:lang w:val="en-GB" w:eastAsia="en-GB"/>
            </w:rPr>
            <w:drawing>
              <wp:inline distT="0" distB="0" distL="0" distR="0" wp14:anchorId="529AA2AD" wp14:editId="115F9E3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E646758"/>
    <w:multiLevelType w:val="hybridMultilevel"/>
    <w:tmpl w:val="390E1EA4"/>
    <w:lvl w:ilvl="0" w:tplc="BDA4B11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5E610473"/>
    <w:multiLevelType w:val="hybridMultilevel"/>
    <w:tmpl w:val="BCEE6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DA5F64"/>
    <w:multiLevelType w:val="hybridMultilevel"/>
    <w:tmpl w:val="B8201C58"/>
    <w:lvl w:ilvl="0" w:tplc="821610E6">
      <w:start w:val="1"/>
      <w:numFmt w:val="decimal"/>
      <w:lvlText w:val="%1"/>
      <w:lvlJc w:val="left"/>
      <w:pPr>
        <w:ind w:left="794" w:hanging="79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8"/>
  </w:num>
  <w:num w:numId="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C2D72"/>
    <w:rsid w:val="00003EF7"/>
    <w:rsid w:val="00006A31"/>
    <w:rsid w:val="00006C82"/>
    <w:rsid w:val="00010E30"/>
    <w:rsid w:val="00015C76"/>
    <w:rsid w:val="00022DBF"/>
    <w:rsid w:val="00026CF8"/>
    <w:rsid w:val="00030BD7"/>
    <w:rsid w:val="00031E64"/>
    <w:rsid w:val="00034340"/>
    <w:rsid w:val="00035CB3"/>
    <w:rsid w:val="00045A8D"/>
    <w:rsid w:val="0005167A"/>
    <w:rsid w:val="00054E5D"/>
    <w:rsid w:val="00070258"/>
    <w:rsid w:val="0007323C"/>
    <w:rsid w:val="00084869"/>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1926"/>
    <w:rsid w:val="00187CA3"/>
    <w:rsid w:val="00196710"/>
    <w:rsid w:val="00196770"/>
    <w:rsid w:val="00197324"/>
    <w:rsid w:val="001B351B"/>
    <w:rsid w:val="001B42C9"/>
    <w:rsid w:val="001C06DB"/>
    <w:rsid w:val="001C6971"/>
    <w:rsid w:val="001D2785"/>
    <w:rsid w:val="001D7070"/>
    <w:rsid w:val="001D7877"/>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C2D72"/>
    <w:rsid w:val="002D5A15"/>
    <w:rsid w:val="002D5BDD"/>
    <w:rsid w:val="002E3D27"/>
    <w:rsid w:val="002F0890"/>
    <w:rsid w:val="002F2531"/>
    <w:rsid w:val="002F4967"/>
    <w:rsid w:val="002F5AA5"/>
    <w:rsid w:val="00305119"/>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525"/>
    <w:rsid w:val="003B2BDA"/>
    <w:rsid w:val="003B55EC"/>
    <w:rsid w:val="003C2EA7"/>
    <w:rsid w:val="003C3800"/>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2EE"/>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F00CC"/>
    <w:rsid w:val="007029FE"/>
    <w:rsid w:val="007234B1"/>
    <w:rsid w:val="00723D08"/>
    <w:rsid w:val="00725FDA"/>
    <w:rsid w:val="00727816"/>
    <w:rsid w:val="00730B9A"/>
    <w:rsid w:val="00750CFA"/>
    <w:rsid w:val="007553DA"/>
    <w:rsid w:val="00773F7E"/>
    <w:rsid w:val="00775DB8"/>
    <w:rsid w:val="00782354"/>
    <w:rsid w:val="007921A7"/>
    <w:rsid w:val="00796E99"/>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B62EF"/>
    <w:rsid w:val="008C2E74"/>
    <w:rsid w:val="008D2F0B"/>
    <w:rsid w:val="008D5409"/>
    <w:rsid w:val="008E006D"/>
    <w:rsid w:val="008E38B4"/>
    <w:rsid w:val="008F4F21"/>
    <w:rsid w:val="00903BA9"/>
    <w:rsid w:val="00904D4A"/>
    <w:rsid w:val="009076D7"/>
    <w:rsid w:val="009151BA"/>
    <w:rsid w:val="00925023"/>
    <w:rsid w:val="009277BC"/>
    <w:rsid w:val="00927D57"/>
    <w:rsid w:val="00931A51"/>
    <w:rsid w:val="0094509A"/>
    <w:rsid w:val="00947185"/>
    <w:rsid w:val="009518B3"/>
    <w:rsid w:val="0095297D"/>
    <w:rsid w:val="00963D9D"/>
    <w:rsid w:val="009713A0"/>
    <w:rsid w:val="0098013E"/>
    <w:rsid w:val="00981B54"/>
    <w:rsid w:val="009842C3"/>
    <w:rsid w:val="00997249"/>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37C92"/>
    <w:rsid w:val="00A41F91"/>
    <w:rsid w:val="00A50BC3"/>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0FFB"/>
    <w:rsid w:val="00D41571"/>
    <w:rsid w:val="00D416A0"/>
    <w:rsid w:val="00D47672"/>
    <w:rsid w:val="00D5123C"/>
    <w:rsid w:val="00D55560"/>
    <w:rsid w:val="00D61C5A"/>
    <w:rsid w:val="00D62111"/>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5AAA"/>
    <w:rsid w:val="00E915AF"/>
    <w:rsid w:val="00E96415"/>
    <w:rsid w:val="00EA15B3"/>
    <w:rsid w:val="00EA2C83"/>
    <w:rsid w:val="00EB2358"/>
    <w:rsid w:val="00EB3EB8"/>
    <w:rsid w:val="00EC00EF"/>
    <w:rsid w:val="00EC02FE"/>
    <w:rsid w:val="00EC4A96"/>
    <w:rsid w:val="00EE03A0"/>
    <w:rsid w:val="00EE1A57"/>
    <w:rsid w:val="00EE1E31"/>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980EB8"/>
  <w15:docId w15:val="{A855F27F-98FB-42D8-BAC5-49552A7D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enumlev1Char">
    <w:name w:val="enumlev1 Char"/>
    <w:basedOn w:val="DefaultParagraphFont"/>
    <w:link w:val="enumlev1"/>
    <w:locked/>
    <w:rsid w:val="005432EE"/>
    <w:rPr>
      <w:sz w:val="24"/>
      <w:szCs w:val="22"/>
      <w:lang w:val="en-US" w:eastAsia="en-US"/>
    </w:rPr>
  </w:style>
  <w:style w:type="paragraph" w:customStyle="1" w:styleId="Reasons">
    <w:name w:val="Reasons"/>
    <w:basedOn w:val="Normal"/>
    <w:qFormat/>
    <w:rsid w:val="0094509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tpr@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4AFC8-7CF1-4761-A690-3BC461F2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24</TotalTime>
  <Pages>4</Pages>
  <Words>1167</Words>
  <Characters>6655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Panoussopoulos, Sonia</cp:lastModifiedBy>
  <cp:revision>11</cp:revision>
  <cp:lastPrinted>2018-12-07T07:58:00Z</cp:lastPrinted>
  <dcterms:created xsi:type="dcterms:W3CDTF">2018-12-06T15:51:00Z</dcterms:created>
  <dcterms:modified xsi:type="dcterms:W3CDTF">2018-12-07T15:05:00Z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