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418"/>
        <w:gridCol w:w="5494"/>
        <w:gridCol w:w="2977"/>
      </w:tblGrid>
      <w:tr w:rsidR="00EA15B3" w:rsidRPr="007B3DB1" w14:paraId="6AB1E97A" w14:textId="77777777" w:rsidTr="00D06CD0">
        <w:tc>
          <w:tcPr>
            <w:tcW w:w="9889" w:type="dxa"/>
            <w:gridSpan w:val="3"/>
            <w:shd w:val="clear" w:color="auto" w:fill="auto"/>
          </w:tcPr>
          <w:p w14:paraId="71412193" w14:textId="015E45A8" w:rsidR="00EA15B3" w:rsidRPr="00AF70DA" w:rsidRDefault="00AF70DA" w:rsidP="003B02DF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Bureau (BR)</w:t>
            </w:r>
          </w:p>
        </w:tc>
      </w:tr>
      <w:tr w:rsidR="008B7BE5" w:rsidRPr="007B3DB1" w14:paraId="4582E7A8" w14:textId="77777777" w:rsidTr="00D06CD0">
        <w:tc>
          <w:tcPr>
            <w:tcW w:w="9889" w:type="dxa"/>
            <w:gridSpan w:val="3"/>
            <w:shd w:val="clear" w:color="auto" w:fill="auto"/>
          </w:tcPr>
          <w:p w14:paraId="78D95AF2" w14:textId="77777777" w:rsidR="008B7BE5" w:rsidRPr="007B3DB1" w:rsidRDefault="008B7BE5" w:rsidP="006047E5">
            <w:pPr>
              <w:spacing w:before="0"/>
              <w:jc w:val="left"/>
              <w:rPr>
                <w:lang w:val="en-GB"/>
              </w:rPr>
            </w:pPr>
          </w:p>
        </w:tc>
      </w:tr>
      <w:tr w:rsidR="00AF3BDB" w:rsidRPr="00295CF8" w14:paraId="6A6AD6E2" w14:textId="77777777" w:rsidTr="00A82F16">
        <w:tc>
          <w:tcPr>
            <w:tcW w:w="6912" w:type="dxa"/>
            <w:gridSpan w:val="2"/>
            <w:shd w:val="clear" w:color="auto" w:fill="auto"/>
          </w:tcPr>
          <w:p w14:paraId="5C8D1A14" w14:textId="77777777" w:rsidR="00AF3BDB" w:rsidRPr="008C3ECA" w:rsidRDefault="00AF3BDB" w:rsidP="00A82F16">
            <w:pPr>
              <w:spacing w:before="0"/>
              <w:jc w:val="left"/>
              <w:rPr>
                <w:szCs w:val="24"/>
                <w:lang w:val="en-GB"/>
              </w:rPr>
            </w:pPr>
            <w:r w:rsidRPr="008C3ECA">
              <w:rPr>
                <w:szCs w:val="24"/>
                <w:lang w:val="en-GB"/>
              </w:rPr>
              <w:t>Circular Letter</w:t>
            </w:r>
          </w:p>
          <w:p w14:paraId="2C2E68B4" w14:textId="22F61292" w:rsidR="00AF3BDB" w:rsidRPr="00295CF8" w:rsidRDefault="00AF3BDB" w:rsidP="00814B3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8C3ECA">
              <w:rPr>
                <w:b/>
                <w:bCs/>
                <w:szCs w:val="24"/>
                <w:lang w:val="en-GB"/>
              </w:rPr>
              <w:t>CR/</w:t>
            </w:r>
            <w:r w:rsidR="00814B33">
              <w:rPr>
                <w:b/>
                <w:bCs/>
                <w:szCs w:val="24"/>
                <w:lang w:val="en-GB"/>
              </w:rPr>
              <w:t>438</w:t>
            </w:r>
          </w:p>
        </w:tc>
        <w:tc>
          <w:tcPr>
            <w:tcW w:w="2977" w:type="dxa"/>
            <w:shd w:val="clear" w:color="auto" w:fill="auto"/>
          </w:tcPr>
          <w:p w14:paraId="0B738966" w14:textId="755EE3C1" w:rsidR="00AF3BDB" w:rsidRPr="00295CF8" w:rsidRDefault="00AF3BDB" w:rsidP="008F3A09">
            <w:pPr>
              <w:spacing w:before="0"/>
              <w:jc w:val="right"/>
              <w:rPr>
                <w:szCs w:val="24"/>
                <w:lang w:val="en-GB"/>
              </w:rPr>
            </w:pPr>
            <w:r w:rsidRPr="00295CF8">
              <w:rPr>
                <w:szCs w:val="24"/>
                <w:lang w:val="en-GB"/>
              </w:rPr>
              <w:t xml:space="preserve">Geneva, </w:t>
            </w:r>
            <w:r w:rsidR="00427524">
              <w:rPr>
                <w:szCs w:val="24"/>
                <w:lang w:val="en-GB"/>
              </w:rPr>
              <w:t>10</w:t>
            </w:r>
            <w:bookmarkStart w:id="0" w:name="_GoBack"/>
            <w:bookmarkEnd w:id="0"/>
            <w:r w:rsidR="00E61F5B">
              <w:rPr>
                <w:szCs w:val="24"/>
                <w:lang w:val="en-GB"/>
              </w:rPr>
              <w:t xml:space="preserve"> </w:t>
            </w:r>
            <w:r w:rsidR="00F2525E">
              <w:rPr>
                <w:szCs w:val="24"/>
                <w:lang w:val="en-GB"/>
              </w:rPr>
              <w:t>December</w:t>
            </w:r>
            <w:r>
              <w:rPr>
                <w:szCs w:val="24"/>
                <w:lang w:val="en-GB"/>
              </w:rPr>
              <w:t xml:space="preserve"> </w:t>
            </w:r>
            <w:r w:rsidRPr="00295CF8">
              <w:rPr>
                <w:szCs w:val="24"/>
                <w:lang w:val="en-GB"/>
              </w:rPr>
              <w:t>201</w:t>
            </w:r>
            <w:r>
              <w:rPr>
                <w:szCs w:val="24"/>
                <w:lang w:val="en-GB"/>
              </w:rPr>
              <w:t>8</w:t>
            </w:r>
          </w:p>
        </w:tc>
      </w:tr>
      <w:tr w:rsidR="00AF3BDB" w:rsidRPr="000D79FA" w14:paraId="0563CB7F" w14:textId="77777777" w:rsidTr="00A82F16">
        <w:tc>
          <w:tcPr>
            <w:tcW w:w="9889" w:type="dxa"/>
            <w:gridSpan w:val="3"/>
            <w:shd w:val="clear" w:color="auto" w:fill="auto"/>
          </w:tcPr>
          <w:p w14:paraId="1FC28B39" w14:textId="77777777" w:rsidR="00AF3BDB" w:rsidRPr="000D79FA" w:rsidRDefault="00AF3BDB" w:rsidP="00A82F16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AF3BDB" w:rsidRPr="000D79FA" w14:paraId="0B69CAE5" w14:textId="77777777" w:rsidTr="00A82F16">
        <w:tc>
          <w:tcPr>
            <w:tcW w:w="9889" w:type="dxa"/>
            <w:gridSpan w:val="3"/>
            <w:shd w:val="clear" w:color="auto" w:fill="auto"/>
          </w:tcPr>
          <w:p w14:paraId="60828D0B" w14:textId="77777777" w:rsidR="00AF3BDB" w:rsidRPr="000D79FA" w:rsidRDefault="00AF3BDB" w:rsidP="00A82F16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AF3BDB" w:rsidRPr="000D79FA" w14:paraId="4E32CF14" w14:textId="77777777" w:rsidTr="00A82F16">
        <w:tc>
          <w:tcPr>
            <w:tcW w:w="9889" w:type="dxa"/>
            <w:gridSpan w:val="3"/>
            <w:shd w:val="clear" w:color="auto" w:fill="auto"/>
          </w:tcPr>
          <w:p w14:paraId="74997C3E" w14:textId="77777777" w:rsidR="00AF3BDB" w:rsidRPr="000D79FA" w:rsidRDefault="00AF3BDB" w:rsidP="00A82F16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r w:rsidRPr="000D79FA">
              <w:rPr>
                <w:b/>
                <w:bCs/>
                <w:sz w:val="24"/>
                <w:szCs w:val="24"/>
                <w:lang w:val="en-GB"/>
              </w:rPr>
              <w:t>To Administrations of Member States of the ITU</w:t>
            </w:r>
          </w:p>
          <w:p w14:paraId="3F405A8C" w14:textId="77777777" w:rsidR="00AF3BDB" w:rsidRPr="000D79FA" w:rsidRDefault="00AF3BDB" w:rsidP="00A82F16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  <w:p w14:paraId="22DE88CC" w14:textId="77777777" w:rsidR="00AF3BDB" w:rsidRPr="000D79FA" w:rsidRDefault="00AF3BDB" w:rsidP="00A82F16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AF3BDB" w:rsidRPr="000D79FA" w14:paraId="23A37AC7" w14:textId="77777777" w:rsidTr="00A82F16">
        <w:tc>
          <w:tcPr>
            <w:tcW w:w="9889" w:type="dxa"/>
            <w:gridSpan w:val="3"/>
            <w:shd w:val="clear" w:color="auto" w:fill="auto"/>
          </w:tcPr>
          <w:p w14:paraId="0E3F0B5C" w14:textId="77777777" w:rsidR="00AF3BDB" w:rsidRPr="000D79FA" w:rsidRDefault="00AF3BDB" w:rsidP="00A82F16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AF3BDB" w:rsidRPr="000D79FA" w14:paraId="7C236E19" w14:textId="77777777" w:rsidTr="00A82F16">
        <w:tc>
          <w:tcPr>
            <w:tcW w:w="9889" w:type="dxa"/>
            <w:gridSpan w:val="3"/>
            <w:shd w:val="clear" w:color="auto" w:fill="auto"/>
          </w:tcPr>
          <w:p w14:paraId="51A9DA2A" w14:textId="77777777" w:rsidR="00AF3BDB" w:rsidRPr="000D79FA" w:rsidRDefault="00AF3BDB" w:rsidP="00A82F16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AF3BDB" w:rsidRPr="000D79FA" w14:paraId="51D770AD" w14:textId="77777777" w:rsidTr="0031443E">
        <w:tc>
          <w:tcPr>
            <w:tcW w:w="1418" w:type="dxa"/>
            <w:shd w:val="clear" w:color="auto" w:fill="auto"/>
          </w:tcPr>
          <w:p w14:paraId="7643A40C" w14:textId="77777777" w:rsidR="00AF3BDB" w:rsidRPr="000D79FA" w:rsidRDefault="00AF3BDB" w:rsidP="00A82F16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0D79FA">
              <w:rPr>
                <w:sz w:val="24"/>
                <w:szCs w:val="24"/>
                <w:lang w:val="en-GB"/>
              </w:rPr>
              <w:t>Subject:</w:t>
            </w:r>
          </w:p>
        </w:tc>
        <w:tc>
          <w:tcPr>
            <w:tcW w:w="8471" w:type="dxa"/>
            <w:gridSpan w:val="2"/>
            <w:vMerge w:val="restart"/>
            <w:shd w:val="clear" w:color="auto" w:fill="auto"/>
          </w:tcPr>
          <w:p w14:paraId="0E3CE986" w14:textId="730B8E5F" w:rsidR="00AF3BDB" w:rsidRPr="000D79FA" w:rsidRDefault="009E2290" w:rsidP="00814B3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Organization of a m</w:t>
            </w:r>
            <w:r w:rsidR="0031443E" w:rsidRPr="0031443E">
              <w:rPr>
                <w:b/>
                <w:bCs/>
                <w:sz w:val="24"/>
                <w:szCs w:val="24"/>
                <w:lang w:val="en-GB"/>
              </w:rPr>
              <w:t xml:space="preserve">onitoring programme in the bands 405.9-406 MHz and 406.1-406.2 </w:t>
            </w:r>
            <w:r w:rsidR="0031443E">
              <w:rPr>
                <w:b/>
                <w:bCs/>
                <w:sz w:val="24"/>
                <w:szCs w:val="24"/>
                <w:lang w:val="en-GB"/>
              </w:rPr>
              <w:t>MHz</w:t>
            </w:r>
          </w:p>
        </w:tc>
      </w:tr>
      <w:tr w:rsidR="00AF3BDB" w:rsidRPr="000D79FA" w14:paraId="2FA456EA" w14:textId="77777777" w:rsidTr="0031443E">
        <w:tc>
          <w:tcPr>
            <w:tcW w:w="1418" w:type="dxa"/>
            <w:shd w:val="clear" w:color="auto" w:fill="auto"/>
          </w:tcPr>
          <w:p w14:paraId="510A8320" w14:textId="77777777" w:rsidR="00AF3BDB" w:rsidRPr="000D79FA" w:rsidRDefault="00AF3BDB" w:rsidP="00A82F16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471" w:type="dxa"/>
            <w:gridSpan w:val="2"/>
            <w:vMerge/>
            <w:shd w:val="clear" w:color="auto" w:fill="auto"/>
          </w:tcPr>
          <w:p w14:paraId="1B553A25" w14:textId="77777777" w:rsidR="00AF3BDB" w:rsidRPr="000D79FA" w:rsidRDefault="00AF3BDB" w:rsidP="00A82F16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AF3BDB" w:rsidRPr="000D79FA" w14:paraId="61247869" w14:textId="77777777" w:rsidTr="0031443E">
        <w:tc>
          <w:tcPr>
            <w:tcW w:w="1418" w:type="dxa"/>
            <w:shd w:val="clear" w:color="auto" w:fill="auto"/>
          </w:tcPr>
          <w:p w14:paraId="4EA70EB2" w14:textId="77777777" w:rsidR="00AF3BDB" w:rsidRPr="000D79FA" w:rsidRDefault="00AF3BDB" w:rsidP="00A82F16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471" w:type="dxa"/>
            <w:gridSpan w:val="2"/>
            <w:vMerge/>
            <w:shd w:val="clear" w:color="auto" w:fill="auto"/>
          </w:tcPr>
          <w:p w14:paraId="79EBABA3" w14:textId="77777777" w:rsidR="00AF3BDB" w:rsidRPr="000D79FA" w:rsidRDefault="00AF3BDB" w:rsidP="00A82F16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31443E" w:rsidRPr="000D79FA" w14:paraId="6E965B13" w14:textId="77777777" w:rsidTr="0031443E">
        <w:tc>
          <w:tcPr>
            <w:tcW w:w="1418" w:type="dxa"/>
            <w:shd w:val="clear" w:color="auto" w:fill="auto"/>
          </w:tcPr>
          <w:p w14:paraId="2A83505D" w14:textId="20CF528F" w:rsidR="0031443E" w:rsidRPr="0031443E" w:rsidRDefault="0031443E" w:rsidP="0031443E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31443E">
              <w:rPr>
                <w:sz w:val="24"/>
                <w:szCs w:val="24"/>
                <w:lang w:val="en-GB"/>
              </w:rPr>
              <w:t xml:space="preserve">Reference: </w:t>
            </w:r>
          </w:p>
        </w:tc>
        <w:tc>
          <w:tcPr>
            <w:tcW w:w="8471" w:type="dxa"/>
            <w:gridSpan w:val="2"/>
            <w:shd w:val="clear" w:color="auto" w:fill="auto"/>
          </w:tcPr>
          <w:p w14:paraId="4F2C3913" w14:textId="1D61CE5F" w:rsidR="0031443E" w:rsidRPr="0031443E" w:rsidRDefault="0031443E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r w:rsidRPr="0031443E">
              <w:rPr>
                <w:b/>
                <w:bCs/>
                <w:sz w:val="24"/>
                <w:szCs w:val="24"/>
                <w:lang w:val="en-GB"/>
              </w:rPr>
              <w:t>Resolution 205 (Rev.WRC-15) relating to protection of the systems operating in the mobile-satellite service in the frequency band 406-406.1 MHz</w:t>
            </w:r>
          </w:p>
        </w:tc>
      </w:tr>
      <w:tr w:rsidR="00AF3BDB" w:rsidRPr="000D79FA" w14:paraId="04C95F9C" w14:textId="77777777" w:rsidTr="00A82F16">
        <w:tc>
          <w:tcPr>
            <w:tcW w:w="9889" w:type="dxa"/>
            <w:gridSpan w:val="3"/>
            <w:shd w:val="clear" w:color="auto" w:fill="auto"/>
          </w:tcPr>
          <w:p w14:paraId="1930EB8E" w14:textId="77777777" w:rsidR="00AF3BDB" w:rsidRPr="000D79FA" w:rsidRDefault="00AF3BDB" w:rsidP="00A82F16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4E1F34D0" w14:textId="11F762E9" w:rsidR="00A6242C" w:rsidRDefault="0031443E" w:rsidP="00814B3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line="240" w:lineRule="auto"/>
        <w:ind w:left="142"/>
        <w:textAlignment w:val="auto"/>
        <w:rPr>
          <w:rFonts w:asciiTheme="majorBidi" w:hAnsiTheme="majorBidi" w:cstheme="majorBidi"/>
          <w:sz w:val="24"/>
          <w:szCs w:val="24"/>
          <w:lang w:val="en-GB"/>
        </w:rPr>
      </w:pPr>
      <w:r w:rsidRPr="0031443E">
        <w:rPr>
          <w:sz w:val="24"/>
          <w:szCs w:val="24"/>
          <w:lang w:val="en-GB"/>
        </w:rPr>
        <w:t xml:space="preserve">The World </w:t>
      </w:r>
      <w:proofErr w:type="spellStart"/>
      <w:r w:rsidRPr="0031443E">
        <w:rPr>
          <w:sz w:val="24"/>
          <w:szCs w:val="24"/>
          <w:lang w:val="en-GB"/>
        </w:rPr>
        <w:t>Radiocommunication</w:t>
      </w:r>
      <w:proofErr w:type="spellEnd"/>
      <w:r w:rsidRPr="0031443E">
        <w:rPr>
          <w:sz w:val="24"/>
          <w:szCs w:val="24"/>
          <w:lang w:val="en-GB"/>
        </w:rPr>
        <w:t xml:space="preserve"> Conference 2015 (WRC-15) revised Resolution </w:t>
      </w:r>
      <w:r w:rsidRPr="00F756A6">
        <w:rPr>
          <w:b/>
          <w:bCs/>
          <w:sz w:val="24"/>
          <w:szCs w:val="24"/>
          <w:lang w:val="en-GB"/>
        </w:rPr>
        <w:t>205</w:t>
      </w:r>
      <w:r w:rsidRPr="0031443E">
        <w:rPr>
          <w:sz w:val="24"/>
          <w:szCs w:val="24"/>
          <w:lang w:val="en-GB"/>
        </w:rPr>
        <w:t xml:space="preserve"> </w:t>
      </w:r>
      <w:r w:rsidR="00D661CF">
        <w:rPr>
          <w:sz w:val="24"/>
          <w:szCs w:val="24"/>
          <w:lang w:val="en-GB"/>
        </w:rPr>
        <w:t>dealing</w:t>
      </w:r>
      <w:r w:rsidRPr="0031443E">
        <w:rPr>
          <w:sz w:val="24"/>
          <w:szCs w:val="24"/>
          <w:lang w:val="en-GB"/>
        </w:rPr>
        <w:t xml:space="preserve"> </w:t>
      </w:r>
      <w:r w:rsidR="00D16896">
        <w:rPr>
          <w:sz w:val="24"/>
          <w:szCs w:val="24"/>
          <w:lang w:val="en-GB"/>
        </w:rPr>
        <w:t xml:space="preserve">with </w:t>
      </w:r>
      <w:r w:rsidRPr="0031443E">
        <w:rPr>
          <w:sz w:val="24"/>
          <w:szCs w:val="24"/>
          <w:lang w:val="en-GB"/>
        </w:rPr>
        <w:t xml:space="preserve">the </w:t>
      </w:r>
      <w:r w:rsidRPr="00951000">
        <w:rPr>
          <w:rFonts w:asciiTheme="minorHAnsi" w:hAnsiTheme="minorHAnsi"/>
          <w:sz w:val="24"/>
          <w:szCs w:val="24"/>
          <w:lang w:val="en-GB"/>
        </w:rPr>
        <w:t>protection of the mobile-satellite service (MSS) in the frequency band 406-406.1 MHz</w:t>
      </w:r>
      <w:r w:rsidR="00A6242C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9E2290" w:rsidRPr="00951000">
        <w:rPr>
          <w:rFonts w:asciiTheme="minorHAnsi" w:hAnsiTheme="minorHAnsi"/>
          <w:sz w:val="24"/>
          <w:szCs w:val="24"/>
          <w:lang w:val="en-GB"/>
        </w:rPr>
        <w:t xml:space="preserve">exclusively used by </w:t>
      </w:r>
      <w:r w:rsidR="00A6242C" w:rsidRPr="00662DD2">
        <w:rPr>
          <w:rFonts w:asciiTheme="minorHAnsi" w:hAnsiTheme="minorHAnsi" w:cstheme="majorBidi"/>
          <w:sz w:val="24"/>
          <w:szCs w:val="24"/>
          <w:lang w:eastAsia="zh-CN"/>
        </w:rPr>
        <w:t>satellite</w:t>
      </w:r>
      <w:r w:rsidR="00A6242C" w:rsidRPr="00145CF6">
        <w:rPr>
          <w:rFonts w:asciiTheme="minorHAnsi" w:hAnsiTheme="minorHAnsi" w:cs="Times New Roman"/>
          <w:sz w:val="24"/>
          <w:szCs w:val="24"/>
          <w:lang w:eastAsia="zh-CN"/>
        </w:rPr>
        <w:t xml:space="preserve"> </w:t>
      </w:r>
      <w:r w:rsidR="009E2290" w:rsidRPr="00951000">
        <w:rPr>
          <w:rFonts w:asciiTheme="minorHAnsi" w:hAnsiTheme="minorHAnsi" w:cs="Times New Roman"/>
          <w:sz w:val="24"/>
          <w:szCs w:val="24"/>
          <w:lang w:eastAsia="zh-CN"/>
        </w:rPr>
        <w:t xml:space="preserve">emergency position-indicating </w:t>
      </w:r>
      <w:proofErr w:type="spellStart"/>
      <w:r w:rsidR="009E2290" w:rsidRPr="00951000">
        <w:rPr>
          <w:rFonts w:asciiTheme="minorHAnsi" w:hAnsiTheme="minorHAnsi" w:cs="Times New Roman"/>
          <w:sz w:val="24"/>
          <w:szCs w:val="24"/>
          <w:lang w:eastAsia="zh-CN"/>
        </w:rPr>
        <w:t>radiobeacons</w:t>
      </w:r>
      <w:proofErr w:type="spellEnd"/>
      <w:r w:rsidR="009E2290" w:rsidRPr="00951000">
        <w:rPr>
          <w:rFonts w:asciiTheme="minorHAnsi" w:hAnsiTheme="minorHAnsi" w:cs="Times New Roman"/>
          <w:sz w:val="24"/>
          <w:szCs w:val="24"/>
          <w:lang w:eastAsia="zh-CN"/>
        </w:rPr>
        <w:t xml:space="preserve"> (EPIRBs)</w:t>
      </w:r>
      <w:r w:rsidR="00145CF6" w:rsidRPr="00145CF6">
        <w:rPr>
          <w:rFonts w:asciiTheme="minorHAnsi" w:hAnsiTheme="minorHAnsi" w:cs="Times New Roman"/>
          <w:sz w:val="24"/>
          <w:szCs w:val="24"/>
          <w:lang w:eastAsia="zh-CN"/>
        </w:rPr>
        <w:t xml:space="preserve"> operating </w:t>
      </w:r>
      <w:r w:rsidR="00145CF6" w:rsidRPr="00951000">
        <w:rPr>
          <w:rFonts w:asciiTheme="minorHAnsi" w:hAnsiTheme="minorHAnsi" w:cstheme="majorBidi"/>
          <w:sz w:val="24"/>
          <w:szCs w:val="24"/>
          <w:lang w:eastAsia="zh-CN"/>
        </w:rPr>
        <w:t xml:space="preserve">in the </w:t>
      </w:r>
      <w:proofErr w:type="spellStart"/>
      <w:r w:rsidR="00145CF6" w:rsidRPr="00951000">
        <w:rPr>
          <w:rFonts w:asciiTheme="minorHAnsi" w:hAnsiTheme="minorHAnsi" w:cstheme="majorBidi"/>
          <w:sz w:val="24"/>
          <w:szCs w:val="24"/>
          <w:lang w:eastAsia="zh-CN"/>
        </w:rPr>
        <w:t>Cospas-Sarsat</w:t>
      </w:r>
      <w:proofErr w:type="spellEnd"/>
      <w:r w:rsidR="00145CF6" w:rsidRPr="00951000">
        <w:rPr>
          <w:rFonts w:asciiTheme="minorHAnsi" w:hAnsiTheme="minorHAnsi" w:cstheme="majorBidi"/>
          <w:sz w:val="24"/>
          <w:szCs w:val="24"/>
          <w:lang w:eastAsia="zh-CN"/>
        </w:rPr>
        <w:t xml:space="preserve"> system</w:t>
      </w:r>
      <w:r w:rsidR="009E2290" w:rsidRPr="00951000">
        <w:rPr>
          <w:rFonts w:asciiTheme="minorHAnsi" w:hAnsiTheme="minorHAnsi" w:cstheme="majorBidi"/>
          <w:sz w:val="24"/>
          <w:szCs w:val="24"/>
          <w:lang w:eastAsia="zh-CN"/>
        </w:rPr>
        <w:t>.</w:t>
      </w:r>
      <w:r w:rsidR="009E2290" w:rsidRPr="00951000">
        <w:rPr>
          <w:rFonts w:asciiTheme="majorBidi" w:hAnsiTheme="majorBidi" w:cstheme="majorBidi"/>
          <w:sz w:val="24"/>
          <w:szCs w:val="24"/>
          <w:lang w:eastAsia="zh-CN"/>
        </w:rPr>
        <w:t xml:space="preserve"> </w:t>
      </w:r>
    </w:p>
    <w:p w14:paraId="5A283892" w14:textId="68599B17" w:rsidR="00F4690D" w:rsidRPr="00951000" w:rsidRDefault="002F0B7C" w:rsidP="004E512E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line="240" w:lineRule="auto"/>
        <w:ind w:left="142"/>
        <w:textAlignment w:val="auto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 w:cs="Times New Roman"/>
          <w:sz w:val="24"/>
          <w:szCs w:val="24"/>
          <w:lang w:eastAsia="zh-CN"/>
        </w:rPr>
        <w:t>The Radio Regulations</w:t>
      </w:r>
      <w:r>
        <w:rPr>
          <w:rFonts w:asciiTheme="minorHAnsi" w:hAnsiTheme="minorHAnsi" w:cstheme="majorBidi"/>
          <w:sz w:val="24"/>
          <w:szCs w:val="24"/>
          <w:lang w:val="en-GB"/>
        </w:rPr>
        <w:t xml:space="preserve"> afford </w:t>
      </w:r>
      <w:r>
        <w:rPr>
          <w:rFonts w:asciiTheme="minorHAnsi" w:hAnsiTheme="minorHAnsi" w:cs="Times New Roman"/>
          <w:sz w:val="24"/>
          <w:szCs w:val="24"/>
          <w:lang w:eastAsia="zh-CN"/>
        </w:rPr>
        <w:t>absolute protection</w:t>
      </w:r>
      <w:r>
        <w:rPr>
          <w:rFonts w:asciiTheme="minorHAnsi" w:hAnsiTheme="minorHAnsi" w:cstheme="majorBidi"/>
          <w:sz w:val="24"/>
          <w:szCs w:val="24"/>
          <w:lang w:val="en-GB"/>
        </w:rPr>
        <w:t xml:space="preserve"> </w:t>
      </w:r>
      <w:r>
        <w:rPr>
          <w:rFonts w:asciiTheme="minorHAnsi" w:hAnsiTheme="minorHAnsi" w:cs="Times New Roman"/>
          <w:sz w:val="24"/>
          <w:szCs w:val="24"/>
          <w:lang w:eastAsia="zh-CN"/>
        </w:rPr>
        <w:t>from harmful interference to t</w:t>
      </w:r>
      <w:r>
        <w:rPr>
          <w:rFonts w:asciiTheme="minorHAnsi" w:hAnsiTheme="minorHAnsi" w:cstheme="majorBidi"/>
          <w:sz w:val="24"/>
          <w:szCs w:val="24"/>
          <w:lang w:val="en-GB"/>
        </w:rPr>
        <w:t xml:space="preserve">his </w:t>
      </w:r>
      <w:r w:rsidRPr="00662DD2">
        <w:rPr>
          <w:rFonts w:asciiTheme="minorHAnsi" w:hAnsiTheme="minorHAnsi" w:cs="Times New Roman"/>
          <w:sz w:val="24"/>
          <w:szCs w:val="24"/>
          <w:lang w:eastAsia="zh-CN"/>
        </w:rPr>
        <w:t>frequency band</w:t>
      </w:r>
      <w:r>
        <w:rPr>
          <w:rFonts w:asciiTheme="minorHAnsi" w:hAnsiTheme="minorHAnsi" w:cs="Times New Roman"/>
          <w:sz w:val="24"/>
          <w:szCs w:val="24"/>
          <w:lang w:eastAsia="zh-CN"/>
        </w:rPr>
        <w:t xml:space="preserve">, as stipulated in No. </w:t>
      </w:r>
      <w:r w:rsidRPr="002F0B7C">
        <w:rPr>
          <w:rFonts w:asciiTheme="minorHAnsi" w:hAnsiTheme="minorHAnsi" w:cs="Times New Roman"/>
          <w:b/>
          <w:bCs/>
          <w:sz w:val="24"/>
          <w:szCs w:val="24"/>
          <w:lang w:eastAsia="zh-CN"/>
        </w:rPr>
        <w:t>5.267</w:t>
      </w:r>
      <w:r>
        <w:rPr>
          <w:rFonts w:asciiTheme="minorHAnsi" w:hAnsiTheme="minorHAnsi" w:cs="Times New Roman"/>
          <w:sz w:val="24"/>
          <w:szCs w:val="24"/>
          <w:lang w:eastAsia="zh-CN"/>
        </w:rPr>
        <w:t xml:space="preserve"> and Appendix </w:t>
      </w:r>
      <w:r w:rsidRPr="00951000">
        <w:rPr>
          <w:rFonts w:asciiTheme="minorHAnsi" w:hAnsiTheme="minorHAnsi" w:cs="Times New Roman"/>
          <w:b/>
          <w:bCs/>
          <w:sz w:val="24"/>
          <w:szCs w:val="24"/>
          <w:lang w:eastAsia="zh-CN"/>
        </w:rPr>
        <w:t>15</w:t>
      </w:r>
      <w:r w:rsidR="00EC0A6E">
        <w:rPr>
          <w:rFonts w:asciiTheme="minorHAnsi" w:hAnsiTheme="minorHAnsi" w:cs="Times New Roman"/>
          <w:sz w:val="24"/>
          <w:szCs w:val="24"/>
          <w:lang w:eastAsia="zh-CN"/>
        </w:rPr>
        <w:t>. The</w:t>
      </w:r>
      <w:r w:rsidR="00A6242C" w:rsidRPr="00951000">
        <w:rPr>
          <w:rFonts w:asciiTheme="minorHAnsi" w:hAnsiTheme="minorHAnsi" w:cstheme="majorBidi"/>
          <w:sz w:val="24"/>
          <w:szCs w:val="24"/>
          <w:lang w:val="en-GB"/>
        </w:rPr>
        <w:t xml:space="preserve"> Bureau conducts a monitoring program </w:t>
      </w:r>
      <w:r w:rsidR="00F2501E">
        <w:rPr>
          <w:rFonts w:asciiTheme="minorHAnsi" w:hAnsiTheme="minorHAnsi" w:cstheme="majorBidi"/>
          <w:sz w:val="24"/>
          <w:szCs w:val="24"/>
          <w:lang w:val="en-GB"/>
        </w:rPr>
        <w:t xml:space="preserve">in the band </w:t>
      </w:r>
      <w:r w:rsidR="00F2501E" w:rsidRPr="00662DD2">
        <w:rPr>
          <w:rFonts w:asciiTheme="minorHAnsi" w:hAnsiTheme="minorHAnsi" w:cs="Times New Roman"/>
          <w:sz w:val="24"/>
          <w:szCs w:val="24"/>
          <w:lang w:eastAsia="zh-CN"/>
        </w:rPr>
        <w:t>406-406.1 MHz</w:t>
      </w:r>
      <w:r w:rsidR="00F2501E" w:rsidRPr="00A6242C">
        <w:rPr>
          <w:rFonts w:asciiTheme="minorHAnsi" w:hAnsiTheme="minorHAnsi" w:cs="Times New Roman"/>
          <w:sz w:val="24"/>
          <w:szCs w:val="24"/>
          <w:lang w:eastAsia="zh-CN"/>
        </w:rPr>
        <w:t xml:space="preserve"> </w:t>
      </w:r>
      <w:r w:rsidR="00A6242C" w:rsidRPr="00951000">
        <w:rPr>
          <w:rFonts w:asciiTheme="minorHAnsi" w:hAnsiTheme="minorHAnsi" w:cs="Times New Roman"/>
          <w:sz w:val="24"/>
          <w:szCs w:val="24"/>
          <w:lang w:eastAsia="zh-CN"/>
        </w:rPr>
        <w:t xml:space="preserve">in </w:t>
      </w:r>
      <w:r>
        <w:rPr>
          <w:rFonts w:asciiTheme="minorHAnsi" w:hAnsiTheme="minorHAnsi" w:cs="Times New Roman"/>
          <w:sz w:val="24"/>
          <w:szCs w:val="24"/>
          <w:lang w:eastAsia="zh-CN"/>
        </w:rPr>
        <w:t xml:space="preserve">order to identify </w:t>
      </w:r>
      <w:r w:rsidR="00A6242C" w:rsidRPr="00951000">
        <w:rPr>
          <w:rFonts w:asciiTheme="minorHAnsi" w:hAnsiTheme="minorHAnsi" w:cs="Times New Roman"/>
          <w:sz w:val="24"/>
          <w:szCs w:val="24"/>
          <w:lang w:eastAsia="zh-CN"/>
        </w:rPr>
        <w:t>source</w:t>
      </w:r>
      <w:r>
        <w:rPr>
          <w:rFonts w:asciiTheme="minorHAnsi" w:hAnsiTheme="minorHAnsi" w:cs="Times New Roman"/>
          <w:sz w:val="24"/>
          <w:szCs w:val="24"/>
          <w:lang w:eastAsia="zh-CN"/>
        </w:rPr>
        <w:t>s</w:t>
      </w:r>
      <w:r w:rsidR="00A6242C" w:rsidRPr="00951000">
        <w:rPr>
          <w:rFonts w:asciiTheme="minorHAnsi" w:hAnsiTheme="minorHAnsi" w:cs="Times New Roman"/>
          <w:sz w:val="24"/>
          <w:szCs w:val="24"/>
          <w:lang w:eastAsia="zh-CN"/>
        </w:rPr>
        <w:t xml:space="preserve"> of any unauthorized emission</w:t>
      </w:r>
      <w:r>
        <w:rPr>
          <w:rFonts w:asciiTheme="minorHAnsi" w:hAnsiTheme="minorHAnsi" w:cs="Times New Roman"/>
          <w:sz w:val="24"/>
          <w:szCs w:val="24"/>
          <w:lang w:eastAsia="zh-CN"/>
        </w:rPr>
        <w:t>s</w:t>
      </w:r>
      <w:r w:rsidR="00EC0A6E">
        <w:rPr>
          <w:rFonts w:asciiTheme="minorHAnsi" w:hAnsiTheme="minorHAnsi" w:cs="Times New Roman"/>
          <w:sz w:val="24"/>
          <w:szCs w:val="24"/>
          <w:lang w:eastAsia="zh-CN"/>
        </w:rPr>
        <w:t xml:space="preserve">. Based on </w:t>
      </w:r>
      <w:r w:rsidR="00F2501E">
        <w:rPr>
          <w:rFonts w:asciiTheme="minorHAnsi" w:hAnsiTheme="minorHAnsi" w:cs="Times New Roman"/>
          <w:sz w:val="24"/>
          <w:szCs w:val="24"/>
          <w:lang w:eastAsia="zh-CN"/>
        </w:rPr>
        <w:t xml:space="preserve">the </w:t>
      </w:r>
      <w:r w:rsidR="00EC0A6E">
        <w:rPr>
          <w:rFonts w:asciiTheme="minorHAnsi" w:hAnsiTheme="minorHAnsi" w:cs="Times New Roman"/>
          <w:sz w:val="24"/>
          <w:szCs w:val="24"/>
          <w:lang w:eastAsia="zh-CN"/>
        </w:rPr>
        <w:t xml:space="preserve">monitoring results, </w:t>
      </w:r>
      <w:r w:rsidR="00F2501E">
        <w:rPr>
          <w:rFonts w:asciiTheme="minorHAnsi" w:hAnsiTheme="minorHAnsi" w:cs="Times New Roman"/>
          <w:sz w:val="24"/>
          <w:szCs w:val="24"/>
          <w:lang w:eastAsia="zh-CN"/>
        </w:rPr>
        <w:t>the Bureau</w:t>
      </w:r>
      <w:r w:rsidR="00EC0A6E">
        <w:rPr>
          <w:rFonts w:asciiTheme="minorHAnsi" w:hAnsiTheme="minorHAnsi" w:cs="Times New Roman"/>
          <w:sz w:val="24"/>
          <w:szCs w:val="24"/>
          <w:lang w:eastAsia="zh-CN"/>
        </w:rPr>
        <w:t xml:space="preserve"> communicates</w:t>
      </w:r>
      <w:r w:rsidR="00A6242C">
        <w:rPr>
          <w:rFonts w:asciiTheme="minorHAnsi" w:hAnsiTheme="minorHAnsi" w:cs="Times New Roman"/>
          <w:sz w:val="24"/>
          <w:szCs w:val="24"/>
          <w:lang w:eastAsia="zh-CN"/>
        </w:rPr>
        <w:t xml:space="preserve"> </w:t>
      </w:r>
      <w:r w:rsidR="00EC0A6E">
        <w:rPr>
          <w:rFonts w:asciiTheme="minorHAnsi" w:hAnsiTheme="minorHAnsi" w:cs="Times New Roman"/>
          <w:sz w:val="24"/>
          <w:szCs w:val="24"/>
          <w:lang w:eastAsia="zh-CN"/>
        </w:rPr>
        <w:t>with</w:t>
      </w:r>
      <w:r w:rsidR="00A6242C">
        <w:rPr>
          <w:rFonts w:asciiTheme="minorHAnsi" w:hAnsiTheme="minorHAnsi" w:cs="Times New Roman"/>
          <w:sz w:val="24"/>
          <w:szCs w:val="24"/>
          <w:lang w:eastAsia="zh-CN"/>
        </w:rPr>
        <w:t xml:space="preserve"> the administrations </w:t>
      </w:r>
      <w:r w:rsidR="00EC0A6E">
        <w:rPr>
          <w:rFonts w:asciiTheme="minorHAnsi" w:hAnsiTheme="minorHAnsi" w:cs="Times New Roman"/>
          <w:sz w:val="24"/>
          <w:szCs w:val="24"/>
          <w:lang w:eastAsia="zh-CN"/>
        </w:rPr>
        <w:t xml:space="preserve">responsible for stations </w:t>
      </w:r>
      <w:r>
        <w:rPr>
          <w:rFonts w:asciiTheme="minorHAnsi" w:hAnsiTheme="minorHAnsi" w:cs="Times New Roman"/>
          <w:sz w:val="24"/>
          <w:szCs w:val="24"/>
          <w:lang w:eastAsia="zh-CN"/>
        </w:rPr>
        <w:t xml:space="preserve">of services other than MSS </w:t>
      </w:r>
      <w:r w:rsidR="002A196F">
        <w:rPr>
          <w:rFonts w:asciiTheme="minorHAnsi" w:hAnsiTheme="minorHAnsi" w:cs="Times New Roman"/>
          <w:sz w:val="24"/>
          <w:szCs w:val="24"/>
          <w:lang w:eastAsia="zh-CN"/>
        </w:rPr>
        <w:t>that transmit</w:t>
      </w:r>
      <w:r w:rsidR="00F2501E">
        <w:rPr>
          <w:rFonts w:asciiTheme="minorHAnsi" w:hAnsiTheme="minorHAnsi" w:cs="Times New Roman"/>
          <w:sz w:val="24"/>
          <w:szCs w:val="24"/>
          <w:lang w:eastAsia="zh-CN"/>
        </w:rPr>
        <w:t xml:space="preserve"> in the band</w:t>
      </w:r>
      <w:r w:rsidR="00EC0A6E">
        <w:rPr>
          <w:rFonts w:asciiTheme="minorHAnsi" w:hAnsiTheme="minorHAnsi" w:cs="Times New Roman"/>
          <w:sz w:val="24"/>
          <w:szCs w:val="24"/>
          <w:lang w:eastAsia="zh-CN"/>
        </w:rPr>
        <w:t xml:space="preserve"> and requests </w:t>
      </w:r>
      <w:r w:rsidR="00D16896">
        <w:rPr>
          <w:rFonts w:asciiTheme="minorHAnsi" w:hAnsiTheme="minorHAnsi" w:cs="Times New Roman"/>
          <w:sz w:val="24"/>
          <w:szCs w:val="24"/>
          <w:lang w:eastAsia="zh-CN"/>
        </w:rPr>
        <w:t xml:space="preserve">them </w:t>
      </w:r>
      <w:r w:rsidR="00D16896" w:rsidRPr="00661D18">
        <w:rPr>
          <w:rFonts w:asciiTheme="minorHAnsi" w:hAnsiTheme="minorHAnsi" w:cs="Times New Roman"/>
          <w:sz w:val="24"/>
          <w:szCs w:val="24"/>
          <w:lang w:eastAsia="zh-CN"/>
        </w:rPr>
        <w:t xml:space="preserve">to take necessary action to eliminate </w:t>
      </w:r>
      <w:r w:rsidR="002A196F">
        <w:rPr>
          <w:rFonts w:asciiTheme="minorHAnsi" w:hAnsiTheme="minorHAnsi" w:cs="Times New Roman"/>
          <w:sz w:val="24"/>
          <w:szCs w:val="24"/>
          <w:lang w:eastAsia="zh-CN"/>
        </w:rPr>
        <w:t xml:space="preserve">such </w:t>
      </w:r>
      <w:proofErr w:type="spellStart"/>
      <w:r w:rsidR="00D16896" w:rsidRPr="00661D18">
        <w:rPr>
          <w:rFonts w:asciiTheme="minorHAnsi" w:hAnsiTheme="minorHAnsi" w:cs="Times New Roman"/>
          <w:sz w:val="24"/>
          <w:szCs w:val="24"/>
          <w:lang w:eastAsia="zh-CN"/>
        </w:rPr>
        <w:t>unauthorised</w:t>
      </w:r>
      <w:proofErr w:type="spellEnd"/>
      <w:r w:rsidR="00D16896" w:rsidRPr="00661D18">
        <w:rPr>
          <w:rFonts w:asciiTheme="minorHAnsi" w:hAnsiTheme="minorHAnsi" w:cs="Times New Roman"/>
          <w:sz w:val="24"/>
          <w:szCs w:val="24"/>
          <w:lang w:eastAsia="zh-CN"/>
        </w:rPr>
        <w:t xml:space="preserve"> emissions</w:t>
      </w:r>
      <w:r w:rsidR="004E512E">
        <w:rPr>
          <w:rFonts w:asciiTheme="minorHAnsi" w:hAnsiTheme="minorHAnsi" w:cs="Times New Roman"/>
          <w:sz w:val="24"/>
          <w:szCs w:val="24"/>
          <w:lang w:eastAsia="zh-CN"/>
        </w:rPr>
        <w:t>.</w:t>
      </w:r>
      <w:r w:rsidR="00EC0A6E">
        <w:rPr>
          <w:rFonts w:asciiTheme="minorHAnsi" w:hAnsiTheme="minorHAnsi" w:cs="Times New Roman"/>
          <w:sz w:val="24"/>
          <w:szCs w:val="24"/>
          <w:lang w:eastAsia="zh-CN"/>
        </w:rPr>
        <w:t xml:space="preserve"> </w:t>
      </w:r>
      <w:r w:rsidR="00A6242C">
        <w:rPr>
          <w:rFonts w:asciiTheme="minorHAnsi" w:hAnsiTheme="minorHAnsi" w:cs="Times New Roman"/>
          <w:sz w:val="24"/>
          <w:szCs w:val="24"/>
          <w:lang w:eastAsia="zh-CN"/>
        </w:rPr>
        <w:t xml:space="preserve"> </w:t>
      </w:r>
      <w:r w:rsidR="00A6242C" w:rsidRPr="00951000">
        <w:rPr>
          <w:rFonts w:asciiTheme="minorHAnsi" w:hAnsiTheme="minorHAnsi" w:cstheme="majorBidi"/>
          <w:sz w:val="24"/>
          <w:szCs w:val="24"/>
          <w:lang w:val="en-GB"/>
        </w:rPr>
        <w:t xml:space="preserve"> </w:t>
      </w:r>
      <w:r w:rsidR="00EC0A6E">
        <w:rPr>
          <w:rFonts w:asciiTheme="minorHAnsi" w:hAnsiTheme="minorHAnsi" w:cstheme="majorBidi"/>
          <w:sz w:val="24"/>
          <w:szCs w:val="24"/>
          <w:lang w:val="en-GB"/>
        </w:rPr>
        <w:t xml:space="preserve">  </w:t>
      </w:r>
    </w:p>
    <w:p w14:paraId="2E07C506" w14:textId="7D561113" w:rsidR="00E41F6B" w:rsidRDefault="00A6242C" w:rsidP="00814B3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line="240" w:lineRule="auto"/>
        <w:ind w:left="142"/>
        <w:textAlignment w:val="auto"/>
        <w:rPr>
          <w:rFonts w:asciiTheme="minorHAnsi" w:hAnsiTheme="minorHAnsi" w:cs="Times New Roman"/>
          <w:sz w:val="24"/>
          <w:szCs w:val="24"/>
          <w:lang w:eastAsia="zh-CN"/>
        </w:rPr>
      </w:pPr>
      <w:r>
        <w:rPr>
          <w:rFonts w:asciiTheme="minorHAnsi" w:hAnsiTheme="minorHAnsi" w:cs="Times New Roman"/>
          <w:sz w:val="24"/>
          <w:szCs w:val="24"/>
          <w:lang w:eastAsia="zh-CN"/>
        </w:rPr>
        <w:t>WRC-15</w:t>
      </w:r>
      <w:r w:rsidR="00F4690D">
        <w:rPr>
          <w:sz w:val="24"/>
          <w:szCs w:val="24"/>
          <w:lang w:val="en-GB"/>
        </w:rPr>
        <w:t xml:space="preserve"> recognized that </w:t>
      </w:r>
      <w:r w:rsidR="00F4690D" w:rsidRPr="00951000">
        <w:rPr>
          <w:rFonts w:asciiTheme="minorHAnsi" w:hAnsiTheme="minorHAnsi" w:cs="Times New Roman"/>
          <w:sz w:val="24"/>
          <w:szCs w:val="24"/>
          <w:lang w:eastAsia="zh-CN"/>
        </w:rPr>
        <w:t xml:space="preserve">unwanted emissions from </w:t>
      </w:r>
      <w:proofErr w:type="spellStart"/>
      <w:r w:rsidR="00145CF6">
        <w:rPr>
          <w:rFonts w:asciiTheme="minorHAnsi" w:hAnsiTheme="minorHAnsi" w:cs="Times New Roman"/>
          <w:sz w:val="24"/>
          <w:szCs w:val="24"/>
          <w:lang w:eastAsia="zh-CN"/>
        </w:rPr>
        <w:t>radiocommunication</w:t>
      </w:r>
      <w:proofErr w:type="spellEnd"/>
      <w:r w:rsidR="00145CF6">
        <w:rPr>
          <w:rFonts w:asciiTheme="minorHAnsi" w:hAnsiTheme="minorHAnsi" w:cs="Times New Roman"/>
          <w:sz w:val="24"/>
          <w:szCs w:val="24"/>
          <w:lang w:eastAsia="zh-CN"/>
        </w:rPr>
        <w:t xml:space="preserve"> </w:t>
      </w:r>
      <w:r w:rsidR="00F4690D" w:rsidRPr="00951000">
        <w:rPr>
          <w:rFonts w:asciiTheme="minorHAnsi" w:hAnsiTheme="minorHAnsi" w:cs="Times New Roman"/>
          <w:sz w:val="24"/>
          <w:szCs w:val="24"/>
          <w:lang w:eastAsia="zh-CN"/>
        </w:rPr>
        <w:t>services outside the fr</w:t>
      </w:r>
      <w:r w:rsidR="00E44303">
        <w:rPr>
          <w:rFonts w:asciiTheme="minorHAnsi" w:hAnsiTheme="minorHAnsi" w:cs="Times New Roman"/>
          <w:sz w:val="24"/>
          <w:szCs w:val="24"/>
          <w:lang w:eastAsia="zh-CN"/>
        </w:rPr>
        <w:t>equency band 406-406.1 MHz have a</w:t>
      </w:r>
      <w:r w:rsidR="00F4690D" w:rsidRPr="00951000">
        <w:rPr>
          <w:rFonts w:asciiTheme="minorHAnsi" w:hAnsiTheme="minorHAnsi" w:cs="Times New Roman"/>
          <w:sz w:val="24"/>
          <w:szCs w:val="24"/>
          <w:lang w:eastAsia="zh-CN"/>
        </w:rPr>
        <w:t xml:space="preserve"> potential to cause interference to MSS receivers within 406-406.1 </w:t>
      </w:r>
      <w:proofErr w:type="spellStart"/>
      <w:r w:rsidR="00F4690D" w:rsidRPr="00951000">
        <w:rPr>
          <w:rFonts w:asciiTheme="minorHAnsi" w:hAnsiTheme="minorHAnsi" w:cs="Times New Roman"/>
          <w:sz w:val="24"/>
          <w:szCs w:val="24"/>
          <w:lang w:eastAsia="zh-CN"/>
        </w:rPr>
        <w:t>MHz</w:t>
      </w:r>
      <w:r w:rsidR="002A196F">
        <w:rPr>
          <w:rFonts w:asciiTheme="minorHAnsi" w:hAnsiTheme="minorHAnsi" w:cs="Times New Roman"/>
          <w:sz w:val="24"/>
          <w:szCs w:val="24"/>
          <w:lang w:eastAsia="zh-CN"/>
        </w:rPr>
        <w:t>.</w:t>
      </w:r>
      <w:proofErr w:type="spellEnd"/>
      <w:r w:rsidR="002A196F">
        <w:rPr>
          <w:rFonts w:asciiTheme="minorHAnsi" w:hAnsiTheme="minorHAnsi" w:cs="Times New Roman"/>
          <w:sz w:val="24"/>
          <w:szCs w:val="24"/>
          <w:lang w:eastAsia="zh-CN"/>
        </w:rPr>
        <w:t xml:space="preserve"> Bearing this in mind, it</w:t>
      </w:r>
      <w:r w:rsidR="00E44303">
        <w:rPr>
          <w:rFonts w:asciiTheme="minorHAnsi" w:hAnsiTheme="minorHAnsi" w:cs="Times New Roman"/>
          <w:sz w:val="24"/>
          <w:szCs w:val="24"/>
          <w:lang w:eastAsia="zh-CN"/>
        </w:rPr>
        <w:t xml:space="preserve"> </w:t>
      </w:r>
      <w:r w:rsidR="00D661CF">
        <w:rPr>
          <w:rFonts w:asciiTheme="minorHAnsi" w:hAnsiTheme="minorHAnsi" w:cs="Times New Roman"/>
          <w:sz w:val="24"/>
          <w:szCs w:val="24"/>
          <w:lang w:eastAsia="zh-CN"/>
        </w:rPr>
        <w:t xml:space="preserve">decided to introduce additional protection measures </w:t>
      </w:r>
      <w:r>
        <w:rPr>
          <w:rFonts w:asciiTheme="minorHAnsi" w:hAnsiTheme="minorHAnsi" w:cs="Times New Roman"/>
          <w:sz w:val="24"/>
          <w:szCs w:val="24"/>
          <w:lang w:eastAsia="zh-CN"/>
        </w:rPr>
        <w:t>for</w:t>
      </w:r>
      <w:r w:rsidR="00D661CF">
        <w:rPr>
          <w:rFonts w:asciiTheme="minorHAnsi" w:hAnsiTheme="minorHAnsi" w:cs="Times New Roman"/>
          <w:sz w:val="24"/>
          <w:szCs w:val="24"/>
          <w:lang w:eastAsia="zh-CN"/>
        </w:rPr>
        <w:t xml:space="preserve"> the adjacent bands</w:t>
      </w:r>
      <w:r w:rsidR="00145CF6">
        <w:rPr>
          <w:rFonts w:asciiTheme="minorHAnsi" w:hAnsiTheme="minorHAnsi" w:cs="Times New Roman"/>
          <w:sz w:val="24"/>
          <w:szCs w:val="24"/>
          <w:lang w:eastAsia="zh-CN"/>
        </w:rPr>
        <w:t xml:space="preserve"> </w:t>
      </w:r>
      <w:r w:rsidR="00145CF6" w:rsidRPr="00662DD2">
        <w:rPr>
          <w:sz w:val="24"/>
          <w:szCs w:val="24"/>
          <w:lang w:val="en-GB"/>
        </w:rPr>
        <w:t>405.9-406.0 MHz and 406.1-406.2 MHz</w:t>
      </w:r>
      <w:r w:rsidR="00D661CF">
        <w:rPr>
          <w:rFonts w:asciiTheme="minorHAnsi" w:hAnsiTheme="minorHAnsi" w:cs="Times New Roman"/>
          <w:sz w:val="24"/>
          <w:szCs w:val="24"/>
          <w:lang w:eastAsia="zh-CN"/>
        </w:rPr>
        <w:t>. In particular, the Conference resolved</w:t>
      </w:r>
      <w:r w:rsidR="00E44303">
        <w:rPr>
          <w:rFonts w:asciiTheme="minorHAnsi" w:hAnsiTheme="minorHAnsi" w:cs="Times New Roman"/>
          <w:sz w:val="24"/>
          <w:szCs w:val="24"/>
          <w:lang w:eastAsia="zh-CN"/>
        </w:rPr>
        <w:t>:</w:t>
      </w:r>
    </w:p>
    <w:p w14:paraId="59CE80CD" w14:textId="77777777" w:rsidR="00032D83" w:rsidRPr="002262ED" w:rsidRDefault="00E44303" w:rsidP="00032D83">
      <w:pPr>
        <w:pStyle w:val="ListParagraph"/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after="120" w:line="240" w:lineRule="auto"/>
        <w:textAlignment w:val="auto"/>
        <w:rPr>
          <w:rFonts w:asciiTheme="minorHAnsi" w:hAnsiTheme="minorHAnsi" w:cs="Times New Roman"/>
          <w:sz w:val="24"/>
          <w:szCs w:val="24"/>
          <w:lang w:eastAsia="zh-CN"/>
        </w:rPr>
      </w:pPr>
      <w:r w:rsidRPr="00E41F6B">
        <w:rPr>
          <w:sz w:val="24"/>
          <w:szCs w:val="24"/>
          <w:lang w:val="en-GB"/>
        </w:rPr>
        <w:t>to request administrations not to make new frequency assignments within the frequency bands 405.9-406.0 MHz and 406.1-406.2 MHz under the mobile and fixed services;</w:t>
      </w:r>
    </w:p>
    <w:p w14:paraId="0AA076EF" w14:textId="77777777" w:rsidR="002262ED" w:rsidRPr="00032D83" w:rsidRDefault="002262ED" w:rsidP="002262ED">
      <w:pPr>
        <w:pStyle w:val="ListParagraph"/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after="120" w:line="240" w:lineRule="auto"/>
        <w:textAlignment w:val="auto"/>
        <w:rPr>
          <w:rFonts w:asciiTheme="minorHAnsi" w:hAnsiTheme="minorHAnsi" w:cs="Times New Roman"/>
          <w:sz w:val="24"/>
          <w:szCs w:val="24"/>
          <w:lang w:eastAsia="zh-CN"/>
        </w:rPr>
      </w:pPr>
    </w:p>
    <w:p w14:paraId="291953A5" w14:textId="62301E39" w:rsidR="00E41F6B" w:rsidRPr="00032D83" w:rsidRDefault="00E41F6B" w:rsidP="00032D83">
      <w:pPr>
        <w:pStyle w:val="ListParagraph"/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after="120" w:line="240" w:lineRule="auto"/>
        <w:textAlignment w:val="auto"/>
        <w:rPr>
          <w:rFonts w:asciiTheme="minorHAnsi" w:hAnsiTheme="minorHAnsi" w:cs="Times New Roman"/>
          <w:sz w:val="24"/>
          <w:szCs w:val="24"/>
          <w:lang w:eastAsia="zh-CN"/>
        </w:rPr>
      </w:pPr>
      <w:proofErr w:type="gramStart"/>
      <w:r w:rsidRPr="00032D83">
        <w:rPr>
          <w:sz w:val="24"/>
          <w:szCs w:val="24"/>
          <w:lang w:val="en-GB"/>
        </w:rPr>
        <w:t>that</w:t>
      </w:r>
      <w:proofErr w:type="gramEnd"/>
      <w:r w:rsidRPr="00032D83">
        <w:rPr>
          <w:sz w:val="24"/>
          <w:szCs w:val="24"/>
          <w:lang w:val="en-GB"/>
        </w:rPr>
        <w:t xml:space="preserve"> administrations take into account frequency drift characteristics of radiosondes when selecting their operating frequencies above 405 MHz to avoid transmitting in the 406-406.1 MHz frequency band and take all practical steps to avoid frequency drifting close to 406 </w:t>
      </w:r>
      <w:proofErr w:type="spellStart"/>
      <w:r w:rsidRPr="00032D83">
        <w:rPr>
          <w:sz w:val="24"/>
          <w:szCs w:val="24"/>
          <w:lang w:val="en-GB"/>
        </w:rPr>
        <w:t>MHz</w:t>
      </w:r>
      <w:r w:rsidR="00FA7D8F" w:rsidRPr="00032D83">
        <w:rPr>
          <w:sz w:val="24"/>
          <w:szCs w:val="24"/>
          <w:lang w:val="en-GB"/>
        </w:rPr>
        <w:t>.</w:t>
      </w:r>
      <w:proofErr w:type="spellEnd"/>
    </w:p>
    <w:p w14:paraId="6B72D977" w14:textId="27A55183" w:rsidR="00FA7D8F" w:rsidRPr="00814B33" w:rsidRDefault="00FA7D8F" w:rsidP="00814B3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line="240" w:lineRule="auto"/>
        <w:ind w:left="142"/>
        <w:textAlignment w:val="auto"/>
        <w:rPr>
          <w:sz w:val="24"/>
          <w:szCs w:val="24"/>
          <w:lang w:val="en-GB"/>
        </w:rPr>
      </w:pPr>
      <w:r w:rsidRPr="00814B33">
        <w:rPr>
          <w:sz w:val="24"/>
          <w:szCs w:val="24"/>
          <w:lang w:val="en-GB"/>
        </w:rPr>
        <w:t xml:space="preserve">Furthermore, WRC-15 instructed </w:t>
      </w:r>
      <w:r w:rsidRPr="00951000">
        <w:rPr>
          <w:sz w:val="24"/>
          <w:szCs w:val="24"/>
          <w:lang w:val="en-GB"/>
        </w:rPr>
        <w:t xml:space="preserve">the Director of the </w:t>
      </w:r>
      <w:proofErr w:type="spellStart"/>
      <w:r w:rsidRPr="00951000">
        <w:rPr>
          <w:sz w:val="24"/>
          <w:szCs w:val="24"/>
          <w:lang w:val="en-GB"/>
        </w:rPr>
        <w:t>Radiocommunication</w:t>
      </w:r>
      <w:proofErr w:type="spellEnd"/>
      <w:r w:rsidRPr="00951000">
        <w:rPr>
          <w:sz w:val="24"/>
          <w:szCs w:val="24"/>
          <w:lang w:val="en-GB"/>
        </w:rPr>
        <w:t xml:space="preserve"> Bureau</w:t>
      </w:r>
      <w:r w:rsidR="00A6242C">
        <w:rPr>
          <w:sz w:val="24"/>
          <w:szCs w:val="24"/>
          <w:lang w:val="en-GB"/>
        </w:rPr>
        <w:t xml:space="preserve"> </w:t>
      </w:r>
      <w:r w:rsidR="00145CF6">
        <w:rPr>
          <w:sz w:val="24"/>
          <w:szCs w:val="24"/>
          <w:lang w:val="en-GB"/>
        </w:rPr>
        <w:t xml:space="preserve">to </w:t>
      </w:r>
      <w:r w:rsidRPr="00814B33">
        <w:rPr>
          <w:sz w:val="24"/>
          <w:szCs w:val="24"/>
          <w:lang w:val="en-GB"/>
        </w:rPr>
        <w:t xml:space="preserve">organize monitoring programmes on the impact of unwanted emissions from systems operating in the </w:t>
      </w:r>
      <w:proofErr w:type="gramStart"/>
      <w:r w:rsidRPr="00814B33">
        <w:rPr>
          <w:sz w:val="24"/>
          <w:szCs w:val="24"/>
          <w:lang w:val="en-GB"/>
        </w:rPr>
        <w:t>frequency</w:t>
      </w:r>
      <w:proofErr w:type="gramEnd"/>
      <w:r w:rsidRPr="00814B33">
        <w:rPr>
          <w:sz w:val="24"/>
          <w:szCs w:val="24"/>
          <w:lang w:val="en-GB"/>
        </w:rPr>
        <w:t xml:space="preserve"> bands 405.9-406 MHz and 406.1-406.2 MHz on MSS reception in the frequency band 406-406.1 MHz in order to assess the effectiveness of this Resolution</w:t>
      </w:r>
      <w:r w:rsidR="00EC0A6E" w:rsidRPr="00814B33">
        <w:rPr>
          <w:sz w:val="24"/>
          <w:szCs w:val="24"/>
          <w:lang w:val="en-GB"/>
        </w:rPr>
        <w:t>.</w:t>
      </w:r>
    </w:p>
    <w:p w14:paraId="13303D50" w14:textId="7633B1D5" w:rsidR="00F35363" w:rsidRDefault="006468EA" w:rsidP="00814B3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line="240" w:lineRule="auto"/>
        <w:ind w:left="142"/>
        <w:textAlignment w:val="auto"/>
        <w:rPr>
          <w:sz w:val="24"/>
          <w:szCs w:val="24"/>
          <w:lang w:val="en-GB"/>
        </w:rPr>
      </w:pPr>
      <w:r w:rsidRPr="00814B33">
        <w:rPr>
          <w:sz w:val="24"/>
          <w:szCs w:val="24"/>
          <w:lang w:val="en-GB"/>
        </w:rPr>
        <w:t xml:space="preserve">In response to this </w:t>
      </w:r>
      <w:r w:rsidR="00F2501E" w:rsidRPr="00814B33">
        <w:rPr>
          <w:sz w:val="24"/>
          <w:szCs w:val="24"/>
          <w:lang w:val="en-GB"/>
        </w:rPr>
        <w:t xml:space="preserve">WRC-15 </w:t>
      </w:r>
      <w:r w:rsidRPr="00814B33">
        <w:rPr>
          <w:sz w:val="24"/>
          <w:szCs w:val="24"/>
          <w:lang w:val="en-GB"/>
        </w:rPr>
        <w:t>decision, ITU-R Working Party 1C in co</w:t>
      </w:r>
      <w:r w:rsidR="00E61F5B" w:rsidRPr="00814B33">
        <w:rPr>
          <w:sz w:val="24"/>
          <w:szCs w:val="24"/>
          <w:lang w:val="en-GB"/>
        </w:rPr>
        <w:t>llaboration</w:t>
      </w:r>
      <w:r w:rsidRPr="00814B33">
        <w:rPr>
          <w:sz w:val="24"/>
          <w:szCs w:val="24"/>
          <w:lang w:val="en-GB"/>
        </w:rPr>
        <w:t xml:space="preserve"> with </w:t>
      </w:r>
      <w:r w:rsidR="00E61F5B" w:rsidRPr="00814B33">
        <w:rPr>
          <w:sz w:val="24"/>
          <w:szCs w:val="24"/>
          <w:lang w:val="en-GB"/>
        </w:rPr>
        <w:t xml:space="preserve">the </w:t>
      </w:r>
      <w:proofErr w:type="spellStart"/>
      <w:r w:rsidRPr="00814B33">
        <w:rPr>
          <w:sz w:val="24"/>
          <w:szCs w:val="24"/>
          <w:lang w:val="en-GB"/>
        </w:rPr>
        <w:t>Cospas-Sarsat</w:t>
      </w:r>
      <w:proofErr w:type="spellEnd"/>
      <w:r w:rsidRPr="00814B33">
        <w:rPr>
          <w:sz w:val="24"/>
          <w:szCs w:val="24"/>
          <w:lang w:val="en-GB"/>
        </w:rPr>
        <w:t xml:space="preserve"> </w:t>
      </w:r>
      <w:r w:rsidR="00E61F5B" w:rsidRPr="00814B33">
        <w:rPr>
          <w:sz w:val="24"/>
          <w:szCs w:val="24"/>
          <w:lang w:val="en-GB"/>
        </w:rPr>
        <w:t xml:space="preserve">Joint Committee </w:t>
      </w:r>
      <w:r w:rsidRPr="00814B33">
        <w:rPr>
          <w:sz w:val="24"/>
          <w:szCs w:val="24"/>
          <w:lang w:val="en-GB"/>
        </w:rPr>
        <w:t xml:space="preserve">and the Bureau identified possible ways of monitoring the bands 405.9-406 MHz and 406.1-406.2 MHz and completed the list of </w:t>
      </w:r>
      <w:r w:rsidR="00E61F5B" w:rsidRPr="00814B33">
        <w:rPr>
          <w:sz w:val="24"/>
          <w:szCs w:val="24"/>
          <w:lang w:val="en-GB"/>
        </w:rPr>
        <w:t>parameters to be measured</w:t>
      </w:r>
      <w:r w:rsidRPr="00814B33">
        <w:rPr>
          <w:sz w:val="24"/>
          <w:szCs w:val="24"/>
          <w:lang w:val="en-GB"/>
        </w:rPr>
        <w:t xml:space="preserve">. </w:t>
      </w:r>
      <w:r w:rsidR="00F35363" w:rsidRPr="00814B33">
        <w:rPr>
          <w:sz w:val="24"/>
          <w:szCs w:val="24"/>
          <w:lang w:val="en-GB"/>
        </w:rPr>
        <w:t xml:space="preserve">This list is </w:t>
      </w:r>
      <w:r w:rsidR="00F35363" w:rsidRPr="00814B33">
        <w:rPr>
          <w:sz w:val="24"/>
          <w:szCs w:val="24"/>
          <w:lang w:val="en-GB"/>
        </w:rPr>
        <w:lastRenderedPageBreak/>
        <w:t xml:space="preserve">contained in </w:t>
      </w:r>
      <w:r w:rsidR="00F35363">
        <w:rPr>
          <w:sz w:val="24"/>
          <w:szCs w:val="24"/>
          <w:lang w:val="en-GB"/>
        </w:rPr>
        <w:t>Recommendation ITU-R SM.1051-4 “</w:t>
      </w:r>
      <w:r w:rsidR="00F35363" w:rsidRPr="00C44DE4">
        <w:rPr>
          <w:sz w:val="24"/>
          <w:szCs w:val="24"/>
          <w:lang w:val="en-GB"/>
        </w:rPr>
        <w:t>Priority of identifying and eliminating harmful interference in the band 406-406.1 MHz</w:t>
      </w:r>
      <w:r w:rsidR="00F35363">
        <w:rPr>
          <w:sz w:val="24"/>
          <w:szCs w:val="24"/>
          <w:lang w:val="en-GB"/>
        </w:rPr>
        <w:t>”</w:t>
      </w:r>
      <w:r w:rsidR="00F35363" w:rsidRPr="00814B33">
        <w:rPr>
          <w:sz w:val="24"/>
          <w:szCs w:val="24"/>
          <w:lang w:val="en-GB"/>
        </w:rPr>
        <w:t xml:space="preserve"> </w:t>
      </w:r>
      <w:r w:rsidR="00F35363" w:rsidRPr="0031443E">
        <w:rPr>
          <w:sz w:val="24"/>
          <w:szCs w:val="24"/>
          <w:lang w:val="en-GB"/>
        </w:rPr>
        <w:t>a</w:t>
      </w:r>
      <w:r w:rsidR="00F35363">
        <w:rPr>
          <w:sz w:val="24"/>
          <w:szCs w:val="24"/>
          <w:lang w:val="en-GB"/>
        </w:rPr>
        <w:t>pprove</w:t>
      </w:r>
      <w:r w:rsidR="00F35363" w:rsidRPr="0031443E">
        <w:rPr>
          <w:sz w:val="24"/>
          <w:szCs w:val="24"/>
          <w:lang w:val="en-GB"/>
        </w:rPr>
        <w:t xml:space="preserve">d at </w:t>
      </w:r>
      <w:r w:rsidR="00F35363">
        <w:rPr>
          <w:sz w:val="24"/>
          <w:szCs w:val="24"/>
          <w:lang w:val="en-GB"/>
        </w:rPr>
        <w:t>the</w:t>
      </w:r>
      <w:r w:rsidR="00F35363" w:rsidRPr="0031443E">
        <w:rPr>
          <w:sz w:val="24"/>
          <w:szCs w:val="24"/>
          <w:lang w:val="en-GB"/>
        </w:rPr>
        <w:t xml:space="preserve"> June 201</w:t>
      </w:r>
      <w:r w:rsidR="00F35363">
        <w:rPr>
          <w:sz w:val="24"/>
          <w:szCs w:val="24"/>
          <w:lang w:val="en-GB"/>
        </w:rPr>
        <w:t>8</w:t>
      </w:r>
      <w:r w:rsidR="00F35363" w:rsidRPr="0031443E">
        <w:rPr>
          <w:sz w:val="24"/>
          <w:szCs w:val="24"/>
          <w:lang w:val="en-GB"/>
        </w:rPr>
        <w:t xml:space="preserve"> meeting</w:t>
      </w:r>
      <w:r w:rsidR="00F35363">
        <w:rPr>
          <w:sz w:val="24"/>
          <w:szCs w:val="24"/>
          <w:lang w:val="en-GB"/>
        </w:rPr>
        <w:t xml:space="preserve"> </w:t>
      </w:r>
      <w:r w:rsidR="0040177D">
        <w:rPr>
          <w:sz w:val="24"/>
          <w:szCs w:val="24"/>
          <w:lang w:val="en-GB"/>
        </w:rPr>
        <w:t xml:space="preserve">of </w:t>
      </w:r>
      <w:r w:rsidR="00F35363">
        <w:rPr>
          <w:sz w:val="24"/>
          <w:szCs w:val="24"/>
          <w:lang w:val="en-GB"/>
        </w:rPr>
        <w:t>Study Group 1.</w:t>
      </w:r>
    </w:p>
    <w:p w14:paraId="56E9497E" w14:textId="124FBD5D" w:rsidR="00E61F5B" w:rsidRPr="00814B33" w:rsidRDefault="00E61F5B" w:rsidP="00785D32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line="240" w:lineRule="auto"/>
        <w:ind w:left="142"/>
        <w:textAlignment w:val="auto"/>
        <w:rPr>
          <w:sz w:val="24"/>
          <w:szCs w:val="24"/>
          <w:lang w:val="en-GB"/>
        </w:rPr>
      </w:pPr>
      <w:r w:rsidRPr="00814B33">
        <w:rPr>
          <w:sz w:val="24"/>
          <w:szCs w:val="24"/>
          <w:lang w:val="en-GB"/>
        </w:rPr>
        <w:t xml:space="preserve">The purpose of this Circular Letter is to inform the Membership that the Bureau is </w:t>
      </w:r>
      <w:r w:rsidR="00F35363" w:rsidRPr="00814B33">
        <w:rPr>
          <w:sz w:val="24"/>
          <w:szCs w:val="24"/>
          <w:lang w:val="en-GB"/>
        </w:rPr>
        <w:t xml:space="preserve">now </w:t>
      </w:r>
      <w:r w:rsidRPr="00814B33">
        <w:rPr>
          <w:sz w:val="24"/>
          <w:szCs w:val="24"/>
          <w:lang w:val="en-GB"/>
        </w:rPr>
        <w:t>ready to receive and process reports of monitoring</w:t>
      </w:r>
      <w:r w:rsidR="00F35363" w:rsidRPr="00814B33">
        <w:rPr>
          <w:sz w:val="24"/>
          <w:szCs w:val="24"/>
          <w:lang w:val="en-GB"/>
        </w:rPr>
        <w:t xml:space="preserve"> in</w:t>
      </w:r>
      <w:r w:rsidRPr="00814B33">
        <w:rPr>
          <w:sz w:val="24"/>
          <w:szCs w:val="24"/>
          <w:lang w:val="en-GB"/>
        </w:rPr>
        <w:t xml:space="preserve"> </w:t>
      </w:r>
      <w:r w:rsidR="00F35363" w:rsidRPr="00814B33">
        <w:rPr>
          <w:sz w:val="24"/>
          <w:szCs w:val="24"/>
          <w:lang w:val="en-GB"/>
        </w:rPr>
        <w:t xml:space="preserve">the bands 405.9-406 MHz and 406.1-406.2 </w:t>
      </w:r>
      <w:proofErr w:type="spellStart"/>
      <w:r w:rsidR="00F35363" w:rsidRPr="00814B33">
        <w:rPr>
          <w:sz w:val="24"/>
          <w:szCs w:val="24"/>
          <w:lang w:val="en-GB"/>
        </w:rPr>
        <w:t>MHz.</w:t>
      </w:r>
      <w:proofErr w:type="spellEnd"/>
      <w:r w:rsidR="00F35363" w:rsidRPr="00814B33">
        <w:rPr>
          <w:sz w:val="24"/>
          <w:szCs w:val="24"/>
          <w:lang w:val="en-GB"/>
        </w:rPr>
        <w:t xml:space="preserve"> </w:t>
      </w:r>
      <w:r w:rsidR="00F2501E" w:rsidRPr="00814B33">
        <w:rPr>
          <w:sz w:val="24"/>
          <w:szCs w:val="24"/>
          <w:lang w:val="en-GB"/>
        </w:rPr>
        <w:t>In this respect</w:t>
      </w:r>
      <w:r w:rsidR="00F35363" w:rsidRPr="00814B33">
        <w:rPr>
          <w:sz w:val="24"/>
          <w:szCs w:val="24"/>
          <w:lang w:val="en-GB"/>
        </w:rPr>
        <w:t xml:space="preserve">, the administrations having the capability for monitoring these adjacent bands </w:t>
      </w:r>
      <w:proofErr w:type="gramStart"/>
      <w:r w:rsidR="00F35363" w:rsidRPr="00814B33">
        <w:rPr>
          <w:sz w:val="24"/>
          <w:szCs w:val="24"/>
          <w:lang w:val="en-GB"/>
        </w:rPr>
        <w:t>are urged</w:t>
      </w:r>
      <w:proofErr w:type="gramEnd"/>
      <w:r w:rsidR="00F35363" w:rsidRPr="00814B33">
        <w:rPr>
          <w:sz w:val="24"/>
          <w:szCs w:val="24"/>
          <w:lang w:val="en-GB"/>
        </w:rPr>
        <w:t xml:space="preserve"> to participate in the monitoring program and regularly report the results to the Bureau.</w:t>
      </w:r>
    </w:p>
    <w:p w14:paraId="71E57B11" w14:textId="66A0EF37" w:rsidR="00F35363" w:rsidRPr="00814B33" w:rsidRDefault="00F35363" w:rsidP="00F756A6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line="240" w:lineRule="auto"/>
        <w:ind w:left="142"/>
        <w:textAlignment w:val="auto"/>
        <w:rPr>
          <w:sz w:val="24"/>
          <w:szCs w:val="24"/>
          <w:lang w:val="en-GB"/>
        </w:rPr>
      </w:pPr>
      <w:r w:rsidRPr="00814B33">
        <w:rPr>
          <w:sz w:val="24"/>
          <w:szCs w:val="24"/>
          <w:lang w:val="en-GB"/>
        </w:rPr>
        <w:t xml:space="preserve">The parameters to </w:t>
      </w:r>
      <w:proofErr w:type="gramStart"/>
      <w:r w:rsidRPr="00814B33">
        <w:rPr>
          <w:sz w:val="24"/>
          <w:szCs w:val="24"/>
          <w:lang w:val="en-GB"/>
        </w:rPr>
        <w:t>be monitored</w:t>
      </w:r>
      <w:proofErr w:type="gramEnd"/>
      <w:r w:rsidRPr="00814B33">
        <w:rPr>
          <w:sz w:val="24"/>
          <w:szCs w:val="24"/>
          <w:lang w:val="en-GB"/>
        </w:rPr>
        <w:t xml:space="preserve">, periodicity and duration of measurements are </w:t>
      </w:r>
      <w:r w:rsidR="00244D2B" w:rsidRPr="00814B33">
        <w:rPr>
          <w:sz w:val="24"/>
          <w:szCs w:val="24"/>
          <w:lang w:val="en-GB"/>
        </w:rPr>
        <w:t xml:space="preserve">specified </w:t>
      </w:r>
      <w:r w:rsidRPr="00814B33">
        <w:rPr>
          <w:sz w:val="24"/>
          <w:szCs w:val="24"/>
          <w:lang w:val="en-GB"/>
        </w:rPr>
        <w:t>in the Annex to this Circular Letter</w:t>
      </w:r>
      <w:r w:rsidR="00094CC5" w:rsidRPr="00814B33">
        <w:rPr>
          <w:sz w:val="24"/>
          <w:szCs w:val="24"/>
          <w:lang w:val="en-GB"/>
        </w:rPr>
        <w:t xml:space="preserve"> (quoted from Annex 3 of Recommendation ITU-R SM.1051-4)</w:t>
      </w:r>
      <w:r w:rsidRPr="00814B33">
        <w:rPr>
          <w:sz w:val="24"/>
          <w:szCs w:val="24"/>
          <w:lang w:val="en-GB"/>
        </w:rPr>
        <w:t xml:space="preserve">. Administrations </w:t>
      </w:r>
      <w:proofErr w:type="gramStart"/>
      <w:r w:rsidRPr="00814B33">
        <w:rPr>
          <w:sz w:val="24"/>
          <w:szCs w:val="24"/>
          <w:lang w:val="en-GB"/>
        </w:rPr>
        <w:t>are invited</w:t>
      </w:r>
      <w:proofErr w:type="gramEnd"/>
      <w:r w:rsidRPr="00814B33">
        <w:rPr>
          <w:sz w:val="24"/>
          <w:szCs w:val="24"/>
          <w:lang w:val="en-GB"/>
        </w:rPr>
        <w:t xml:space="preserve"> to submit their monitoring reports </w:t>
      </w:r>
      <w:r>
        <w:rPr>
          <w:sz w:val="24"/>
          <w:szCs w:val="24"/>
          <w:lang w:val="en-GB"/>
        </w:rPr>
        <w:t>concerning</w:t>
      </w:r>
      <w:r w:rsidRPr="0031443E">
        <w:rPr>
          <w:sz w:val="24"/>
          <w:szCs w:val="24"/>
          <w:lang w:val="en-GB"/>
        </w:rPr>
        <w:t xml:space="preserve"> frequency bands 405.9-406 MHz and 406.1-406.2 MHz</w:t>
      </w:r>
      <w:r w:rsidRPr="00814B33">
        <w:rPr>
          <w:sz w:val="24"/>
          <w:szCs w:val="24"/>
          <w:lang w:val="en-GB"/>
        </w:rPr>
        <w:t xml:space="preserve"> to </w:t>
      </w:r>
      <w:hyperlink r:id="rId8" w:history="1">
        <w:r w:rsidR="00F756A6" w:rsidRPr="00F756A6">
          <w:rPr>
            <w:rStyle w:val="Hyperlink"/>
            <w:lang w:val="en-GB"/>
          </w:rPr>
          <w:t>brtpr@itu.int</w:t>
        </w:r>
      </w:hyperlink>
      <w:r w:rsidR="00F756A6">
        <w:rPr>
          <w:lang w:val="en-GB"/>
        </w:rPr>
        <w:t xml:space="preserve"> </w:t>
      </w:r>
      <w:r w:rsidRPr="00814B33">
        <w:rPr>
          <w:sz w:val="24"/>
          <w:szCs w:val="24"/>
          <w:lang w:val="en-GB"/>
        </w:rPr>
        <w:t xml:space="preserve">, preferably in Excel format. </w:t>
      </w:r>
    </w:p>
    <w:p w14:paraId="07FADF2A" w14:textId="168F3759" w:rsidR="00AF3BDB" w:rsidRPr="00814B33" w:rsidRDefault="00AF3BDB" w:rsidP="00814B3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line="240" w:lineRule="auto"/>
        <w:ind w:left="142"/>
        <w:textAlignment w:val="auto"/>
        <w:rPr>
          <w:sz w:val="24"/>
          <w:szCs w:val="24"/>
          <w:lang w:val="en-GB"/>
        </w:rPr>
      </w:pPr>
      <w:r w:rsidRPr="002A196F">
        <w:rPr>
          <w:sz w:val="24"/>
          <w:szCs w:val="24"/>
          <w:lang w:val="en-GB"/>
        </w:rPr>
        <w:t xml:space="preserve">The Bureau remains at the disposal of your Administration for any clarification you may require with respect to the subject covered in this Circular Letter. For any assistance, please contact </w:t>
      </w:r>
      <w:hyperlink r:id="rId9" w:history="1">
        <w:r w:rsidR="00F756A6">
          <w:rPr>
            <w:rStyle w:val="Hyperlink"/>
          </w:rPr>
          <w:t>brmail@itu.int</w:t>
        </w:r>
      </w:hyperlink>
      <w:r w:rsidRPr="002A196F">
        <w:rPr>
          <w:sz w:val="24"/>
          <w:szCs w:val="24"/>
          <w:lang w:val="en-GB"/>
        </w:rPr>
        <w:t>.</w:t>
      </w:r>
    </w:p>
    <w:p w14:paraId="20846245" w14:textId="77777777" w:rsidR="00AF3BDB" w:rsidRDefault="00AF3BDB" w:rsidP="00907BE8">
      <w:pPr>
        <w:spacing w:before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5D9DD36F" w14:textId="77777777" w:rsidR="004F2A09" w:rsidRPr="000D79FA" w:rsidRDefault="004F2A09" w:rsidP="00AF3BD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en-GB"/>
        </w:rPr>
      </w:pPr>
    </w:p>
    <w:p w14:paraId="11BAB69A" w14:textId="77777777" w:rsidR="00AF3BDB" w:rsidRPr="000D79FA" w:rsidRDefault="00AF3BDB" w:rsidP="00AF3BD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en-GB"/>
        </w:rPr>
      </w:pPr>
    </w:p>
    <w:p w14:paraId="7876BC30" w14:textId="77777777" w:rsidR="00814B33" w:rsidRDefault="00814B33" w:rsidP="00AF3BD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2FBFB00" w14:textId="77777777" w:rsidR="00AF3BDB" w:rsidRPr="004C5C55" w:rsidRDefault="00AF3BDB" w:rsidP="004C5C55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line="240" w:lineRule="auto"/>
        <w:ind w:left="142"/>
        <w:textAlignment w:val="auto"/>
        <w:rPr>
          <w:sz w:val="24"/>
          <w:szCs w:val="24"/>
          <w:lang w:val="en-GB"/>
        </w:rPr>
      </w:pPr>
      <w:r w:rsidRPr="004C5C55">
        <w:rPr>
          <w:sz w:val="24"/>
          <w:szCs w:val="24"/>
          <w:lang w:val="en-GB"/>
        </w:rPr>
        <w:t>François Rancy</w:t>
      </w:r>
    </w:p>
    <w:p w14:paraId="57D90CA9" w14:textId="77777777" w:rsidR="00AF3BDB" w:rsidRPr="004C5C55" w:rsidRDefault="00AF3BDB" w:rsidP="004C5C55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40" w:lineRule="auto"/>
        <w:ind w:left="142"/>
        <w:textAlignment w:val="auto"/>
        <w:rPr>
          <w:sz w:val="24"/>
          <w:szCs w:val="24"/>
          <w:lang w:val="en-GB"/>
        </w:rPr>
      </w:pPr>
      <w:r w:rsidRPr="004C5C55">
        <w:rPr>
          <w:sz w:val="24"/>
          <w:szCs w:val="24"/>
          <w:lang w:val="en-GB"/>
        </w:rPr>
        <w:t>Director</w:t>
      </w:r>
    </w:p>
    <w:p w14:paraId="05BAD49A" w14:textId="77777777" w:rsidR="005731FC" w:rsidRPr="004C5C55" w:rsidRDefault="005731FC" w:rsidP="004C5C55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line="240" w:lineRule="auto"/>
        <w:ind w:left="142"/>
        <w:textAlignment w:val="auto"/>
        <w:rPr>
          <w:sz w:val="24"/>
          <w:szCs w:val="24"/>
          <w:lang w:val="en-GB"/>
        </w:rPr>
      </w:pPr>
    </w:p>
    <w:p w14:paraId="1DD6AA97" w14:textId="77777777" w:rsidR="002B5395" w:rsidRDefault="002B5395" w:rsidP="004C5C55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line="240" w:lineRule="auto"/>
        <w:ind w:left="142"/>
        <w:textAlignment w:val="auto"/>
        <w:rPr>
          <w:sz w:val="24"/>
          <w:szCs w:val="24"/>
          <w:lang w:val="en-GB"/>
        </w:rPr>
      </w:pPr>
    </w:p>
    <w:p w14:paraId="4F5B18BA" w14:textId="77777777" w:rsidR="002B5395" w:rsidRDefault="002B5395" w:rsidP="004C5C55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line="240" w:lineRule="auto"/>
        <w:ind w:left="142"/>
        <w:textAlignment w:val="auto"/>
        <w:rPr>
          <w:sz w:val="24"/>
          <w:szCs w:val="24"/>
          <w:lang w:val="en-GB"/>
        </w:rPr>
      </w:pPr>
    </w:p>
    <w:p w14:paraId="4E33511B" w14:textId="77777777" w:rsidR="00AF3BDB" w:rsidRPr="0074244F" w:rsidRDefault="00AF3BDB" w:rsidP="004C5C55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line="240" w:lineRule="auto"/>
        <w:ind w:left="142"/>
        <w:textAlignment w:val="auto"/>
        <w:rPr>
          <w:rFonts w:asciiTheme="minorHAnsi" w:hAnsiTheme="minorHAnsi" w:cstheme="minorHAnsi"/>
          <w:b/>
          <w:bCs/>
          <w:szCs w:val="24"/>
        </w:rPr>
      </w:pPr>
      <w:r w:rsidRPr="004C5C55">
        <w:rPr>
          <w:sz w:val="24"/>
          <w:szCs w:val="24"/>
          <w:lang w:val="en-GB"/>
        </w:rPr>
        <w:t>Distribution</w:t>
      </w:r>
      <w:r w:rsidRPr="0074244F">
        <w:rPr>
          <w:rFonts w:asciiTheme="minorHAnsi" w:hAnsiTheme="minorHAnsi" w:cstheme="minorHAnsi"/>
          <w:b/>
          <w:bCs/>
          <w:szCs w:val="24"/>
        </w:rPr>
        <w:t>:</w:t>
      </w:r>
    </w:p>
    <w:p w14:paraId="21BB5A25" w14:textId="77777777" w:rsidR="00AF3BDB" w:rsidRPr="008C3ECA" w:rsidRDefault="00AF3BDB" w:rsidP="00AF3BDB">
      <w:pPr>
        <w:tabs>
          <w:tab w:val="clear" w:pos="794"/>
          <w:tab w:val="left" w:pos="426"/>
        </w:tabs>
        <w:spacing w:before="0"/>
        <w:ind w:left="426"/>
        <w:jc w:val="left"/>
        <w:rPr>
          <w:sz w:val="18"/>
          <w:szCs w:val="18"/>
          <w:lang w:val="en-GB"/>
        </w:rPr>
      </w:pPr>
      <w:r w:rsidRPr="008C3ECA">
        <w:rPr>
          <w:sz w:val="18"/>
          <w:szCs w:val="18"/>
          <w:lang w:val="en-GB"/>
        </w:rPr>
        <w:t>–</w:t>
      </w:r>
      <w:r w:rsidRPr="008C3ECA">
        <w:rPr>
          <w:sz w:val="18"/>
          <w:szCs w:val="18"/>
          <w:lang w:val="en-GB"/>
        </w:rPr>
        <w:tab/>
        <w:t>Administrations of Member States of ITU</w:t>
      </w:r>
      <w:r w:rsidRPr="008C3ECA">
        <w:rPr>
          <w:sz w:val="18"/>
          <w:szCs w:val="18"/>
          <w:lang w:val="en-GB"/>
        </w:rPr>
        <w:br/>
        <w:t>–</w:t>
      </w:r>
      <w:r w:rsidRPr="008C3ECA">
        <w:rPr>
          <w:sz w:val="18"/>
          <w:szCs w:val="18"/>
          <w:lang w:val="en-GB"/>
        </w:rPr>
        <w:tab/>
        <w:t>Members of the Radio Regulations Board</w:t>
      </w:r>
    </w:p>
    <w:p w14:paraId="45CADAF3" w14:textId="77777777" w:rsidR="0031443E" w:rsidRDefault="0031443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sz w:val="24"/>
          <w:szCs w:val="24"/>
          <w:lang w:val="en-GB"/>
        </w:rPr>
      </w:pPr>
      <w:bookmarkStart w:id="1" w:name="CurrentLocation"/>
      <w:bookmarkEnd w:id="1"/>
      <w:r>
        <w:rPr>
          <w:szCs w:val="24"/>
          <w:lang w:val="en-GB"/>
        </w:rPr>
        <w:br w:type="page"/>
      </w:r>
    </w:p>
    <w:p w14:paraId="05E0BABC" w14:textId="4F1DDF59" w:rsidR="00E61F5B" w:rsidRDefault="00C44DE4" w:rsidP="00951000">
      <w:pPr>
        <w:spacing w:before="0"/>
        <w:jc w:val="center"/>
        <w:rPr>
          <w:rFonts w:ascii="Times New Roman Bold" w:hAnsi="Times New Roman Bold" w:cs="Times New Roman"/>
          <w:sz w:val="28"/>
          <w:szCs w:val="20"/>
          <w:lang w:val="en-GB"/>
        </w:rPr>
      </w:pPr>
      <w:bookmarkStart w:id="2" w:name="asunto"/>
      <w:bookmarkEnd w:id="2"/>
      <w:r w:rsidRPr="00C44DE4">
        <w:rPr>
          <w:rFonts w:ascii="Times New Roman Bold" w:hAnsi="Times New Roman Bold" w:cs="Times New Roman"/>
          <w:sz w:val="28"/>
          <w:szCs w:val="20"/>
        </w:rPr>
        <w:lastRenderedPageBreak/>
        <w:t xml:space="preserve">Annex </w:t>
      </w:r>
      <w:r w:rsidRPr="00C44DE4">
        <w:rPr>
          <w:rFonts w:ascii="Times New Roman Bold" w:hAnsi="Times New Roman Bold" w:cs="Times New Roman"/>
          <w:sz w:val="28"/>
          <w:szCs w:val="20"/>
        </w:rPr>
        <w:br/>
      </w:r>
      <w:r>
        <w:br/>
      </w:r>
      <w:r w:rsidR="00F35363">
        <w:rPr>
          <w:rFonts w:ascii="Times New Roman Bold" w:hAnsi="Times New Roman Bold" w:cs="Times New Roman"/>
          <w:sz w:val="28"/>
          <w:szCs w:val="20"/>
          <w:lang w:val="en-GB"/>
        </w:rPr>
        <w:t xml:space="preserve">List of parameters to </w:t>
      </w:r>
      <w:proofErr w:type="gramStart"/>
      <w:r w:rsidR="00F35363">
        <w:rPr>
          <w:rFonts w:ascii="Times New Roman Bold" w:hAnsi="Times New Roman Bold" w:cs="Times New Roman"/>
          <w:sz w:val="28"/>
          <w:szCs w:val="20"/>
          <w:lang w:val="en-GB"/>
        </w:rPr>
        <w:t>be monitored</w:t>
      </w:r>
      <w:proofErr w:type="gramEnd"/>
      <w:r w:rsidRPr="00C44DE4">
        <w:rPr>
          <w:rFonts w:ascii="Times New Roman Bold" w:hAnsi="Times New Roman Bold" w:cs="Times New Roman"/>
          <w:sz w:val="28"/>
          <w:szCs w:val="20"/>
          <w:lang w:val="en-GB"/>
        </w:rPr>
        <w:t xml:space="preserve"> in the </w:t>
      </w:r>
      <w:r w:rsidR="005055EE">
        <w:rPr>
          <w:rFonts w:ascii="Times New Roman Bold" w:hAnsi="Times New Roman Bold" w:cs="Times New Roman"/>
          <w:sz w:val="28"/>
          <w:szCs w:val="20"/>
          <w:lang w:val="en-GB"/>
        </w:rPr>
        <w:t xml:space="preserve">frequency </w:t>
      </w:r>
      <w:r w:rsidR="00F35363">
        <w:rPr>
          <w:rFonts w:ascii="Times New Roman Bold" w:hAnsi="Times New Roman Bold" w:cs="Times New Roman"/>
          <w:sz w:val="28"/>
          <w:szCs w:val="20"/>
          <w:lang w:val="en-GB"/>
        </w:rPr>
        <w:t xml:space="preserve">bands </w:t>
      </w:r>
      <w:r w:rsidRPr="00C44DE4">
        <w:rPr>
          <w:rFonts w:ascii="Times New Roman Bold" w:hAnsi="Times New Roman Bold" w:cs="Times New Roman"/>
          <w:sz w:val="28"/>
          <w:szCs w:val="20"/>
          <w:lang w:val="en-GB"/>
        </w:rPr>
        <w:t xml:space="preserve">405.9-406 MHz and 406.1-406.2 MHz </w:t>
      </w:r>
      <w:r w:rsidR="005055EE">
        <w:rPr>
          <w:rFonts w:ascii="Times New Roman Bold" w:hAnsi="Times New Roman Bold" w:cs="Times New Roman"/>
          <w:sz w:val="28"/>
          <w:szCs w:val="20"/>
          <w:lang w:val="en-GB"/>
        </w:rPr>
        <w:t>and other related information</w:t>
      </w:r>
    </w:p>
    <w:p w14:paraId="581EE283" w14:textId="196872D3" w:rsidR="00C44DE4" w:rsidRPr="00C44DE4" w:rsidRDefault="00C44DE4" w:rsidP="00951000">
      <w:pPr>
        <w:spacing w:before="0"/>
        <w:jc w:val="center"/>
        <w:rPr>
          <w:rFonts w:ascii="Times New Roman Bold" w:hAnsi="Times New Roman Bold" w:cs="Times New Roman"/>
          <w:sz w:val="28"/>
          <w:szCs w:val="20"/>
          <w:lang w:val="en-GB"/>
        </w:rPr>
      </w:pPr>
      <w:r w:rsidRPr="00C44DE4" w:rsidDel="00877DD8">
        <w:rPr>
          <w:rFonts w:ascii="Times New Roman Bold" w:hAnsi="Times New Roman Bold" w:cs="Times New Roman"/>
          <w:sz w:val="28"/>
          <w:szCs w:val="20"/>
          <w:lang w:val="en-GB"/>
        </w:rPr>
        <w:t xml:space="preserve"> </w:t>
      </w:r>
    </w:p>
    <w:p w14:paraId="33E4AB62" w14:textId="1BD2A39F" w:rsidR="00C44DE4" w:rsidRPr="00D502CC" w:rsidRDefault="00C44DE4" w:rsidP="00D502CC">
      <w:pPr>
        <w:pStyle w:val="Heading1"/>
        <w:numPr>
          <w:ilvl w:val="0"/>
          <w:numId w:val="5"/>
        </w:numPr>
        <w:spacing w:before="0"/>
        <w:jc w:val="left"/>
        <w:rPr>
          <w:sz w:val="22"/>
        </w:rPr>
      </w:pPr>
      <w:r w:rsidRPr="00D502CC">
        <w:rPr>
          <w:sz w:val="22"/>
        </w:rPr>
        <w:t xml:space="preserve">Information requested in case of terrestrial monitoring </w:t>
      </w:r>
    </w:p>
    <w:p w14:paraId="668FA8BD" w14:textId="57864725" w:rsidR="00C44DE4" w:rsidRPr="00D502CC" w:rsidRDefault="00C44DE4" w:rsidP="00D502CC">
      <w:pPr>
        <w:pStyle w:val="enumlev1"/>
        <w:numPr>
          <w:ilvl w:val="0"/>
          <w:numId w:val="6"/>
        </w:numPr>
      </w:pPr>
      <w:r w:rsidRPr="00D502CC">
        <w:t>Location of the monitoring receiver (</w:t>
      </w:r>
      <w:proofErr w:type="spellStart"/>
      <w:r w:rsidRPr="00D502CC">
        <w:t>Lat</w:t>
      </w:r>
      <w:proofErr w:type="spellEnd"/>
      <w:r w:rsidRPr="00D502CC">
        <w:t>, Long, country, nearest major city).</w:t>
      </w:r>
    </w:p>
    <w:p w14:paraId="30494835" w14:textId="13194AB7" w:rsidR="00C44DE4" w:rsidRPr="00D502CC" w:rsidRDefault="00C44DE4" w:rsidP="00D502CC">
      <w:pPr>
        <w:pStyle w:val="enumlev1"/>
        <w:numPr>
          <w:ilvl w:val="0"/>
          <w:numId w:val="6"/>
        </w:numPr>
      </w:pPr>
      <w:r w:rsidRPr="00D502CC">
        <w:t>Time start/stop, monitoring period</w:t>
      </w:r>
    </w:p>
    <w:p w14:paraId="0663E22A" w14:textId="516853D0" w:rsidR="00C44DE4" w:rsidRPr="00D502CC" w:rsidRDefault="00C44DE4" w:rsidP="00D502CC">
      <w:pPr>
        <w:pStyle w:val="enumlev1"/>
        <w:numPr>
          <w:ilvl w:val="0"/>
          <w:numId w:val="6"/>
        </w:numPr>
      </w:pPr>
      <w:r w:rsidRPr="00D502CC">
        <w:t xml:space="preserve">Average, minimum and maximum Electrical field strength in </w:t>
      </w:r>
      <w:proofErr w:type="spellStart"/>
      <w:r w:rsidRPr="00D502CC">
        <w:t>dBµV</w:t>
      </w:r>
      <w:proofErr w:type="spellEnd"/>
      <w:r w:rsidRPr="00D502CC">
        <w:t xml:space="preserve">/m (detector linear average or average), minimum and maximum received power in </w:t>
      </w:r>
      <w:proofErr w:type="spellStart"/>
      <w:r w:rsidRPr="00D502CC">
        <w:t>dBµW</w:t>
      </w:r>
      <w:proofErr w:type="spellEnd"/>
      <w:r w:rsidRPr="00D502CC">
        <w:t xml:space="preserve"> (detector log average) as received by the antenna of the monitoring device in the frequency band 405.9-406 MHz </w:t>
      </w:r>
    </w:p>
    <w:p w14:paraId="40E80E9E" w14:textId="5EEBA9E4" w:rsidR="00C44DE4" w:rsidRPr="00D502CC" w:rsidRDefault="00C44DE4" w:rsidP="00D502CC">
      <w:pPr>
        <w:pStyle w:val="enumlev1"/>
        <w:numPr>
          <w:ilvl w:val="0"/>
          <w:numId w:val="6"/>
        </w:numPr>
      </w:pPr>
      <w:r w:rsidRPr="00D502CC">
        <w:t xml:space="preserve">Average, minimum and maximum Electrical field strength in </w:t>
      </w:r>
      <w:proofErr w:type="spellStart"/>
      <w:r w:rsidRPr="00D502CC">
        <w:t>dBµV</w:t>
      </w:r>
      <w:proofErr w:type="spellEnd"/>
      <w:r w:rsidRPr="00D502CC">
        <w:t xml:space="preserve">/m (detector linear average or average), minimum and maximum received power in </w:t>
      </w:r>
      <w:proofErr w:type="spellStart"/>
      <w:r w:rsidRPr="00D502CC">
        <w:t>dBµW</w:t>
      </w:r>
      <w:proofErr w:type="spellEnd"/>
      <w:r w:rsidRPr="00D502CC">
        <w:t xml:space="preserve"> (detector log average) as received by the antenna of the monitoring device in the frequency band 406.1-406.2 MHz </w:t>
      </w:r>
    </w:p>
    <w:p w14:paraId="2185A76E" w14:textId="77777777" w:rsidR="00C44DE4" w:rsidRPr="00D502CC" w:rsidRDefault="00C44DE4" w:rsidP="00C44DE4">
      <w:pPr>
        <w:tabs>
          <w:tab w:val="left" w:pos="426"/>
        </w:tabs>
      </w:pPr>
      <w:r w:rsidRPr="00D502CC">
        <w:t xml:space="preserve">If a transmission is detected, the </w:t>
      </w:r>
      <w:proofErr w:type="gramStart"/>
      <w:r w:rsidRPr="00D502CC">
        <w:t>data base</w:t>
      </w:r>
      <w:proofErr w:type="gramEnd"/>
      <w:r w:rsidRPr="00D502CC">
        <w:t xml:space="preserve"> will contain the following parameters:</w:t>
      </w:r>
    </w:p>
    <w:p w14:paraId="1F74ED3F" w14:textId="402BBF03" w:rsidR="00C44DE4" w:rsidRPr="00D502CC" w:rsidRDefault="00C44DE4" w:rsidP="00D502CC">
      <w:pPr>
        <w:pStyle w:val="enumlev1"/>
        <w:numPr>
          <w:ilvl w:val="0"/>
          <w:numId w:val="6"/>
        </w:numPr>
      </w:pPr>
      <w:r w:rsidRPr="00D502CC">
        <w:t>Centre frequency for a given bandwidth of transmission (resolution bandwidth of the receiver around 100 Hz)</w:t>
      </w:r>
    </w:p>
    <w:p w14:paraId="63BE4BE6" w14:textId="1963D239" w:rsidR="00C44DE4" w:rsidRPr="00D502CC" w:rsidRDefault="00C44DE4" w:rsidP="00D502CC">
      <w:pPr>
        <w:pStyle w:val="enumlev1"/>
        <w:numPr>
          <w:ilvl w:val="0"/>
          <w:numId w:val="6"/>
        </w:numPr>
      </w:pPr>
      <w:r w:rsidRPr="00D502CC">
        <w:t>Retrieved bandwidth for each observation</w:t>
      </w:r>
    </w:p>
    <w:p w14:paraId="1672915F" w14:textId="699CD6E8" w:rsidR="00C44DE4" w:rsidRPr="00D502CC" w:rsidRDefault="00C44DE4" w:rsidP="00D502CC">
      <w:pPr>
        <w:pStyle w:val="enumlev1"/>
        <w:numPr>
          <w:ilvl w:val="0"/>
          <w:numId w:val="6"/>
        </w:numPr>
      </w:pPr>
      <w:r w:rsidRPr="00D502CC">
        <w:t xml:space="preserve">Electrical field strength in </w:t>
      </w:r>
      <w:proofErr w:type="spellStart"/>
      <w:r w:rsidRPr="00D502CC">
        <w:t>dBµV</w:t>
      </w:r>
      <w:proofErr w:type="spellEnd"/>
      <w:r w:rsidRPr="00D502CC">
        <w:t>/m as received by the antenna of the monitoring device</w:t>
      </w:r>
    </w:p>
    <w:p w14:paraId="443FA2AF" w14:textId="6FCB2236" w:rsidR="00C44DE4" w:rsidRPr="00D502CC" w:rsidRDefault="00C44DE4" w:rsidP="00D502CC">
      <w:pPr>
        <w:pStyle w:val="enumlev1"/>
        <w:numPr>
          <w:ilvl w:val="0"/>
          <w:numId w:val="6"/>
        </w:numPr>
      </w:pPr>
      <w:r w:rsidRPr="00D502CC">
        <w:t>In case of measurements performed using directional antenna, azimuth of reception.</w:t>
      </w:r>
    </w:p>
    <w:p w14:paraId="5850DDC1" w14:textId="77777777" w:rsidR="00C44DE4" w:rsidRPr="00D502CC" w:rsidRDefault="00C44DE4" w:rsidP="00C44DE4">
      <w:r w:rsidRPr="00D502CC">
        <w:t xml:space="preserve">Additional monitoring outputs </w:t>
      </w:r>
      <w:proofErr w:type="gramStart"/>
      <w:r w:rsidRPr="00D502CC">
        <w:t>may be provided</w:t>
      </w:r>
      <w:proofErr w:type="gramEnd"/>
      <w:r w:rsidRPr="00D502CC">
        <w:t xml:space="preserve"> as available such as the channel occupancy.</w:t>
      </w:r>
    </w:p>
    <w:p w14:paraId="31580836" w14:textId="77777777" w:rsidR="00C44DE4" w:rsidRDefault="00C44DE4" w:rsidP="00951000">
      <w:pPr>
        <w:spacing w:before="120"/>
      </w:pPr>
      <w:r w:rsidRPr="00D502CC">
        <w:t xml:space="preserve">Administrations wishing to provide data should perform monitoring campaigns on a regular basis (for example several times a year if possible). The duration of a monitoring </w:t>
      </w:r>
      <w:proofErr w:type="gramStart"/>
      <w:r w:rsidRPr="00D502CC">
        <w:t>should be optimized</w:t>
      </w:r>
      <w:proofErr w:type="gramEnd"/>
      <w:r w:rsidRPr="00D502CC">
        <w:t xml:space="preserve"> according to the types of observation: fixed (typically 2 days).</w:t>
      </w:r>
    </w:p>
    <w:p w14:paraId="21052B80" w14:textId="77777777" w:rsidR="00D502CC" w:rsidRPr="00D502CC" w:rsidRDefault="00D502CC" w:rsidP="00951000">
      <w:pPr>
        <w:spacing w:before="120"/>
      </w:pPr>
    </w:p>
    <w:p w14:paraId="193FC3F4" w14:textId="6C5F59CE" w:rsidR="00C44DE4" w:rsidRPr="00D502CC" w:rsidRDefault="00C44DE4" w:rsidP="00D502CC">
      <w:pPr>
        <w:pStyle w:val="Heading1"/>
        <w:numPr>
          <w:ilvl w:val="0"/>
          <w:numId w:val="5"/>
        </w:numPr>
        <w:spacing w:before="0"/>
        <w:rPr>
          <w:sz w:val="22"/>
        </w:rPr>
      </w:pPr>
      <w:r w:rsidRPr="00D502CC">
        <w:rPr>
          <w:sz w:val="22"/>
        </w:rPr>
        <w:t xml:space="preserve">Information requested in case of monitoring using satellites </w:t>
      </w:r>
    </w:p>
    <w:p w14:paraId="3E4D344B" w14:textId="77777777" w:rsidR="00C44DE4" w:rsidRPr="00D502CC" w:rsidRDefault="00C44DE4" w:rsidP="00C44DE4">
      <w:pPr>
        <w:rPr>
          <w:rFonts w:eastAsiaTheme="minorHAnsi"/>
        </w:rPr>
      </w:pPr>
      <w:proofErr w:type="gramStart"/>
      <w:r w:rsidRPr="00D502CC">
        <w:rPr>
          <w:rFonts w:eastAsiaTheme="minorHAnsi"/>
        </w:rPr>
        <w:t>The following list of information can be provided by space agencies, institutions or international organizations having access to satellite infrastructure</w:t>
      </w:r>
      <w:proofErr w:type="gramEnd"/>
      <w:r w:rsidRPr="00D502CC">
        <w:rPr>
          <w:rFonts w:eastAsiaTheme="minorHAnsi"/>
        </w:rPr>
        <w:t xml:space="preserve">:  </w:t>
      </w:r>
    </w:p>
    <w:p w14:paraId="32DBF41E" w14:textId="180FBEC2" w:rsidR="00C44DE4" w:rsidRPr="00D502CC" w:rsidRDefault="00C44DE4" w:rsidP="00D502CC">
      <w:pPr>
        <w:pStyle w:val="enumlev1"/>
        <w:numPr>
          <w:ilvl w:val="0"/>
          <w:numId w:val="6"/>
        </w:numPr>
      </w:pPr>
      <w:r w:rsidRPr="00D502CC">
        <w:t>Time start/stop, monitoring period</w:t>
      </w:r>
    </w:p>
    <w:p w14:paraId="3B30F8B1" w14:textId="756E7C95" w:rsidR="00C44DE4" w:rsidRPr="00D502CC" w:rsidRDefault="00C44DE4" w:rsidP="00D502CC">
      <w:pPr>
        <w:pStyle w:val="enumlev1"/>
        <w:numPr>
          <w:ilvl w:val="0"/>
          <w:numId w:val="6"/>
        </w:numPr>
      </w:pPr>
      <w:r w:rsidRPr="00D502CC">
        <w:t>Mean latitude/longitude, Location of the emission being monitored, including country and nearest major city</w:t>
      </w:r>
    </w:p>
    <w:p w14:paraId="60C17750" w14:textId="02156B25" w:rsidR="00C44DE4" w:rsidRPr="00D502CC" w:rsidRDefault="00C44DE4" w:rsidP="00D502CC">
      <w:pPr>
        <w:pStyle w:val="enumlev1"/>
        <w:numPr>
          <w:ilvl w:val="0"/>
          <w:numId w:val="6"/>
        </w:numPr>
      </w:pPr>
      <w:r w:rsidRPr="00D502CC">
        <w:t>Duration and time of the occurred emission</w:t>
      </w:r>
    </w:p>
    <w:p w14:paraId="790B302B" w14:textId="6D339949" w:rsidR="00C44DE4" w:rsidRPr="00D502CC" w:rsidRDefault="00C44DE4" w:rsidP="00D502CC">
      <w:pPr>
        <w:pStyle w:val="enumlev1"/>
        <w:numPr>
          <w:ilvl w:val="0"/>
          <w:numId w:val="6"/>
        </w:numPr>
      </w:pPr>
      <w:r w:rsidRPr="00D502CC">
        <w:t>Centre frequency for a given bandwidth of transmission</w:t>
      </w:r>
    </w:p>
    <w:p w14:paraId="3D43E858" w14:textId="7AAAFA44" w:rsidR="00C44DE4" w:rsidRPr="00D502CC" w:rsidRDefault="00C44DE4" w:rsidP="00D502CC">
      <w:pPr>
        <w:pStyle w:val="enumlev1"/>
        <w:numPr>
          <w:ilvl w:val="0"/>
          <w:numId w:val="6"/>
        </w:numPr>
      </w:pPr>
      <w:r w:rsidRPr="00D502CC">
        <w:t>Retrieved bandwidth for each observed emission</w:t>
      </w:r>
    </w:p>
    <w:p w14:paraId="71354238" w14:textId="7527890B" w:rsidR="00C44DE4" w:rsidRPr="00D502CC" w:rsidRDefault="00C44DE4" w:rsidP="00D502CC">
      <w:pPr>
        <w:pStyle w:val="enumlev1"/>
        <w:numPr>
          <w:ilvl w:val="0"/>
          <w:numId w:val="6"/>
        </w:numPr>
      </w:pPr>
      <w:r w:rsidRPr="00D502CC">
        <w:t>Signal strength</w:t>
      </w:r>
    </w:p>
    <w:p w14:paraId="233A5EC6" w14:textId="7B99DEF8" w:rsidR="00C44DE4" w:rsidRPr="00D502CC" w:rsidRDefault="00C44DE4" w:rsidP="00D502CC">
      <w:pPr>
        <w:pStyle w:val="enumlev1"/>
        <w:numPr>
          <w:ilvl w:val="0"/>
          <w:numId w:val="6"/>
        </w:numPr>
      </w:pPr>
      <w:r w:rsidRPr="00D502CC">
        <w:t>In case of measurements performed using directional antenna, azimuth of reception.</w:t>
      </w:r>
    </w:p>
    <w:p w14:paraId="1152924C" w14:textId="77777777" w:rsidR="00C44DE4" w:rsidRPr="00D502CC" w:rsidRDefault="00C44DE4" w:rsidP="00C44DE4">
      <w:r w:rsidRPr="00D502CC">
        <w:t xml:space="preserve">Additional monitoring outputs </w:t>
      </w:r>
      <w:proofErr w:type="gramStart"/>
      <w:r w:rsidRPr="00D502CC">
        <w:t>may be provided</w:t>
      </w:r>
      <w:proofErr w:type="gramEnd"/>
      <w:r w:rsidRPr="00D502CC">
        <w:t xml:space="preserve"> as available such as the channel occupancy.</w:t>
      </w:r>
    </w:p>
    <w:p w14:paraId="5CAD5C48" w14:textId="480E356B" w:rsidR="00AF3BDB" w:rsidRPr="00D502CC" w:rsidRDefault="00C44DE4" w:rsidP="00951000">
      <w:r w:rsidRPr="00D502CC">
        <w:rPr>
          <w:rFonts w:eastAsiaTheme="minorHAnsi"/>
        </w:rPr>
        <w:t>Space agencies, institutions or international organizations</w:t>
      </w:r>
      <w:r w:rsidRPr="00D502CC">
        <w:t xml:space="preserve"> wishing to provide data should perform monitoring campaigns on a regular basis (for example several times a year if possible). The duration of a monitoring </w:t>
      </w:r>
      <w:proofErr w:type="gramStart"/>
      <w:r w:rsidRPr="00D502CC">
        <w:t>should be optimized</w:t>
      </w:r>
      <w:proofErr w:type="gramEnd"/>
      <w:r w:rsidRPr="00D502CC">
        <w:t xml:space="preserve"> according to the types of observation: fixed (typically 2 days).</w:t>
      </w:r>
    </w:p>
    <w:p w14:paraId="47BABD62" w14:textId="5AD69F24" w:rsidR="00463512" w:rsidRDefault="00AF3BDB" w:rsidP="00951000">
      <w:pPr>
        <w:jc w:val="center"/>
        <w:rPr>
          <w:rFonts w:asciiTheme="minorHAnsi" w:hAnsiTheme="minorHAnsi" w:cstheme="minorHAnsi"/>
        </w:rPr>
      </w:pPr>
      <w:r w:rsidRPr="008C3ECA">
        <w:rPr>
          <w:lang w:val="en-GB"/>
        </w:rPr>
        <w:t>______________</w:t>
      </w:r>
    </w:p>
    <w:sectPr w:rsidR="00463512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86086" w14:textId="77777777" w:rsidR="00AD16A0" w:rsidRDefault="00AD16A0">
      <w:r>
        <w:separator/>
      </w:r>
    </w:p>
  </w:endnote>
  <w:endnote w:type="continuationSeparator" w:id="0">
    <w:p w14:paraId="2691610E" w14:textId="77777777" w:rsidR="00AD16A0" w:rsidRDefault="00AD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A1F5A" w14:textId="77777777" w:rsidR="001C39B7" w:rsidRPr="005224A1" w:rsidRDefault="001C39B7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14:paraId="5D318B26" w14:textId="77777777" w:rsidR="001C39B7" w:rsidRPr="005E5EB3" w:rsidRDefault="001C39B7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936EB" w14:textId="77777777" w:rsidR="00AD16A0" w:rsidRDefault="00AD16A0">
      <w:r>
        <w:t>____________________</w:t>
      </w:r>
    </w:p>
  </w:footnote>
  <w:footnote w:type="continuationSeparator" w:id="0">
    <w:p w14:paraId="5DAFB53F" w14:textId="77777777" w:rsidR="00AD16A0" w:rsidRDefault="00AD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9182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846CFD" w14:textId="75248BC4" w:rsidR="00BB04E9" w:rsidRDefault="00BB04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5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B3D728" w14:textId="79C909A8" w:rsidR="001C39B7" w:rsidRPr="00235A29" w:rsidRDefault="001C39B7" w:rsidP="002A4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0EB8" w14:textId="6BFC782F" w:rsidR="001C39B7" w:rsidRPr="00BB04E9" w:rsidRDefault="001C39B7">
    <w:pPr>
      <w:pStyle w:val="Header"/>
      <w:rPr>
        <w:iCs/>
      </w:rPr>
    </w:pPr>
    <w:r>
      <w:tab/>
    </w:r>
    <w:r>
      <w:tab/>
    </w:r>
    <w:r w:rsidRPr="00BB04E9">
      <w:rPr>
        <w:iCs/>
      </w:rPr>
      <w:fldChar w:fldCharType="begin"/>
    </w:r>
    <w:r w:rsidRPr="00BB04E9">
      <w:rPr>
        <w:iCs/>
      </w:rPr>
      <w:instrText xml:space="preserve"> PAGE  \* MERGEFORMAT </w:instrText>
    </w:r>
    <w:r w:rsidRPr="00BB04E9">
      <w:rPr>
        <w:iCs/>
      </w:rPr>
      <w:fldChar w:fldCharType="separate"/>
    </w:r>
    <w:r w:rsidR="00427524">
      <w:rPr>
        <w:iCs/>
        <w:noProof/>
      </w:rPr>
      <w:t>3</w:t>
    </w:r>
    <w:r w:rsidRPr="00BB04E9">
      <w:rPr>
        <w:i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33B5B" w14:textId="77777777" w:rsidR="001C39B7" w:rsidRPr="00EA15B3" w:rsidRDefault="001C39B7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val="en-GB" w:eastAsia="en-GB"/>
      </w:rPr>
      <w:drawing>
        <wp:inline distT="0" distB="0" distL="0" distR="0" wp14:anchorId="66C71C58" wp14:editId="7F973FB2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7B11B3"/>
    <w:multiLevelType w:val="hybridMultilevel"/>
    <w:tmpl w:val="5FFA7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46758"/>
    <w:multiLevelType w:val="hybridMultilevel"/>
    <w:tmpl w:val="390E1EA4"/>
    <w:lvl w:ilvl="0" w:tplc="BDA4B1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7" w15:restartNumberingAfterBreak="0">
    <w:nsid w:val="5E610473"/>
    <w:multiLevelType w:val="hybridMultilevel"/>
    <w:tmpl w:val="BCEE6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511683"/>
    <w:multiLevelType w:val="hybridMultilevel"/>
    <w:tmpl w:val="90FC7BF8"/>
    <w:lvl w:ilvl="0" w:tplc="D71E301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A5F64"/>
    <w:multiLevelType w:val="hybridMultilevel"/>
    <w:tmpl w:val="B8201C58"/>
    <w:lvl w:ilvl="0" w:tplc="821610E6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5C76"/>
    <w:rsid w:val="00026CF8"/>
    <w:rsid w:val="00031E64"/>
    <w:rsid w:val="00032D83"/>
    <w:rsid w:val="000333D2"/>
    <w:rsid w:val="00047C98"/>
    <w:rsid w:val="00054E5D"/>
    <w:rsid w:val="00064E7F"/>
    <w:rsid w:val="00070258"/>
    <w:rsid w:val="0007323C"/>
    <w:rsid w:val="00086D03"/>
    <w:rsid w:val="00094CC5"/>
    <w:rsid w:val="000A7051"/>
    <w:rsid w:val="000B0032"/>
    <w:rsid w:val="000B0AF6"/>
    <w:rsid w:val="000B0E9B"/>
    <w:rsid w:val="000C03C7"/>
    <w:rsid w:val="000E3DEE"/>
    <w:rsid w:val="00100B72"/>
    <w:rsid w:val="00101F7D"/>
    <w:rsid w:val="00103C76"/>
    <w:rsid w:val="0011265F"/>
    <w:rsid w:val="00117282"/>
    <w:rsid w:val="001258B0"/>
    <w:rsid w:val="00126AE4"/>
    <w:rsid w:val="00132588"/>
    <w:rsid w:val="00134404"/>
    <w:rsid w:val="00144DFB"/>
    <w:rsid w:val="00145CF6"/>
    <w:rsid w:val="0016729E"/>
    <w:rsid w:val="0018220A"/>
    <w:rsid w:val="00187CA3"/>
    <w:rsid w:val="00195C8D"/>
    <w:rsid w:val="00196710"/>
    <w:rsid w:val="00197324"/>
    <w:rsid w:val="001A5469"/>
    <w:rsid w:val="001B2C60"/>
    <w:rsid w:val="001B351B"/>
    <w:rsid w:val="001B4743"/>
    <w:rsid w:val="001C02F4"/>
    <w:rsid w:val="001C06DB"/>
    <w:rsid w:val="001C39B7"/>
    <w:rsid w:val="001D7070"/>
    <w:rsid w:val="001E07B8"/>
    <w:rsid w:val="001F5A49"/>
    <w:rsid w:val="002004E7"/>
    <w:rsid w:val="00201097"/>
    <w:rsid w:val="00201B6E"/>
    <w:rsid w:val="00216DDD"/>
    <w:rsid w:val="002262ED"/>
    <w:rsid w:val="002302B3"/>
    <w:rsid w:val="00230C66"/>
    <w:rsid w:val="00235A29"/>
    <w:rsid w:val="002443A2"/>
    <w:rsid w:val="00244D2B"/>
    <w:rsid w:val="002861E6"/>
    <w:rsid w:val="00287D18"/>
    <w:rsid w:val="002A17C1"/>
    <w:rsid w:val="002A196F"/>
    <w:rsid w:val="002A2618"/>
    <w:rsid w:val="002A469D"/>
    <w:rsid w:val="002B5395"/>
    <w:rsid w:val="002D01C2"/>
    <w:rsid w:val="002D5A15"/>
    <w:rsid w:val="002D5BDD"/>
    <w:rsid w:val="002E3D27"/>
    <w:rsid w:val="002E5BED"/>
    <w:rsid w:val="002F0890"/>
    <w:rsid w:val="002F0B7C"/>
    <w:rsid w:val="002F2531"/>
    <w:rsid w:val="002F4967"/>
    <w:rsid w:val="00300DB9"/>
    <w:rsid w:val="0031443E"/>
    <w:rsid w:val="00316935"/>
    <w:rsid w:val="00316FA1"/>
    <w:rsid w:val="003370B8"/>
    <w:rsid w:val="00337C74"/>
    <w:rsid w:val="003418F0"/>
    <w:rsid w:val="00345D38"/>
    <w:rsid w:val="003576D7"/>
    <w:rsid w:val="00362140"/>
    <w:rsid w:val="003666FF"/>
    <w:rsid w:val="00372E30"/>
    <w:rsid w:val="0039663F"/>
    <w:rsid w:val="003A1F49"/>
    <w:rsid w:val="003B02DF"/>
    <w:rsid w:val="003B2BDA"/>
    <w:rsid w:val="003B55EC"/>
    <w:rsid w:val="003C4471"/>
    <w:rsid w:val="003D0741"/>
    <w:rsid w:val="003E504F"/>
    <w:rsid w:val="003E78D6"/>
    <w:rsid w:val="003F6A1B"/>
    <w:rsid w:val="0040177D"/>
    <w:rsid w:val="00406D71"/>
    <w:rsid w:val="00424E66"/>
    <w:rsid w:val="00427524"/>
    <w:rsid w:val="004326DB"/>
    <w:rsid w:val="0043682E"/>
    <w:rsid w:val="00447ECB"/>
    <w:rsid w:val="004623F7"/>
    <w:rsid w:val="00463512"/>
    <w:rsid w:val="0047245B"/>
    <w:rsid w:val="00480F51"/>
    <w:rsid w:val="00480FE5"/>
    <w:rsid w:val="00481124"/>
    <w:rsid w:val="004815EB"/>
    <w:rsid w:val="00487569"/>
    <w:rsid w:val="00496864"/>
    <w:rsid w:val="00496920"/>
    <w:rsid w:val="00497466"/>
    <w:rsid w:val="004A4496"/>
    <w:rsid w:val="004B11AB"/>
    <w:rsid w:val="004B7C9A"/>
    <w:rsid w:val="004C13E7"/>
    <w:rsid w:val="004C5C55"/>
    <w:rsid w:val="004C6779"/>
    <w:rsid w:val="004D4ED0"/>
    <w:rsid w:val="004E0DC4"/>
    <w:rsid w:val="004E0FB5"/>
    <w:rsid w:val="004E43BB"/>
    <w:rsid w:val="004E512E"/>
    <w:rsid w:val="004F1016"/>
    <w:rsid w:val="004F178E"/>
    <w:rsid w:val="004F2A09"/>
    <w:rsid w:val="00505309"/>
    <w:rsid w:val="005055EE"/>
    <w:rsid w:val="0050789B"/>
    <w:rsid w:val="0051625E"/>
    <w:rsid w:val="005224A1"/>
    <w:rsid w:val="00534372"/>
    <w:rsid w:val="0053796C"/>
    <w:rsid w:val="00541C5B"/>
    <w:rsid w:val="00543DF8"/>
    <w:rsid w:val="0054475A"/>
    <w:rsid w:val="00546101"/>
    <w:rsid w:val="00553DD7"/>
    <w:rsid w:val="005638CF"/>
    <w:rsid w:val="0056741E"/>
    <w:rsid w:val="005731FC"/>
    <w:rsid w:val="0057325A"/>
    <w:rsid w:val="0057469A"/>
    <w:rsid w:val="005768D8"/>
    <w:rsid w:val="00580814"/>
    <w:rsid w:val="00581F35"/>
    <w:rsid w:val="005841E7"/>
    <w:rsid w:val="00586DD6"/>
    <w:rsid w:val="0058720F"/>
    <w:rsid w:val="005A03A3"/>
    <w:rsid w:val="005A19E4"/>
    <w:rsid w:val="005A2AAA"/>
    <w:rsid w:val="005A2B92"/>
    <w:rsid w:val="005A79E9"/>
    <w:rsid w:val="005B214C"/>
    <w:rsid w:val="005C6E14"/>
    <w:rsid w:val="005D3669"/>
    <w:rsid w:val="005E5EB3"/>
    <w:rsid w:val="005F3CB6"/>
    <w:rsid w:val="005F657C"/>
    <w:rsid w:val="00602D53"/>
    <w:rsid w:val="006047E5"/>
    <w:rsid w:val="00636B7F"/>
    <w:rsid w:val="006400E5"/>
    <w:rsid w:val="0064371D"/>
    <w:rsid w:val="006468EA"/>
    <w:rsid w:val="00650B2A"/>
    <w:rsid w:val="00651777"/>
    <w:rsid w:val="006550F8"/>
    <w:rsid w:val="0066101B"/>
    <w:rsid w:val="006A518B"/>
    <w:rsid w:val="006A6A97"/>
    <w:rsid w:val="006B0590"/>
    <w:rsid w:val="006B49DA"/>
    <w:rsid w:val="006C7CDE"/>
    <w:rsid w:val="006F72B3"/>
    <w:rsid w:val="007008F3"/>
    <w:rsid w:val="00714D5F"/>
    <w:rsid w:val="007234B1"/>
    <w:rsid w:val="00727816"/>
    <w:rsid w:val="00730626"/>
    <w:rsid w:val="00730B9A"/>
    <w:rsid w:val="00750CFA"/>
    <w:rsid w:val="007553DA"/>
    <w:rsid w:val="00771298"/>
    <w:rsid w:val="00772F6E"/>
    <w:rsid w:val="0077544F"/>
    <w:rsid w:val="00782354"/>
    <w:rsid w:val="00785D32"/>
    <w:rsid w:val="007921A7"/>
    <w:rsid w:val="0079249B"/>
    <w:rsid w:val="00795D27"/>
    <w:rsid w:val="007B26FA"/>
    <w:rsid w:val="007B3DB1"/>
    <w:rsid w:val="007D183E"/>
    <w:rsid w:val="007D55ED"/>
    <w:rsid w:val="007E1833"/>
    <w:rsid w:val="007E3F13"/>
    <w:rsid w:val="007F751A"/>
    <w:rsid w:val="00800012"/>
    <w:rsid w:val="008143A4"/>
    <w:rsid w:val="00814B33"/>
    <w:rsid w:val="0081513E"/>
    <w:rsid w:val="008159BB"/>
    <w:rsid w:val="008356EA"/>
    <w:rsid w:val="008366B5"/>
    <w:rsid w:val="008509B6"/>
    <w:rsid w:val="00853B3A"/>
    <w:rsid w:val="00854131"/>
    <w:rsid w:val="0085652D"/>
    <w:rsid w:val="0087537D"/>
    <w:rsid w:val="0087694B"/>
    <w:rsid w:val="008871A4"/>
    <w:rsid w:val="008B7BE5"/>
    <w:rsid w:val="008C0966"/>
    <w:rsid w:val="008C2E74"/>
    <w:rsid w:val="008C49C3"/>
    <w:rsid w:val="008D5409"/>
    <w:rsid w:val="008D66AA"/>
    <w:rsid w:val="008E006D"/>
    <w:rsid w:val="008F3A09"/>
    <w:rsid w:val="008F4F21"/>
    <w:rsid w:val="00904D4A"/>
    <w:rsid w:val="00907BE8"/>
    <w:rsid w:val="009151BA"/>
    <w:rsid w:val="00925023"/>
    <w:rsid w:val="009277BC"/>
    <w:rsid w:val="00927D57"/>
    <w:rsid w:val="00931A51"/>
    <w:rsid w:val="009377E7"/>
    <w:rsid w:val="00947185"/>
    <w:rsid w:val="00951000"/>
    <w:rsid w:val="00963913"/>
    <w:rsid w:val="00963D9D"/>
    <w:rsid w:val="0098013E"/>
    <w:rsid w:val="00981B54"/>
    <w:rsid w:val="00982041"/>
    <w:rsid w:val="009842C3"/>
    <w:rsid w:val="009A009A"/>
    <w:rsid w:val="009A1227"/>
    <w:rsid w:val="009A6027"/>
    <w:rsid w:val="009A6BB6"/>
    <w:rsid w:val="009B3F43"/>
    <w:rsid w:val="009B5CFA"/>
    <w:rsid w:val="009C161F"/>
    <w:rsid w:val="009C3038"/>
    <w:rsid w:val="009C56B4"/>
    <w:rsid w:val="009D51A2"/>
    <w:rsid w:val="009D5E8B"/>
    <w:rsid w:val="009E04A8"/>
    <w:rsid w:val="009E2290"/>
    <w:rsid w:val="009E4AEC"/>
    <w:rsid w:val="009E5BD8"/>
    <w:rsid w:val="009E681E"/>
    <w:rsid w:val="00A119E6"/>
    <w:rsid w:val="00A24A6F"/>
    <w:rsid w:val="00A31370"/>
    <w:rsid w:val="00A34D6F"/>
    <w:rsid w:val="00A35635"/>
    <w:rsid w:val="00A41F91"/>
    <w:rsid w:val="00A442A8"/>
    <w:rsid w:val="00A6242C"/>
    <w:rsid w:val="00A700B7"/>
    <w:rsid w:val="00A75CA2"/>
    <w:rsid w:val="00A82972"/>
    <w:rsid w:val="00A963DF"/>
    <w:rsid w:val="00AA034A"/>
    <w:rsid w:val="00AA11F1"/>
    <w:rsid w:val="00AB10BE"/>
    <w:rsid w:val="00AC3896"/>
    <w:rsid w:val="00AD16A0"/>
    <w:rsid w:val="00AE2D88"/>
    <w:rsid w:val="00AE6F6F"/>
    <w:rsid w:val="00AF3325"/>
    <w:rsid w:val="00AF34D9"/>
    <w:rsid w:val="00AF3BDB"/>
    <w:rsid w:val="00AF70DA"/>
    <w:rsid w:val="00B019D3"/>
    <w:rsid w:val="00B17CDB"/>
    <w:rsid w:val="00B34CF9"/>
    <w:rsid w:val="00B37559"/>
    <w:rsid w:val="00B579B0"/>
    <w:rsid w:val="00B672A1"/>
    <w:rsid w:val="00B7724A"/>
    <w:rsid w:val="00B90C45"/>
    <w:rsid w:val="00B933BE"/>
    <w:rsid w:val="00BA5BB2"/>
    <w:rsid w:val="00BB04E9"/>
    <w:rsid w:val="00BD6738"/>
    <w:rsid w:val="00BD7E5E"/>
    <w:rsid w:val="00BE197D"/>
    <w:rsid w:val="00BE19FA"/>
    <w:rsid w:val="00BE6574"/>
    <w:rsid w:val="00C16FD2"/>
    <w:rsid w:val="00C22F0D"/>
    <w:rsid w:val="00C24730"/>
    <w:rsid w:val="00C44DE4"/>
    <w:rsid w:val="00C47FFD"/>
    <w:rsid w:val="00C57E2C"/>
    <w:rsid w:val="00C608B7"/>
    <w:rsid w:val="00C66F24"/>
    <w:rsid w:val="00C675E5"/>
    <w:rsid w:val="00C813AA"/>
    <w:rsid w:val="00C81CEC"/>
    <w:rsid w:val="00C826DF"/>
    <w:rsid w:val="00C9291E"/>
    <w:rsid w:val="00C931E5"/>
    <w:rsid w:val="00CA3F44"/>
    <w:rsid w:val="00CA4E58"/>
    <w:rsid w:val="00CB2B94"/>
    <w:rsid w:val="00CB3771"/>
    <w:rsid w:val="00CB44BF"/>
    <w:rsid w:val="00CB5153"/>
    <w:rsid w:val="00CC21C5"/>
    <w:rsid w:val="00CC6A6C"/>
    <w:rsid w:val="00CE076A"/>
    <w:rsid w:val="00CE463D"/>
    <w:rsid w:val="00D06CD0"/>
    <w:rsid w:val="00D10BA0"/>
    <w:rsid w:val="00D16896"/>
    <w:rsid w:val="00D21132"/>
    <w:rsid w:val="00D24782"/>
    <w:rsid w:val="00D24EB5"/>
    <w:rsid w:val="00D25A5B"/>
    <w:rsid w:val="00D30D33"/>
    <w:rsid w:val="00D31AE4"/>
    <w:rsid w:val="00D33AD5"/>
    <w:rsid w:val="00D35AB9"/>
    <w:rsid w:val="00D41571"/>
    <w:rsid w:val="00D416A0"/>
    <w:rsid w:val="00D47672"/>
    <w:rsid w:val="00D502CC"/>
    <w:rsid w:val="00D5123C"/>
    <w:rsid w:val="00D55560"/>
    <w:rsid w:val="00D61C5A"/>
    <w:rsid w:val="00D661CF"/>
    <w:rsid w:val="00D66DE9"/>
    <w:rsid w:val="00D753E6"/>
    <w:rsid w:val="00D843D3"/>
    <w:rsid w:val="00D87E20"/>
    <w:rsid w:val="00D87F47"/>
    <w:rsid w:val="00D97139"/>
    <w:rsid w:val="00DA6B94"/>
    <w:rsid w:val="00DB42D3"/>
    <w:rsid w:val="00DE31F9"/>
    <w:rsid w:val="00DE66A5"/>
    <w:rsid w:val="00DF2B50"/>
    <w:rsid w:val="00DF33A9"/>
    <w:rsid w:val="00DF3B91"/>
    <w:rsid w:val="00DF4B44"/>
    <w:rsid w:val="00E01280"/>
    <w:rsid w:val="00E03D73"/>
    <w:rsid w:val="00E04C86"/>
    <w:rsid w:val="00E20F30"/>
    <w:rsid w:val="00E2189C"/>
    <w:rsid w:val="00E25BB1"/>
    <w:rsid w:val="00E27BBA"/>
    <w:rsid w:val="00E35279"/>
    <w:rsid w:val="00E35E8F"/>
    <w:rsid w:val="00E41CDA"/>
    <w:rsid w:val="00E41F6B"/>
    <w:rsid w:val="00E428AB"/>
    <w:rsid w:val="00E438E8"/>
    <w:rsid w:val="00E44303"/>
    <w:rsid w:val="00E453A3"/>
    <w:rsid w:val="00E520E2"/>
    <w:rsid w:val="00E61F5B"/>
    <w:rsid w:val="00E64254"/>
    <w:rsid w:val="00E77BED"/>
    <w:rsid w:val="00E82408"/>
    <w:rsid w:val="00E915AF"/>
    <w:rsid w:val="00E95845"/>
    <w:rsid w:val="00E9622B"/>
    <w:rsid w:val="00E96415"/>
    <w:rsid w:val="00EA1138"/>
    <w:rsid w:val="00EA15B3"/>
    <w:rsid w:val="00EB2358"/>
    <w:rsid w:val="00EB3EB8"/>
    <w:rsid w:val="00EC02FE"/>
    <w:rsid w:val="00EC0880"/>
    <w:rsid w:val="00EC0A6E"/>
    <w:rsid w:val="00ED1C37"/>
    <w:rsid w:val="00F16537"/>
    <w:rsid w:val="00F22660"/>
    <w:rsid w:val="00F2501E"/>
    <w:rsid w:val="00F2525E"/>
    <w:rsid w:val="00F348DA"/>
    <w:rsid w:val="00F35363"/>
    <w:rsid w:val="00F370F4"/>
    <w:rsid w:val="00F424BF"/>
    <w:rsid w:val="00F46107"/>
    <w:rsid w:val="00F468C5"/>
    <w:rsid w:val="00F4690D"/>
    <w:rsid w:val="00F52F39"/>
    <w:rsid w:val="00F756A6"/>
    <w:rsid w:val="00F82EBB"/>
    <w:rsid w:val="00F914DD"/>
    <w:rsid w:val="00FA2358"/>
    <w:rsid w:val="00FA5750"/>
    <w:rsid w:val="00FA7867"/>
    <w:rsid w:val="00FA7D8F"/>
    <w:rsid w:val="00FB2592"/>
    <w:rsid w:val="00FB2810"/>
    <w:rsid w:val="00FC2947"/>
    <w:rsid w:val="00FD564E"/>
    <w:rsid w:val="00FD78AF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307391F"/>
  <w15:docId w15:val="{D09EE484-F3B0-4245-A470-2B7E6917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qFormat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Default">
    <w:name w:val="Default"/>
    <w:rsid w:val="005379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h21">
    <w:name w:val="h21"/>
    <w:basedOn w:val="DefaultParagraphFont"/>
    <w:rsid w:val="00FA7867"/>
    <w:rPr>
      <w:b/>
      <w:bCs/>
      <w:color w:val="3366CC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8B7BE5"/>
    <w:rPr>
      <w:color w:val="808080"/>
    </w:rPr>
  </w:style>
  <w:style w:type="paragraph" w:customStyle="1" w:styleId="Message">
    <w:name w:val="Message"/>
    <w:rsid w:val="00F82EBB"/>
    <w:pPr>
      <w:spacing w:before="240" w:line="300" w:lineRule="exact"/>
      <w:ind w:left="794" w:right="794"/>
    </w:pPr>
    <w:rPr>
      <w:rFonts w:ascii="Arial" w:hAnsi="Arial" w:cs="Times New Roman"/>
      <w:sz w:val="22"/>
      <w:lang w:val="en-US" w:eastAsia="en-US" w:bidi="he-IL"/>
    </w:rPr>
  </w:style>
  <w:style w:type="character" w:customStyle="1" w:styleId="HeaderChar">
    <w:name w:val="Header Char"/>
    <w:basedOn w:val="DefaultParagraphFont"/>
    <w:link w:val="Header"/>
    <w:uiPriority w:val="99"/>
    <w:rsid w:val="00BB04E9"/>
    <w:rPr>
      <w:sz w:val="22"/>
      <w:szCs w:val="22"/>
      <w:lang w:val="en-US" w:eastAsia="en-US"/>
    </w:rPr>
  </w:style>
  <w:style w:type="character" w:customStyle="1" w:styleId="Artref">
    <w:name w:val="Art_ref"/>
    <w:basedOn w:val="DefaultParagraphFont"/>
    <w:rsid w:val="00D753E6"/>
  </w:style>
  <w:style w:type="paragraph" w:customStyle="1" w:styleId="Normalaftertitle0">
    <w:name w:val="Normal after title"/>
    <w:basedOn w:val="Normal"/>
    <w:next w:val="Normal"/>
    <w:link w:val="NormalaftertitleChar"/>
    <w:rsid w:val="00D753E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D753E6"/>
    <w:rPr>
      <w:rFonts w:ascii="Times New Roman" w:hAnsi="Times New Roman" w:cs="Times New Roman"/>
      <w:sz w:val="24"/>
      <w:lang w:val="en-GB" w:eastAsia="en-US"/>
    </w:rPr>
  </w:style>
  <w:style w:type="paragraph" w:customStyle="1" w:styleId="Annextitle">
    <w:name w:val="Annex_title"/>
    <w:basedOn w:val="Normal"/>
    <w:next w:val="Normal"/>
    <w:rsid w:val="00C44DE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="Times New Roman Bold" w:hAnsi="Times New Roman Bold" w:cs="Times New Roman"/>
      <w:b/>
      <w:sz w:val="2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44DE4"/>
    <w:rPr>
      <w:szCs w:val="22"/>
      <w:lang w:val="en-US" w:eastAsia="en-US"/>
    </w:rPr>
  </w:style>
  <w:style w:type="character" w:customStyle="1" w:styleId="NoteChar">
    <w:name w:val="Note Char"/>
    <w:basedOn w:val="DefaultParagraphFont"/>
    <w:link w:val="Note"/>
    <w:locked/>
    <w:rsid w:val="00C44DE4"/>
    <w:rPr>
      <w:szCs w:val="22"/>
      <w:lang w:val="en-US" w:eastAsia="en-US"/>
    </w:rPr>
  </w:style>
  <w:style w:type="paragraph" w:customStyle="1" w:styleId="HeadingSum">
    <w:name w:val="Heading_Sum"/>
    <w:basedOn w:val="Headingb"/>
    <w:next w:val="Normal"/>
    <w:autoRedefine/>
    <w:rsid w:val="00C44DE4"/>
    <w:pPr>
      <w:keepLines/>
      <w:spacing w:line="240" w:lineRule="auto"/>
      <w:ind w:left="0" w:firstLine="0"/>
    </w:pPr>
    <w:rPr>
      <w:rFonts w:ascii="Times New Roman" w:hAnsi="Times New Roman" w:cs="Times New Roman"/>
      <w:szCs w:val="20"/>
      <w:lang w:val="es-ES_tradnl"/>
    </w:rPr>
  </w:style>
  <w:style w:type="paragraph" w:customStyle="1" w:styleId="Summary">
    <w:name w:val="Summary"/>
    <w:basedOn w:val="Normal"/>
    <w:next w:val="Normalaftertitle"/>
    <w:autoRedefine/>
    <w:rsid w:val="00C44DE4"/>
    <w:pPr>
      <w:spacing w:before="120" w:after="480" w:line="240" w:lineRule="auto"/>
      <w:jc w:val="left"/>
    </w:pPr>
    <w:rPr>
      <w:rFonts w:ascii="Times New Roman" w:hAnsi="Times New Roman" w:cs="Times New Roman"/>
      <w:szCs w:val="20"/>
      <w:lang w:val="es-ES_tradnl"/>
    </w:rPr>
  </w:style>
  <w:style w:type="character" w:customStyle="1" w:styleId="enumlev1Char">
    <w:name w:val="enumlev1 Char"/>
    <w:basedOn w:val="DefaultParagraphFont"/>
    <w:link w:val="enumlev1"/>
    <w:locked/>
    <w:rsid w:val="00C44DE4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4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tpr@itu.i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3A7B-08E2-4B7D-B1EA-CF18F2E2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979</TotalTime>
  <Pages>3</Pages>
  <Words>933</Words>
  <Characters>5636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6556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Panoussopoulos, Sonia</cp:lastModifiedBy>
  <cp:revision>15</cp:revision>
  <cp:lastPrinted>2018-12-07T15:02:00Z</cp:lastPrinted>
  <dcterms:created xsi:type="dcterms:W3CDTF">2018-11-20T13:58:00Z</dcterms:created>
  <dcterms:modified xsi:type="dcterms:W3CDTF">2018-12-07T15:02:00Z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