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52"/>
        <w:gridCol w:w="7"/>
        <w:gridCol w:w="5495"/>
        <w:gridCol w:w="2835"/>
      </w:tblGrid>
      <w:tr w:rsidR="00E53DCE" w:rsidRPr="007B3DB1" w:rsidTr="00535264">
        <w:trPr>
          <w:jc w:val="center"/>
        </w:trPr>
        <w:tc>
          <w:tcPr>
            <w:tcW w:w="9889" w:type="dxa"/>
            <w:gridSpan w:val="4"/>
            <w:shd w:val="clear" w:color="auto" w:fill="auto"/>
          </w:tcPr>
          <w:p w:rsidR="00E53DCE" w:rsidRDefault="00E53DCE" w:rsidP="00535264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535264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535264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535264">
        <w:trPr>
          <w:jc w:val="center"/>
        </w:trPr>
        <w:tc>
          <w:tcPr>
            <w:tcW w:w="7054" w:type="dxa"/>
            <w:gridSpan w:val="3"/>
            <w:shd w:val="clear" w:color="auto" w:fill="auto"/>
          </w:tcPr>
          <w:p w:rsidR="00E53DCE" w:rsidRPr="00773F7E" w:rsidRDefault="00AA781A" w:rsidP="00535264">
            <w:pPr>
              <w:spacing w:before="0" w:line="240" w:lineRule="auto"/>
              <w:jc w:val="lef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>Lettre circulaire</w:t>
            </w:r>
          </w:p>
          <w:p w:rsidR="00E53DCE" w:rsidRPr="00773F7E" w:rsidRDefault="00AA781A" w:rsidP="00535264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CR</w:t>
            </w:r>
            <w:r w:rsidR="00707220">
              <w:rPr>
                <w:b/>
                <w:bCs/>
                <w:szCs w:val="24"/>
                <w:lang w:val="fr-CH"/>
              </w:rPr>
              <w:t>/435</w:t>
            </w:r>
          </w:p>
        </w:tc>
        <w:tc>
          <w:tcPr>
            <w:tcW w:w="2835" w:type="dxa"/>
            <w:shd w:val="clear" w:color="auto" w:fill="auto"/>
          </w:tcPr>
          <w:p w:rsidR="00E53DCE" w:rsidRPr="00773F7E" w:rsidRDefault="00535264" w:rsidP="00535264">
            <w:pPr>
              <w:spacing w:before="0" w:line="240" w:lineRule="auto"/>
              <w:jc w:val="right"/>
              <w:rPr>
                <w:sz w:val="28"/>
                <w:szCs w:val="28"/>
                <w:lang w:val="en-GB"/>
              </w:rPr>
            </w:pPr>
            <w:r>
              <w:rPr>
                <w:szCs w:val="24"/>
              </w:rPr>
              <w:t>Le 28 août 2018</w:t>
            </w:r>
          </w:p>
        </w:tc>
      </w:tr>
      <w:tr w:rsidR="00E53DCE" w:rsidRPr="00773F7E" w:rsidTr="00535264">
        <w:trPr>
          <w:jc w:val="center"/>
        </w:trPr>
        <w:tc>
          <w:tcPr>
            <w:tcW w:w="9889" w:type="dxa"/>
            <w:gridSpan w:val="4"/>
            <w:shd w:val="clear" w:color="auto" w:fill="auto"/>
          </w:tcPr>
          <w:p w:rsidR="00E53DCE" w:rsidRPr="00773F7E" w:rsidRDefault="00E53DCE" w:rsidP="00535264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535264">
        <w:trPr>
          <w:jc w:val="center"/>
        </w:trPr>
        <w:tc>
          <w:tcPr>
            <w:tcW w:w="9889" w:type="dxa"/>
            <w:gridSpan w:val="4"/>
            <w:shd w:val="clear" w:color="auto" w:fill="auto"/>
          </w:tcPr>
          <w:p w:rsidR="00E53DCE" w:rsidRPr="00773F7E" w:rsidRDefault="00E53DCE" w:rsidP="00535264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E53DCE" w:rsidRPr="0087085C" w:rsidTr="00535264">
        <w:trPr>
          <w:jc w:val="center"/>
        </w:trPr>
        <w:tc>
          <w:tcPr>
            <w:tcW w:w="9889" w:type="dxa"/>
            <w:gridSpan w:val="4"/>
            <w:shd w:val="clear" w:color="auto" w:fill="auto"/>
          </w:tcPr>
          <w:p w:rsidR="00E53DCE" w:rsidRPr="00773F7E" w:rsidRDefault="00EE1A57" w:rsidP="00535264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>Aux Administrations des Etats Membres de l'UIT</w:t>
            </w:r>
            <w:r w:rsidR="00535264" w:rsidRPr="004114CB">
              <w:rPr>
                <w:b/>
                <w:bCs/>
                <w:szCs w:val="24"/>
                <w:lang w:val="fr-CH"/>
              </w:rPr>
              <w:t xml:space="preserve"> </w:t>
            </w:r>
            <w:r w:rsidR="00535264">
              <w:rPr>
                <w:b/>
                <w:bCs/>
                <w:szCs w:val="24"/>
                <w:lang w:val="fr-CH"/>
              </w:rPr>
              <w:br/>
            </w:r>
            <w:r w:rsidR="00535264" w:rsidRPr="004114CB">
              <w:rPr>
                <w:b/>
                <w:bCs/>
                <w:szCs w:val="24"/>
                <w:lang w:val="fr-CH"/>
              </w:rPr>
              <w:t>et aux Membres du Secteur de l'UIT-R</w:t>
            </w:r>
          </w:p>
        </w:tc>
      </w:tr>
      <w:tr w:rsidR="00E53DCE" w:rsidRPr="0087085C" w:rsidTr="00535264">
        <w:trPr>
          <w:jc w:val="center"/>
        </w:trPr>
        <w:tc>
          <w:tcPr>
            <w:tcW w:w="9889" w:type="dxa"/>
            <w:gridSpan w:val="4"/>
            <w:shd w:val="clear" w:color="auto" w:fill="auto"/>
          </w:tcPr>
          <w:p w:rsidR="00E53DCE" w:rsidRPr="00773F7E" w:rsidRDefault="00E53DCE" w:rsidP="00535264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87085C" w:rsidTr="00535264">
        <w:trPr>
          <w:jc w:val="center"/>
        </w:trPr>
        <w:tc>
          <w:tcPr>
            <w:tcW w:w="9889" w:type="dxa"/>
            <w:gridSpan w:val="4"/>
            <w:shd w:val="clear" w:color="auto" w:fill="auto"/>
          </w:tcPr>
          <w:p w:rsidR="00E53DCE" w:rsidRPr="00773F7E" w:rsidRDefault="00E53DCE" w:rsidP="00535264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87085C" w:rsidTr="00535264">
        <w:trPr>
          <w:jc w:val="center"/>
        </w:trPr>
        <w:tc>
          <w:tcPr>
            <w:tcW w:w="1552" w:type="dxa"/>
            <w:shd w:val="clear" w:color="auto" w:fill="auto"/>
          </w:tcPr>
          <w:p w:rsidR="00E53DCE" w:rsidRPr="00535264" w:rsidRDefault="003471C9" w:rsidP="00535264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CH"/>
              </w:rPr>
            </w:pPr>
            <w:r>
              <w:rPr>
                <w:lang w:val="fr-CH"/>
              </w:rPr>
              <w:t>Objet</w:t>
            </w:r>
            <w:r w:rsidR="00E53DCE" w:rsidRPr="00535264">
              <w:rPr>
                <w:szCs w:val="24"/>
                <w:lang w:val="fr-CH"/>
              </w:rPr>
              <w:t>:</w:t>
            </w:r>
          </w:p>
        </w:tc>
        <w:tc>
          <w:tcPr>
            <w:tcW w:w="8337" w:type="dxa"/>
            <w:gridSpan w:val="3"/>
            <w:vMerge w:val="restart"/>
            <w:shd w:val="clear" w:color="auto" w:fill="auto"/>
          </w:tcPr>
          <w:p w:rsidR="00E53DCE" w:rsidRPr="00535264" w:rsidRDefault="00535264" w:rsidP="00535264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 xml:space="preserve">Soumission de rapports sur des brouillages au moyen de </w:t>
            </w:r>
            <w:r w:rsidRPr="004114CB">
              <w:rPr>
                <w:b/>
                <w:bCs/>
                <w:szCs w:val="24"/>
                <w:lang w:val="fr-CH"/>
              </w:rPr>
              <w:t>l'</w:t>
            </w:r>
            <w:r>
              <w:rPr>
                <w:b/>
                <w:bCs/>
                <w:szCs w:val="24"/>
                <w:lang w:val="fr-CH"/>
              </w:rPr>
              <w:t xml:space="preserve">application </w:t>
            </w:r>
            <w:r w:rsidRPr="00C55DD5">
              <w:rPr>
                <w:color w:val="000000"/>
                <w:lang w:val="fr-CH"/>
              </w:rPr>
              <w:t>web</w:t>
            </w:r>
            <w:r>
              <w:rPr>
                <w:b/>
                <w:bCs/>
                <w:szCs w:val="24"/>
                <w:lang w:val="fr-CH"/>
              </w:rPr>
              <w:t xml:space="preserve"> «</w:t>
            </w:r>
            <w:r w:rsidRPr="004114CB">
              <w:rPr>
                <w:b/>
                <w:bCs/>
                <w:szCs w:val="24"/>
                <w:lang w:val="fr-CH"/>
              </w:rPr>
              <w:t>Système de notification et de règlement des cas de brouillages causé</w:t>
            </w:r>
            <w:r>
              <w:rPr>
                <w:b/>
                <w:bCs/>
                <w:szCs w:val="24"/>
                <w:lang w:val="fr-CH"/>
              </w:rPr>
              <w:t>s par les systèmes à satellites»</w:t>
            </w:r>
            <w:r w:rsidRPr="004114CB">
              <w:rPr>
                <w:b/>
                <w:bCs/>
                <w:szCs w:val="24"/>
                <w:lang w:val="fr-CH"/>
              </w:rPr>
              <w:t xml:space="preserve"> (SIRRS)</w:t>
            </w:r>
          </w:p>
        </w:tc>
      </w:tr>
      <w:tr w:rsidR="00E53DCE" w:rsidRPr="0087085C" w:rsidTr="00535264">
        <w:trPr>
          <w:jc w:val="center"/>
        </w:trPr>
        <w:tc>
          <w:tcPr>
            <w:tcW w:w="1552" w:type="dxa"/>
            <w:shd w:val="clear" w:color="auto" w:fill="auto"/>
          </w:tcPr>
          <w:p w:rsidR="00E53DCE" w:rsidRPr="00535264" w:rsidRDefault="00E53DCE" w:rsidP="00535264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37" w:type="dxa"/>
            <w:gridSpan w:val="3"/>
            <w:vMerge/>
            <w:shd w:val="clear" w:color="auto" w:fill="auto"/>
          </w:tcPr>
          <w:p w:rsidR="00E53DCE" w:rsidRPr="00535264" w:rsidRDefault="00E53DCE" w:rsidP="00535264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87085C" w:rsidTr="00535264">
        <w:trPr>
          <w:jc w:val="center"/>
        </w:trPr>
        <w:tc>
          <w:tcPr>
            <w:tcW w:w="1552" w:type="dxa"/>
            <w:shd w:val="clear" w:color="auto" w:fill="auto"/>
          </w:tcPr>
          <w:p w:rsidR="00E53DCE" w:rsidRPr="00535264" w:rsidRDefault="00E53DCE" w:rsidP="00535264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37" w:type="dxa"/>
            <w:gridSpan w:val="3"/>
            <w:vMerge/>
            <w:shd w:val="clear" w:color="auto" w:fill="auto"/>
          </w:tcPr>
          <w:p w:rsidR="00E53DCE" w:rsidRPr="00535264" w:rsidRDefault="00E53DCE" w:rsidP="00535264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87085C" w:rsidTr="00535264">
        <w:trPr>
          <w:jc w:val="center"/>
        </w:trPr>
        <w:tc>
          <w:tcPr>
            <w:tcW w:w="9889" w:type="dxa"/>
            <w:gridSpan w:val="4"/>
            <w:shd w:val="clear" w:color="auto" w:fill="auto"/>
          </w:tcPr>
          <w:p w:rsidR="00E53DCE" w:rsidRPr="00535264" w:rsidRDefault="00E53DCE" w:rsidP="00535264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535264" w:rsidRPr="0087085C" w:rsidTr="00535264">
        <w:trPr>
          <w:jc w:val="center"/>
        </w:trPr>
        <w:tc>
          <w:tcPr>
            <w:tcW w:w="1559" w:type="dxa"/>
            <w:gridSpan w:val="2"/>
            <w:shd w:val="clear" w:color="auto" w:fill="auto"/>
          </w:tcPr>
          <w:p w:rsidR="00535264" w:rsidRPr="00535264" w:rsidRDefault="00535264" w:rsidP="00535264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D0085C">
              <w:rPr>
                <w:szCs w:val="24"/>
                <w:lang w:val="en-GB"/>
              </w:rPr>
              <w:t>R</w:t>
            </w:r>
            <w:r>
              <w:rPr>
                <w:szCs w:val="24"/>
                <w:lang w:val="en-GB"/>
              </w:rPr>
              <w:t>éfé</w:t>
            </w:r>
            <w:r w:rsidRPr="00D0085C">
              <w:rPr>
                <w:szCs w:val="24"/>
                <w:lang w:val="en-GB"/>
              </w:rPr>
              <w:t>rence</w:t>
            </w:r>
            <w:r>
              <w:rPr>
                <w:szCs w:val="24"/>
                <w:lang w:val="en-GB"/>
              </w:rPr>
              <w:t>:</w:t>
            </w:r>
          </w:p>
        </w:tc>
        <w:tc>
          <w:tcPr>
            <w:tcW w:w="8330" w:type="dxa"/>
            <w:gridSpan w:val="2"/>
            <w:shd w:val="clear" w:color="auto" w:fill="auto"/>
          </w:tcPr>
          <w:p w:rsidR="00535264" w:rsidRPr="00535264" w:rsidRDefault="00535264" w:rsidP="00535264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C55DD5">
              <w:rPr>
                <w:b/>
                <w:bCs/>
                <w:szCs w:val="24"/>
                <w:lang w:val="fr-CH"/>
              </w:rPr>
              <w:t>Lettre circulaire du BR CR/428 datée du 13 mars 2018</w:t>
            </w:r>
          </w:p>
        </w:tc>
      </w:tr>
    </w:tbl>
    <w:p w:rsidR="00535264" w:rsidRPr="005C0659" w:rsidRDefault="00535264" w:rsidP="0087085C">
      <w:pPr>
        <w:spacing w:before="480" w:line="240" w:lineRule="auto"/>
        <w:ind w:right="284"/>
        <w:rPr>
          <w:szCs w:val="24"/>
          <w:lang w:val="fr-CH"/>
        </w:rPr>
      </w:pPr>
      <w:r w:rsidRPr="005C0659">
        <w:rPr>
          <w:szCs w:val="24"/>
          <w:lang w:val="fr-CH"/>
        </w:rPr>
        <w:t>A l'issue de tests concluants effectués par les administrations et le Bureau des radiocommunications concernant la version expérimentale, comme indiqué dans la Lettre circulaire CR/428, le Bureau a l'honneur</w:t>
      </w:r>
      <w:r w:rsidRPr="005C0659">
        <w:rPr>
          <w:color w:val="000000"/>
          <w:lang w:val="fr-CH"/>
        </w:rPr>
        <w:t xml:space="preserve"> de communiquer aux administrations la version opérationnelle de </w:t>
      </w:r>
      <w:r w:rsidRPr="005C0659">
        <w:rPr>
          <w:szCs w:val="24"/>
          <w:lang w:val="fr-CH"/>
        </w:rPr>
        <w:t>l'application «Système de notification et de règlement des cas de brouillages causés par les systèmes à satellites» (SIRRS), qui permet aux administrations de soumettre des rapports et d'échanger des informations concernant les cas de brouillages préjudiciables a</w:t>
      </w:r>
      <w:r w:rsidR="0087085C">
        <w:rPr>
          <w:szCs w:val="24"/>
          <w:lang w:val="fr-CH"/>
        </w:rPr>
        <w:t>ffectant les services spatiaux.</w:t>
      </w:r>
    </w:p>
    <w:p w:rsidR="00535264" w:rsidRPr="00C55DD5" w:rsidRDefault="00535264" w:rsidP="0087085C">
      <w:pPr>
        <w:spacing w:line="240" w:lineRule="auto"/>
        <w:ind w:right="284"/>
        <w:rPr>
          <w:szCs w:val="24"/>
          <w:lang w:val="fr-CH"/>
        </w:rPr>
      </w:pPr>
      <w:r>
        <w:rPr>
          <w:szCs w:val="24"/>
          <w:lang w:val="fr-CH"/>
        </w:rPr>
        <w:t>A</w:t>
      </w:r>
      <w:r w:rsidRPr="00C55DD5">
        <w:rPr>
          <w:szCs w:val="24"/>
          <w:lang w:val="fr-CH"/>
        </w:rPr>
        <w:t xml:space="preserve"> compter du 1er septembre 2018, les soumissions officielles de rapports et l'échange ultérieur d'informations concernant les cas de brouillages préjudiciables affectant </w:t>
      </w:r>
      <w:r>
        <w:rPr>
          <w:szCs w:val="24"/>
          <w:lang w:val="fr-CH"/>
        </w:rPr>
        <w:t>l</w:t>
      </w:r>
      <w:r w:rsidRPr="00C55DD5">
        <w:rPr>
          <w:szCs w:val="24"/>
          <w:lang w:val="fr-CH"/>
        </w:rPr>
        <w:t xml:space="preserve">es services spatiaux </w:t>
      </w:r>
      <w:r>
        <w:rPr>
          <w:szCs w:val="24"/>
          <w:lang w:val="fr-CH"/>
        </w:rPr>
        <w:t xml:space="preserve">pourront être effectuées via l'application en ligne </w:t>
      </w:r>
      <w:r w:rsidRPr="00C55DD5">
        <w:rPr>
          <w:szCs w:val="24"/>
          <w:lang w:val="fr-CH"/>
        </w:rPr>
        <w:t>SIRRS</w:t>
      </w:r>
      <w:r>
        <w:rPr>
          <w:szCs w:val="24"/>
          <w:lang w:val="fr-CH"/>
        </w:rPr>
        <w:t xml:space="preserve">, qui est accessible </w:t>
      </w:r>
      <w:r w:rsidRPr="00C55DD5">
        <w:rPr>
          <w:color w:val="000000"/>
          <w:lang w:val="fr-CH"/>
        </w:rPr>
        <w:t xml:space="preserve">sur le site web du Département des services spatiaux </w:t>
      </w:r>
      <w:r>
        <w:rPr>
          <w:color w:val="000000"/>
          <w:lang w:val="fr-CH"/>
        </w:rPr>
        <w:t xml:space="preserve">ou </w:t>
      </w:r>
      <w:r w:rsidRPr="00C55DD5">
        <w:rPr>
          <w:color w:val="000000"/>
          <w:lang w:val="fr-CH"/>
        </w:rPr>
        <w:t>à l'adresse suivante:</w:t>
      </w:r>
    </w:p>
    <w:p w:rsidR="00535264" w:rsidRPr="00535264" w:rsidRDefault="0087085C" w:rsidP="0087085C">
      <w:pPr>
        <w:spacing w:line="240" w:lineRule="auto"/>
        <w:ind w:right="284"/>
        <w:rPr>
          <w:lang w:val="fr-CH"/>
        </w:rPr>
      </w:pPr>
      <w:hyperlink r:id="rId8" w:history="1">
        <w:r w:rsidR="00535264" w:rsidRPr="00535264">
          <w:rPr>
            <w:rStyle w:val="Hyperlink"/>
            <w:szCs w:val="24"/>
            <w:lang w:val="fr-CH"/>
          </w:rPr>
          <w:t>https://www.itu.int/en/ITU-R/space/SIRRS/Pages/default.aspx</w:t>
        </w:r>
      </w:hyperlink>
      <w:r w:rsidR="00535264" w:rsidRPr="004114CB">
        <w:rPr>
          <w:szCs w:val="24"/>
          <w:lang w:val="fr-CH"/>
        </w:rPr>
        <w:t>.</w:t>
      </w:r>
    </w:p>
    <w:p w:rsidR="00535264" w:rsidRPr="00136813" w:rsidRDefault="00535264" w:rsidP="0087085C">
      <w:pPr>
        <w:spacing w:line="240" w:lineRule="auto"/>
        <w:ind w:right="284"/>
        <w:rPr>
          <w:szCs w:val="24"/>
          <w:lang w:val="fr-CH"/>
        </w:rPr>
      </w:pPr>
      <w:r w:rsidRPr="00136813">
        <w:rPr>
          <w:szCs w:val="24"/>
          <w:lang w:val="fr-CH"/>
        </w:rPr>
        <w:t>La soumission de documents par courrier électronique (</w:t>
      </w:r>
      <w:hyperlink r:id="rId9" w:history="1">
        <w:r w:rsidRPr="00136813">
          <w:rPr>
            <w:rStyle w:val="Hyperlink"/>
            <w:szCs w:val="24"/>
            <w:lang w:val="fr-CH"/>
          </w:rPr>
          <w:t>brmail@itu.int</w:t>
        </w:r>
      </w:hyperlink>
      <w:r>
        <w:rPr>
          <w:szCs w:val="24"/>
          <w:lang w:val="fr-CH"/>
        </w:rPr>
        <w:t>) ou par télécopie (+41 22 </w:t>
      </w:r>
      <w:r w:rsidRPr="00136813">
        <w:rPr>
          <w:szCs w:val="24"/>
          <w:lang w:val="fr-CH"/>
        </w:rPr>
        <w:t>730 5785) continuera d'être accepté</w:t>
      </w:r>
      <w:r>
        <w:rPr>
          <w:szCs w:val="24"/>
          <w:lang w:val="fr-CH"/>
        </w:rPr>
        <w:t>e,</w:t>
      </w:r>
      <w:r w:rsidRPr="00136813">
        <w:rPr>
          <w:szCs w:val="24"/>
          <w:lang w:val="fr-CH"/>
        </w:rPr>
        <w:t xml:space="preserve"> au cas où l'accès au système soulèverait des difficultés, ou si l'examen par le Comité du Règlement des radiocommunications est demandé.</w:t>
      </w:r>
      <w:r>
        <w:rPr>
          <w:szCs w:val="24"/>
          <w:lang w:val="fr-CH"/>
        </w:rPr>
        <w:t xml:space="preserve"> </w:t>
      </w:r>
    </w:p>
    <w:p w:rsidR="00535264" w:rsidRPr="00CC2AFA" w:rsidRDefault="00535264" w:rsidP="0087085C">
      <w:pPr>
        <w:spacing w:line="240" w:lineRule="auto"/>
        <w:ind w:right="284"/>
        <w:rPr>
          <w:b/>
          <w:bCs/>
          <w:szCs w:val="24"/>
          <w:lang w:val="fr-CH"/>
        </w:rPr>
      </w:pPr>
      <w:r w:rsidRPr="00136813">
        <w:rPr>
          <w:szCs w:val="24"/>
          <w:lang w:val="fr-CH"/>
        </w:rPr>
        <w:t xml:space="preserve">Les soumissions non officielles envoyées pendant la période expérimentale ont été rejetées. </w:t>
      </w:r>
      <w:r>
        <w:rPr>
          <w:szCs w:val="24"/>
          <w:lang w:val="fr-CH"/>
        </w:rPr>
        <w:t>Le Bureau tient à remercier les administrations, les opérateurs de satellites et les agences spatiales qui se sont enregistrés dans le système et ont participé aux tests.</w:t>
      </w:r>
      <w:r w:rsidRPr="00CC2AFA">
        <w:rPr>
          <w:szCs w:val="24"/>
          <w:lang w:val="fr-CH"/>
        </w:rPr>
        <w:t xml:space="preserve"> </w:t>
      </w:r>
      <w:r>
        <w:rPr>
          <w:szCs w:val="24"/>
          <w:lang w:val="fr-CH"/>
        </w:rPr>
        <w:t xml:space="preserve">Les utilisateurs issus des administrations, des opérateurs de satellites et des agences spatiales qui ont été enregistrés pendant la période expérimentale seront maintenus à des fins officielles à compter du 1er septembre </w:t>
      </w:r>
      <w:r w:rsidRPr="00CC2AFA">
        <w:rPr>
          <w:szCs w:val="24"/>
          <w:lang w:val="fr-CH"/>
        </w:rPr>
        <w:t>2018.</w:t>
      </w:r>
    </w:p>
    <w:p w:rsidR="00535264" w:rsidRPr="00F303F3" w:rsidRDefault="00535264" w:rsidP="0087085C">
      <w:pPr>
        <w:spacing w:line="240" w:lineRule="auto"/>
        <w:ind w:right="284"/>
        <w:rPr>
          <w:szCs w:val="24"/>
          <w:lang w:val="fr-CH"/>
        </w:rPr>
      </w:pPr>
      <w:r w:rsidRPr="00F303F3">
        <w:rPr>
          <w:szCs w:val="24"/>
          <w:lang w:val="fr-CH"/>
        </w:rPr>
        <w:t xml:space="preserve">Le Bureau invite les administrations et les opérateurs qui n'ont pas encore ouvert leur compte </w:t>
      </w:r>
      <w:r>
        <w:rPr>
          <w:szCs w:val="24"/>
          <w:lang w:val="fr-CH"/>
        </w:rPr>
        <w:t>à</w:t>
      </w:r>
      <w:r w:rsidRPr="00F303F3">
        <w:rPr>
          <w:szCs w:val="24"/>
          <w:lang w:val="fr-CH"/>
        </w:rPr>
        <w:t xml:space="preserve"> procéder à l'enregistrement </w:t>
      </w:r>
      <w:r>
        <w:rPr>
          <w:szCs w:val="24"/>
          <w:lang w:val="fr-CH"/>
        </w:rPr>
        <w:t>suivant les indications données</w:t>
      </w:r>
      <w:r w:rsidRPr="00F303F3">
        <w:rPr>
          <w:szCs w:val="24"/>
          <w:lang w:val="fr-CH"/>
        </w:rPr>
        <w:t xml:space="preserve"> dans la Lettre circulaire CR/428 et sur le site </w:t>
      </w:r>
      <w:r>
        <w:rPr>
          <w:szCs w:val="24"/>
          <w:lang w:val="fr-CH"/>
        </w:rPr>
        <w:t>w</w:t>
      </w:r>
      <w:r w:rsidRPr="00F303F3">
        <w:rPr>
          <w:szCs w:val="24"/>
          <w:lang w:val="fr-CH"/>
        </w:rPr>
        <w:t>eb de l'application</w:t>
      </w:r>
      <w:r>
        <w:rPr>
          <w:szCs w:val="24"/>
          <w:lang w:val="fr-CH"/>
        </w:rPr>
        <w:t xml:space="preserve"> </w:t>
      </w:r>
      <w:r w:rsidRPr="00F303F3">
        <w:rPr>
          <w:szCs w:val="24"/>
          <w:lang w:val="fr-CH"/>
        </w:rPr>
        <w:t>SIRRS</w:t>
      </w:r>
      <w:r>
        <w:rPr>
          <w:szCs w:val="24"/>
          <w:lang w:val="fr-CH"/>
        </w:rPr>
        <w:t>.</w:t>
      </w:r>
    </w:p>
    <w:p w:rsidR="0087085C" w:rsidRDefault="0087085C" w:rsidP="0087085C">
      <w:pPr>
        <w:spacing w:before="120" w:line="240" w:lineRule="auto"/>
        <w:ind w:right="284"/>
        <w:rPr>
          <w:color w:val="000000"/>
          <w:lang w:val="fr-CH"/>
        </w:rPr>
      </w:pPr>
    </w:p>
    <w:p w:rsidR="0087085C" w:rsidRDefault="0087085C" w:rsidP="0087085C">
      <w:pPr>
        <w:spacing w:before="120" w:line="240" w:lineRule="auto"/>
        <w:ind w:right="284"/>
        <w:rPr>
          <w:color w:val="000000"/>
          <w:lang w:val="fr-CH"/>
        </w:rPr>
      </w:pPr>
    </w:p>
    <w:p w:rsidR="00535264" w:rsidRPr="00F303F3" w:rsidRDefault="00535264" w:rsidP="0087085C">
      <w:pPr>
        <w:spacing w:before="120" w:line="240" w:lineRule="auto"/>
        <w:ind w:right="284"/>
        <w:rPr>
          <w:szCs w:val="24"/>
          <w:lang w:val="fr-CH"/>
        </w:rPr>
      </w:pPr>
      <w:r>
        <w:rPr>
          <w:color w:val="000000"/>
          <w:lang w:val="fr-CH"/>
        </w:rPr>
        <w:t>En outre, u</w:t>
      </w:r>
      <w:r w:rsidRPr="00F303F3">
        <w:rPr>
          <w:color w:val="000000"/>
          <w:lang w:val="fr-CH"/>
        </w:rPr>
        <w:t xml:space="preserve">ne adresse électronique </w:t>
      </w:r>
      <w:r w:rsidRPr="00F303F3">
        <w:rPr>
          <w:szCs w:val="24"/>
          <w:lang w:val="fr-CH"/>
        </w:rPr>
        <w:t>(</w:t>
      </w:r>
      <w:hyperlink r:id="rId10" w:history="1">
        <w:r w:rsidRPr="00F303F3">
          <w:rPr>
            <w:rStyle w:val="Hyperlink"/>
            <w:szCs w:val="24"/>
            <w:lang w:val="fr-CH"/>
          </w:rPr>
          <w:t>SIRRS@itu.int</w:t>
        </w:r>
      </w:hyperlink>
      <w:r w:rsidRPr="00F303F3">
        <w:rPr>
          <w:szCs w:val="24"/>
          <w:lang w:val="fr-CH"/>
        </w:rPr>
        <w:t xml:space="preserve">) </w:t>
      </w:r>
      <w:r w:rsidRPr="00F303F3">
        <w:rPr>
          <w:color w:val="000000"/>
          <w:lang w:val="fr-CH"/>
        </w:rPr>
        <w:t xml:space="preserve">a été créée spécialement pour permettre </w:t>
      </w:r>
      <w:r>
        <w:rPr>
          <w:color w:val="000000"/>
          <w:lang w:val="fr-CH"/>
        </w:rPr>
        <w:t>aux</w:t>
      </w:r>
      <w:r w:rsidRPr="00F303F3">
        <w:rPr>
          <w:color w:val="000000"/>
          <w:lang w:val="fr-CH"/>
        </w:rPr>
        <w:t xml:space="preserve"> Administration</w:t>
      </w:r>
      <w:r>
        <w:rPr>
          <w:color w:val="000000"/>
          <w:lang w:val="fr-CH"/>
        </w:rPr>
        <w:t>s</w:t>
      </w:r>
      <w:r w:rsidRPr="00F303F3">
        <w:rPr>
          <w:color w:val="000000"/>
          <w:lang w:val="fr-CH"/>
        </w:rPr>
        <w:t xml:space="preserve"> de</w:t>
      </w:r>
      <w:r>
        <w:rPr>
          <w:color w:val="000000"/>
          <w:lang w:val="fr-CH"/>
        </w:rPr>
        <w:t xml:space="preserve"> poser des questions, de formuler des suggestions et de</w:t>
      </w:r>
      <w:r w:rsidRPr="00F303F3">
        <w:rPr>
          <w:color w:val="000000"/>
          <w:lang w:val="fr-CH"/>
        </w:rPr>
        <w:t xml:space="preserve"> faire part de toute difficulté qu'elle</w:t>
      </w:r>
      <w:r>
        <w:rPr>
          <w:color w:val="000000"/>
          <w:lang w:val="fr-CH"/>
        </w:rPr>
        <w:t>s</w:t>
      </w:r>
      <w:r w:rsidRPr="00F303F3">
        <w:rPr>
          <w:color w:val="000000"/>
          <w:lang w:val="fr-CH"/>
        </w:rPr>
        <w:t xml:space="preserve"> pourrai</w:t>
      </w:r>
      <w:r>
        <w:rPr>
          <w:color w:val="000000"/>
          <w:lang w:val="fr-CH"/>
        </w:rPr>
        <w:t>en</w:t>
      </w:r>
      <w:r w:rsidRPr="00F303F3">
        <w:rPr>
          <w:color w:val="000000"/>
          <w:lang w:val="fr-CH"/>
        </w:rPr>
        <w:t>t rencontrer</w:t>
      </w:r>
      <w:r>
        <w:rPr>
          <w:color w:val="000000"/>
          <w:lang w:val="fr-CH"/>
        </w:rPr>
        <w:t>.</w:t>
      </w:r>
    </w:p>
    <w:p w:rsidR="00535264" w:rsidRPr="006F76AD" w:rsidRDefault="00535264" w:rsidP="0087085C">
      <w:pPr>
        <w:spacing w:line="240" w:lineRule="auto"/>
        <w:ind w:right="284"/>
        <w:rPr>
          <w:szCs w:val="24"/>
          <w:lang w:val="fr-CH"/>
        </w:rPr>
      </w:pPr>
      <w:r w:rsidRPr="006F76AD">
        <w:rPr>
          <w:szCs w:val="24"/>
          <w:lang w:val="fr-CH"/>
        </w:rPr>
        <w:t>Le Bureau</w:t>
      </w:r>
      <w:r>
        <w:rPr>
          <w:szCs w:val="24"/>
          <w:lang w:val="fr-CH"/>
        </w:rPr>
        <w:t xml:space="preserve"> ne doute pas </w:t>
      </w:r>
      <w:r w:rsidRPr="006F76AD">
        <w:rPr>
          <w:szCs w:val="24"/>
          <w:lang w:val="fr-CH"/>
        </w:rPr>
        <w:t>que votre Administration tire</w:t>
      </w:r>
      <w:r>
        <w:rPr>
          <w:szCs w:val="24"/>
          <w:lang w:val="fr-CH"/>
        </w:rPr>
        <w:t>ra</w:t>
      </w:r>
      <w:r w:rsidRPr="006F76AD">
        <w:rPr>
          <w:szCs w:val="24"/>
          <w:lang w:val="fr-CH"/>
        </w:rPr>
        <w:t xml:space="preserve"> pleinement parti de l'utilisation de cette application en ligne et reste à votre disposition.</w:t>
      </w:r>
      <w:r>
        <w:rPr>
          <w:szCs w:val="24"/>
          <w:lang w:val="fr-CH"/>
        </w:rPr>
        <w:t xml:space="preserve"> </w:t>
      </w:r>
    </w:p>
    <w:p w:rsidR="00535264" w:rsidRPr="00843B61" w:rsidRDefault="00535264" w:rsidP="00535264">
      <w:pPr>
        <w:spacing w:before="840" w:line="240" w:lineRule="auto"/>
        <w:jc w:val="left"/>
        <w:rPr>
          <w:szCs w:val="24"/>
          <w:lang w:val="fr-CH"/>
        </w:rPr>
      </w:pPr>
      <w:r w:rsidRPr="00535264">
        <w:rPr>
          <w:szCs w:val="24"/>
          <w:lang w:val="fr-CH"/>
        </w:rPr>
        <w:t>François Rancy</w:t>
      </w:r>
      <w:r w:rsidRPr="00535264">
        <w:rPr>
          <w:szCs w:val="24"/>
          <w:lang w:val="fr-CH"/>
        </w:rPr>
        <w:br/>
      </w:r>
      <w:r w:rsidRPr="00843B61">
        <w:rPr>
          <w:szCs w:val="24"/>
          <w:lang w:val="fr-CH"/>
        </w:rPr>
        <w:t>Directeur</w:t>
      </w:r>
    </w:p>
    <w:p w:rsidR="002B4D37" w:rsidRDefault="002B4D37" w:rsidP="00535264">
      <w:pPr>
        <w:spacing w:before="2520" w:line="240" w:lineRule="auto"/>
        <w:jc w:val="left"/>
        <w:rPr>
          <w:b/>
          <w:bCs/>
          <w:sz w:val="18"/>
          <w:szCs w:val="18"/>
          <w:u w:val="single"/>
          <w:lang w:val="fr-CH"/>
        </w:rPr>
      </w:pPr>
      <w:bookmarkStart w:id="0" w:name="ddistribution"/>
      <w:bookmarkEnd w:id="0"/>
    </w:p>
    <w:p w:rsidR="002B4D37" w:rsidRDefault="002B4D37" w:rsidP="00535264">
      <w:pPr>
        <w:spacing w:before="2520" w:line="240" w:lineRule="auto"/>
        <w:jc w:val="left"/>
        <w:rPr>
          <w:b/>
          <w:bCs/>
          <w:sz w:val="18"/>
          <w:szCs w:val="18"/>
          <w:u w:val="single"/>
          <w:lang w:val="fr-CH"/>
        </w:rPr>
      </w:pPr>
    </w:p>
    <w:p w:rsidR="002B4D37" w:rsidRDefault="002B4D37" w:rsidP="002B4D37">
      <w:pPr>
        <w:spacing w:before="1600" w:line="240" w:lineRule="auto"/>
        <w:jc w:val="left"/>
        <w:rPr>
          <w:b/>
          <w:bCs/>
          <w:sz w:val="18"/>
          <w:szCs w:val="18"/>
          <w:u w:val="single"/>
          <w:lang w:val="fr-CH"/>
        </w:rPr>
      </w:pPr>
    </w:p>
    <w:p w:rsidR="00535264" w:rsidRDefault="00535264" w:rsidP="00535264">
      <w:pPr>
        <w:spacing w:before="2520" w:line="240" w:lineRule="auto"/>
        <w:jc w:val="left"/>
        <w:rPr>
          <w:b/>
          <w:bCs/>
          <w:sz w:val="18"/>
          <w:szCs w:val="18"/>
          <w:u w:val="single"/>
          <w:lang w:val="fr-CH"/>
        </w:rPr>
      </w:pPr>
      <w:r w:rsidRPr="004114CB">
        <w:rPr>
          <w:b/>
          <w:bCs/>
          <w:sz w:val="18"/>
          <w:szCs w:val="18"/>
          <w:u w:val="single"/>
          <w:lang w:val="fr-CH"/>
        </w:rPr>
        <w:t>Distribution:</w:t>
      </w:r>
      <w:bookmarkStart w:id="1" w:name="_GoBack"/>
      <w:bookmarkEnd w:id="1"/>
    </w:p>
    <w:p w:rsidR="00E53DCE" w:rsidRPr="00535264" w:rsidRDefault="00535264" w:rsidP="00535264">
      <w:pPr>
        <w:spacing w:line="240" w:lineRule="auto"/>
        <w:jc w:val="left"/>
        <w:rPr>
          <w:szCs w:val="24"/>
          <w:lang w:val="fr-CH"/>
        </w:rPr>
      </w:pPr>
      <w:r w:rsidRPr="004114CB">
        <w:rPr>
          <w:sz w:val="18"/>
          <w:szCs w:val="18"/>
          <w:lang w:val="fr-CH"/>
        </w:rPr>
        <w:t>–</w:t>
      </w:r>
      <w:r w:rsidRPr="004114CB">
        <w:rPr>
          <w:sz w:val="18"/>
          <w:szCs w:val="18"/>
          <w:lang w:val="fr-CH"/>
        </w:rPr>
        <w:tab/>
        <w:t>Administrations des Etats Membres de l'UIT</w:t>
      </w:r>
      <w:r w:rsidRPr="004114CB">
        <w:rPr>
          <w:sz w:val="18"/>
          <w:szCs w:val="18"/>
          <w:lang w:val="fr-CH"/>
        </w:rPr>
        <w:br/>
        <w:t>–</w:t>
      </w:r>
      <w:r w:rsidRPr="004114CB">
        <w:rPr>
          <w:sz w:val="18"/>
          <w:szCs w:val="18"/>
          <w:lang w:val="fr-CH"/>
        </w:rPr>
        <w:tab/>
        <w:t>Membres du Secteur de l'UIT-R</w:t>
      </w:r>
      <w:r w:rsidRPr="004114CB">
        <w:rPr>
          <w:sz w:val="18"/>
          <w:szCs w:val="18"/>
          <w:lang w:val="fr-CH"/>
        </w:rPr>
        <w:br/>
        <w:t>–</w:t>
      </w:r>
      <w:r w:rsidRPr="004114CB">
        <w:rPr>
          <w:sz w:val="18"/>
          <w:szCs w:val="18"/>
          <w:lang w:val="fr-CH"/>
        </w:rPr>
        <w:tab/>
        <w:t>Membres du Comité du Règlement des radiocommunications</w:t>
      </w:r>
    </w:p>
    <w:sectPr w:rsidR="00E53DCE" w:rsidRPr="00535264" w:rsidSect="005352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2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220" w:rsidRDefault="00707220">
      <w:r>
        <w:separator/>
      </w:r>
    </w:p>
  </w:endnote>
  <w:endnote w:type="continuationSeparator" w:id="0">
    <w:p w:rsidR="00707220" w:rsidRDefault="0070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2F8" w:rsidRPr="000E443D" w:rsidRDefault="005E42F8" w:rsidP="005E42F8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E443D">
      <w:rPr>
        <w:sz w:val="18"/>
        <w:szCs w:val="18"/>
        <w:lang w:val="fr-CH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0E443D">
      <w:rPr>
        <w:sz w:val="18"/>
        <w:szCs w:val="18"/>
        <w:lang w:val="fr-CH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>Tél</w:t>
    </w:r>
    <w:r w:rsidR="00535264">
      <w:rPr>
        <w:sz w:val="18"/>
        <w:szCs w:val="18"/>
        <w:lang w:val="fr-CH"/>
      </w:rPr>
      <w:t>.</w:t>
    </w:r>
    <w:r w:rsidRPr="009E2358">
      <w:rPr>
        <w:sz w:val="18"/>
        <w:szCs w:val="18"/>
        <w:lang w:val="fr-CH"/>
      </w:rPr>
      <w:t xml:space="preserve">: +41 22 730 5111 • Fax: +41 22 733 7256 </w:t>
    </w:r>
    <w:r w:rsidRPr="000E443D">
      <w:rPr>
        <w:sz w:val="18"/>
        <w:szCs w:val="18"/>
        <w:lang w:val="fr-CH"/>
      </w:rPr>
      <w:t xml:space="preserve">• Courriel: </w:t>
    </w:r>
    <w:hyperlink r:id="rId1" w:history="1">
      <w:r w:rsidRPr="000E443D">
        <w:rPr>
          <w:rStyle w:val="Hyperlink"/>
          <w:sz w:val="18"/>
          <w:szCs w:val="18"/>
          <w:lang w:val="fr-CH"/>
        </w:rPr>
        <w:t>itumail@itu.int</w:t>
      </w:r>
    </w:hyperlink>
    <w:r w:rsidRPr="000E443D">
      <w:rPr>
        <w:sz w:val="18"/>
        <w:szCs w:val="18"/>
        <w:lang w:val="fr-CH"/>
      </w:rPr>
      <w:t xml:space="preserve"> • </w:t>
    </w:r>
    <w:hyperlink r:id="rId2" w:history="1">
      <w:r w:rsidRPr="000E443D">
        <w:rPr>
          <w:rStyle w:val="Hyperlink"/>
          <w:sz w:val="18"/>
          <w:szCs w:val="18"/>
          <w:lang w:val="fr-CH"/>
        </w:rPr>
        <w:t>www.itu.int</w:t>
      </w:r>
    </w:hyperlink>
    <w:r w:rsidRPr="000E443D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220" w:rsidRDefault="00707220">
      <w:r>
        <w:t>____________________</w:t>
      </w:r>
    </w:p>
  </w:footnote>
  <w:footnote w:type="continuationSeparator" w:id="0">
    <w:p w:rsidR="00707220" w:rsidRDefault="00707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53526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F34" w:rsidRPr="003F2F34" w:rsidRDefault="002B4D37" w:rsidP="002B4D37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3F2F34" w:rsidRPr="003F2F34">
      <w:rPr>
        <w:sz w:val="18"/>
        <w:szCs w:val="16"/>
      </w:rPr>
      <w:fldChar w:fldCharType="begin"/>
    </w:r>
    <w:r w:rsidR="003F2F34" w:rsidRPr="003F2F34">
      <w:rPr>
        <w:sz w:val="18"/>
        <w:szCs w:val="16"/>
      </w:rPr>
      <w:instrText xml:space="preserve"> PAGE </w:instrText>
    </w:r>
    <w:r w:rsidR="003F2F34" w:rsidRPr="003F2F34">
      <w:rPr>
        <w:sz w:val="18"/>
        <w:szCs w:val="16"/>
      </w:rPr>
      <w:fldChar w:fldCharType="separate"/>
    </w:r>
    <w:r w:rsidR="0087085C">
      <w:rPr>
        <w:noProof/>
        <w:sz w:val="18"/>
        <w:szCs w:val="16"/>
      </w:rPr>
      <w:t>2</w:t>
    </w:r>
    <w:r w:rsidR="003F2F34" w:rsidRPr="003F2F34">
      <w:rPr>
        <w:sz w:val="18"/>
        <w:szCs w:val="16"/>
      </w:rPr>
      <w:fldChar w:fldCharType="end"/>
    </w:r>
    <w:r>
      <w:rPr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0E443D" w:rsidTr="00A14242">
      <w:tc>
        <w:tcPr>
          <w:tcW w:w="9923" w:type="dxa"/>
        </w:tcPr>
        <w:p w:rsidR="000E443D" w:rsidRDefault="000E443D" w:rsidP="000E443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529AA2AD" wp14:editId="115F9E38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70722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B4D37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2F34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264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C0659"/>
    <w:rsid w:val="005D3669"/>
    <w:rsid w:val="005E42F8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07220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085C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63355"/>
    <w:rsid w:val="00A70323"/>
    <w:rsid w:val="00A7596D"/>
    <w:rsid w:val="00A963DF"/>
    <w:rsid w:val="00AA211B"/>
    <w:rsid w:val="00AA781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D5CAAF35-E532-4391-B8B3-FBFE9146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3F2F34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5C06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R/space/SIRRS/Pages/default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IRRS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0483C-A7EA-414C-9166-FC403D61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4</TotalTime>
  <Pages>2</Pages>
  <Words>416</Words>
  <Characters>2705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3115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Royer, Veronique</dc:creator>
  <cp:lastModifiedBy>Gimenez, Christine</cp:lastModifiedBy>
  <cp:revision>4</cp:revision>
  <cp:lastPrinted>2013-03-08T10:15:00Z</cp:lastPrinted>
  <dcterms:created xsi:type="dcterms:W3CDTF">2018-08-24T12:47:00Z</dcterms:created>
  <dcterms:modified xsi:type="dcterms:W3CDTF">2018-08-24T13:08:00Z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