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60"/>
        <w:gridCol w:w="5494"/>
        <w:gridCol w:w="2835"/>
      </w:tblGrid>
      <w:tr w:rsidR="00E53DCE" w:rsidRPr="000D5A7B" w:rsidTr="00306452">
        <w:trPr>
          <w:jc w:val="center"/>
        </w:trPr>
        <w:tc>
          <w:tcPr>
            <w:tcW w:w="9889" w:type="dxa"/>
            <w:gridSpan w:val="3"/>
            <w:shd w:val="clear" w:color="auto" w:fill="auto"/>
          </w:tcPr>
          <w:p w:rsidR="00E53DCE" w:rsidRPr="000D5A7B" w:rsidRDefault="00A96D3A" w:rsidP="00426B00">
            <w:pPr>
              <w:spacing w:before="0"/>
              <w:jc w:val="left"/>
              <w:rPr>
                <w:rFonts w:cstheme="minorHAnsi"/>
                <w:b/>
                <w:bCs/>
                <w:color w:val="808080"/>
                <w:sz w:val="28"/>
                <w:szCs w:val="28"/>
                <w:lang w:val="es-ES_tradnl"/>
              </w:rPr>
            </w:pPr>
            <w:r w:rsidRPr="000D5A7B">
              <w:rPr>
                <w:rFonts w:cstheme="minorHAnsi"/>
                <w:b/>
                <w:bCs/>
                <w:color w:val="808080"/>
                <w:sz w:val="28"/>
                <w:szCs w:val="28"/>
                <w:lang w:val="es-ES_tradnl"/>
              </w:rPr>
              <w:t>Oficina de Radiocomunicaciones (BR)</w:t>
            </w:r>
          </w:p>
          <w:p w:rsidR="00E53DCE" w:rsidRPr="000D5A7B" w:rsidRDefault="00E53DCE" w:rsidP="00426B00">
            <w:pPr>
              <w:spacing w:before="0"/>
              <w:jc w:val="left"/>
              <w:rPr>
                <w:rFonts w:cstheme="minorHAnsi"/>
                <w:b/>
                <w:bCs/>
                <w:color w:val="808080"/>
                <w:sz w:val="28"/>
                <w:szCs w:val="28"/>
                <w:lang w:val="es-ES_tradnl"/>
              </w:rPr>
            </w:pPr>
          </w:p>
          <w:p w:rsidR="00E53DCE" w:rsidRPr="000D5A7B" w:rsidRDefault="00E53DCE" w:rsidP="00426B00">
            <w:pPr>
              <w:spacing w:before="0"/>
              <w:jc w:val="left"/>
              <w:rPr>
                <w:rFonts w:cs="Times New Roman Bold"/>
                <w:b/>
                <w:bCs/>
                <w:color w:val="808080"/>
                <w:sz w:val="28"/>
                <w:szCs w:val="28"/>
                <w:lang w:val="es-ES_tradnl"/>
              </w:rPr>
            </w:pPr>
          </w:p>
        </w:tc>
      </w:tr>
      <w:tr w:rsidR="00E53DCE" w:rsidRPr="000D5A7B" w:rsidTr="00306452">
        <w:trPr>
          <w:jc w:val="center"/>
        </w:trPr>
        <w:tc>
          <w:tcPr>
            <w:tcW w:w="7054" w:type="dxa"/>
            <w:gridSpan w:val="2"/>
            <w:shd w:val="clear" w:color="auto" w:fill="auto"/>
          </w:tcPr>
          <w:p w:rsidR="00E53DCE" w:rsidRPr="000D5A7B" w:rsidRDefault="00CC0EB8" w:rsidP="00426B00">
            <w:pPr>
              <w:spacing w:before="0"/>
              <w:jc w:val="left"/>
              <w:rPr>
                <w:szCs w:val="24"/>
                <w:lang w:val="es-ES_tradnl"/>
              </w:rPr>
            </w:pPr>
            <w:r w:rsidRPr="000D5A7B">
              <w:rPr>
                <w:szCs w:val="24"/>
                <w:lang w:val="es-ES_tradnl"/>
              </w:rPr>
              <w:t>Carta Circular</w:t>
            </w:r>
          </w:p>
          <w:p w:rsidR="00E53DCE" w:rsidRPr="000D5A7B" w:rsidRDefault="00E53DCE" w:rsidP="00426B00">
            <w:pPr>
              <w:spacing w:before="0"/>
              <w:jc w:val="left"/>
              <w:rPr>
                <w:b/>
                <w:bCs/>
                <w:szCs w:val="24"/>
                <w:lang w:val="es-ES_tradnl"/>
              </w:rPr>
            </w:pPr>
            <w:r w:rsidRPr="000D5A7B">
              <w:rPr>
                <w:b/>
                <w:bCs/>
                <w:szCs w:val="24"/>
                <w:lang w:val="es-ES_tradnl"/>
              </w:rPr>
              <w:t>C</w:t>
            </w:r>
            <w:r w:rsidR="00DF70A1" w:rsidRPr="000D5A7B">
              <w:rPr>
                <w:b/>
                <w:bCs/>
                <w:szCs w:val="24"/>
                <w:lang w:val="es-ES_tradnl"/>
              </w:rPr>
              <w:t>R</w:t>
            </w:r>
            <w:r w:rsidRPr="000D5A7B">
              <w:rPr>
                <w:b/>
                <w:bCs/>
                <w:szCs w:val="24"/>
                <w:lang w:val="es-ES_tradnl"/>
              </w:rPr>
              <w:t>/</w:t>
            </w:r>
            <w:r w:rsidR="00381560" w:rsidRPr="000D5A7B">
              <w:rPr>
                <w:b/>
                <w:bCs/>
                <w:szCs w:val="24"/>
                <w:lang w:val="es-ES_tradnl"/>
              </w:rPr>
              <w:t>4</w:t>
            </w:r>
            <w:r w:rsidR="00426B00" w:rsidRPr="000D5A7B">
              <w:rPr>
                <w:b/>
                <w:bCs/>
                <w:szCs w:val="24"/>
                <w:lang w:val="es-ES_tradnl"/>
              </w:rPr>
              <w:t>34</w:t>
            </w:r>
          </w:p>
        </w:tc>
        <w:tc>
          <w:tcPr>
            <w:tcW w:w="2835" w:type="dxa"/>
            <w:shd w:val="clear" w:color="auto" w:fill="auto"/>
          </w:tcPr>
          <w:p w:rsidR="00E53DCE" w:rsidRPr="000D5A7B" w:rsidRDefault="00A96D3A" w:rsidP="00426B00">
            <w:pPr>
              <w:spacing w:before="0"/>
              <w:jc w:val="right"/>
              <w:rPr>
                <w:szCs w:val="24"/>
                <w:lang w:val="es-ES_tradnl"/>
              </w:rPr>
            </w:pPr>
            <w:r w:rsidRPr="000D5A7B">
              <w:rPr>
                <w:bCs/>
                <w:szCs w:val="24"/>
                <w:lang w:val="es-ES_tradnl"/>
              </w:rPr>
              <w:t xml:space="preserve">1 de </w:t>
            </w:r>
            <w:r w:rsidR="00426B00" w:rsidRPr="000D5A7B">
              <w:rPr>
                <w:bCs/>
                <w:szCs w:val="24"/>
                <w:lang w:val="es-ES_tradnl"/>
              </w:rPr>
              <w:t>agosto</w:t>
            </w:r>
            <w:r w:rsidRPr="000D5A7B">
              <w:rPr>
                <w:bCs/>
                <w:szCs w:val="24"/>
                <w:lang w:val="es-ES_tradnl"/>
              </w:rPr>
              <w:t xml:space="preserve"> de 201</w:t>
            </w:r>
            <w:r w:rsidR="00381560" w:rsidRPr="000D5A7B">
              <w:rPr>
                <w:bCs/>
                <w:szCs w:val="24"/>
                <w:lang w:val="es-ES_tradnl"/>
              </w:rPr>
              <w:t>8</w:t>
            </w:r>
          </w:p>
        </w:tc>
      </w:tr>
      <w:tr w:rsidR="00E53DCE" w:rsidRPr="000D5A7B" w:rsidTr="00306452">
        <w:trPr>
          <w:jc w:val="center"/>
        </w:trPr>
        <w:tc>
          <w:tcPr>
            <w:tcW w:w="9889" w:type="dxa"/>
            <w:gridSpan w:val="3"/>
            <w:shd w:val="clear" w:color="auto" w:fill="auto"/>
          </w:tcPr>
          <w:p w:rsidR="00E53DCE" w:rsidRPr="000D5A7B" w:rsidRDefault="00E53DCE" w:rsidP="00426B00">
            <w:pPr>
              <w:spacing w:before="0"/>
              <w:jc w:val="left"/>
              <w:rPr>
                <w:rFonts w:cs="Arial"/>
                <w:szCs w:val="24"/>
                <w:lang w:val="es-ES_tradnl"/>
              </w:rPr>
            </w:pPr>
          </w:p>
        </w:tc>
      </w:tr>
      <w:tr w:rsidR="00E53DCE" w:rsidRPr="000D5A7B" w:rsidTr="00306452">
        <w:trPr>
          <w:jc w:val="center"/>
        </w:trPr>
        <w:tc>
          <w:tcPr>
            <w:tcW w:w="9889" w:type="dxa"/>
            <w:gridSpan w:val="3"/>
            <w:shd w:val="clear" w:color="auto" w:fill="auto"/>
          </w:tcPr>
          <w:p w:rsidR="00E53DCE" w:rsidRPr="000D5A7B" w:rsidRDefault="00E53DCE" w:rsidP="00426B00">
            <w:pPr>
              <w:spacing w:before="0"/>
              <w:jc w:val="left"/>
              <w:rPr>
                <w:szCs w:val="24"/>
                <w:lang w:val="es-ES_tradnl"/>
              </w:rPr>
            </w:pPr>
          </w:p>
        </w:tc>
      </w:tr>
      <w:tr w:rsidR="00E53DCE" w:rsidRPr="007D1B33" w:rsidTr="00306452">
        <w:trPr>
          <w:jc w:val="center"/>
        </w:trPr>
        <w:tc>
          <w:tcPr>
            <w:tcW w:w="9889" w:type="dxa"/>
            <w:gridSpan w:val="3"/>
            <w:shd w:val="clear" w:color="auto" w:fill="auto"/>
          </w:tcPr>
          <w:p w:rsidR="00E53DCE" w:rsidRPr="000D5A7B" w:rsidRDefault="00FE4822" w:rsidP="00F54011">
            <w:pPr>
              <w:spacing w:before="0"/>
              <w:jc w:val="left"/>
              <w:rPr>
                <w:b/>
                <w:bCs/>
                <w:szCs w:val="24"/>
                <w:lang w:val="es-ES_tradnl"/>
              </w:rPr>
            </w:pPr>
            <w:r w:rsidRPr="000D5A7B">
              <w:rPr>
                <w:b/>
                <w:szCs w:val="24"/>
                <w:lang w:val="es-ES_tradnl"/>
              </w:rPr>
              <w:t>A las Administraciones de los Estados Miembros de la UIT</w:t>
            </w:r>
          </w:p>
        </w:tc>
      </w:tr>
      <w:tr w:rsidR="00E53DCE" w:rsidRPr="007D1B33" w:rsidTr="00306452">
        <w:trPr>
          <w:jc w:val="center"/>
        </w:trPr>
        <w:tc>
          <w:tcPr>
            <w:tcW w:w="9889" w:type="dxa"/>
            <w:gridSpan w:val="3"/>
            <w:shd w:val="clear" w:color="auto" w:fill="auto"/>
          </w:tcPr>
          <w:p w:rsidR="00E53DCE" w:rsidRPr="000D5A7B" w:rsidRDefault="00E53DCE" w:rsidP="00426B00">
            <w:pPr>
              <w:spacing w:before="0"/>
              <w:jc w:val="left"/>
              <w:rPr>
                <w:szCs w:val="24"/>
                <w:lang w:val="es-ES_tradnl"/>
              </w:rPr>
            </w:pPr>
          </w:p>
        </w:tc>
      </w:tr>
      <w:tr w:rsidR="00E53DCE" w:rsidRPr="007D1B33" w:rsidTr="00306452">
        <w:trPr>
          <w:jc w:val="center"/>
        </w:trPr>
        <w:tc>
          <w:tcPr>
            <w:tcW w:w="9889" w:type="dxa"/>
            <w:gridSpan w:val="3"/>
            <w:shd w:val="clear" w:color="auto" w:fill="auto"/>
          </w:tcPr>
          <w:p w:rsidR="00E53DCE" w:rsidRPr="000D5A7B" w:rsidRDefault="00E53DCE" w:rsidP="00426B00">
            <w:pPr>
              <w:spacing w:before="0"/>
              <w:jc w:val="left"/>
              <w:rPr>
                <w:szCs w:val="24"/>
                <w:lang w:val="es-ES_tradnl"/>
              </w:rPr>
            </w:pPr>
          </w:p>
        </w:tc>
      </w:tr>
      <w:tr w:rsidR="00E53DCE" w:rsidRPr="007D1B33" w:rsidTr="00F54011">
        <w:trPr>
          <w:jc w:val="center"/>
        </w:trPr>
        <w:tc>
          <w:tcPr>
            <w:tcW w:w="1560" w:type="dxa"/>
            <w:shd w:val="clear" w:color="auto" w:fill="auto"/>
          </w:tcPr>
          <w:p w:rsidR="00E53DCE" w:rsidRPr="000D5A7B" w:rsidRDefault="00311970" w:rsidP="00426B00">
            <w:pPr>
              <w:tabs>
                <w:tab w:val="clear" w:pos="1588"/>
                <w:tab w:val="left" w:pos="1560"/>
              </w:tabs>
              <w:spacing w:before="0"/>
              <w:jc w:val="left"/>
              <w:rPr>
                <w:szCs w:val="24"/>
                <w:lang w:val="es-ES_tradnl"/>
              </w:rPr>
            </w:pPr>
            <w:r w:rsidRPr="000D5A7B">
              <w:rPr>
                <w:szCs w:val="24"/>
                <w:lang w:val="es-ES_tradnl"/>
              </w:rPr>
              <w:t>Asunto:</w:t>
            </w:r>
          </w:p>
        </w:tc>
        <w:tc>
          <w:tcPr>
            <w:tcW w:w="8329" w:type="dxa"/>
            <w:gridSpan w:val="2"/>
            <w:vMerge w:val="restart"/>
            <w:shd w:val="clear" w:color="auto" w:fill="auto"/>
          </w:tcPr>
          <w:p w:rsidR="00E53DCE" w:rsidRPr="000D5A7B" w:rsidRDefault="00381560" w:rsidP="00426B00">
            <w:pPr>
              <w:tabs>
                <w:tab w:val="clear" w:pos="1588"/>
                <w:tab w:val="left" w:pos="1560"/>
              </w:tabs>
              <w:spacing w:before="0"/>
              <w:rPr>
                <w:b/>
                <w:bCs/>
                <w:szCs w:val="24"/>
                <w:lang w:val="es-ES_tradnl"/>
              </w:rPr>
            </w:pPr>
            <w:r w:rsidRPr="000D5A7B">
              <w:rPr>
                <w:b/>
                <w:bCs/>
                <w:szCs w:val="24"/>
                <w:lang w:val="es-ES_tradnl"/>
              </w:rPr>
              <w:t>Implementa</w:t>
            </w:r>
            <w:r w:rsidR="005F49DA">
              <w:rPr>
                <w:b/>
                <w:bCs/>
                <w:szCs w:val="24"/>
                <w:lang w:val="es-ES_tradnl"/>
              </w:rPr>
              <w:t>ción de la Resolución 908 (Rev.</w:t>
            </w:r>
            <w:r w:rsidRPr="000D5A7B">
              <w:rPr>
                <w:b/>
                <w:bCs/>
                <w:szCs w:val="24"/>
                <w:lang w:val="es-ES_tradnl"/>
              </w:rPr>
              <w:t xml:space="preserve">CMR-15) – Disponibilidad de la aplicación </w:t>
            </w:r>
            <w:r w:rsidR="003320AA" w:rsidRPr="000D5A7B">
              <w:rPr>
                <w:b/>
                <w:bCs/>
                <w:szCs w:val="24"/>
                <w:lang w:val="es-ES_tradnl"/>
              </w:rPr>
              <w:t>«</w:t>
            </w:r>
            <w:r w:rsidRPr="000D5A7B">
              <w:rPr>
                <w:b/>
                <w:bCs/>
                <w:szCs w:val="24"/>
                <w:lang w:val="es-ES_tradnl"/>
              </w:rPr>
              <w:t>Presentación electrónica de notificaciones de redes de satélites</w:t>
            </w:r>
            <w:r w:rsidR="003320AA" w:rsidRPr="000D5A7B">
              <w:rPr>
                <w:b/>
                <w:bCs/>
                <w:szCs w:val="24"/>
                <w:lang w:val="es-ES_tradnl"/>
              </w:rPr>
              <w:t>»</w:t>
            </w:r>
          </w:p>
        </w:tc>
      </w:tr>
      <w:tr w:rsidR="00E53DCE" w:rsidRPr="007D1B33" w:rsidTr="00F54011">
        <w:trPr>
          <w:jc w:val="center"/>
        </w:trPr>
        <w:tc>
          <w:tcPr>
            <w:tcW w:w="1560" w:type="dxa"/>
            <w:shd w:val="clear" w:color="auto" w:fill="auto"/>
          </w:tcPr>
          <w:p w:rsidR="00E53DCE" w:rsidRPr="000D5A7B" w:rsidRDefault="00E53DCE" w:rsidP="00426B00">
            <w:pPr>
              <w:tabs>
                <w:tab w:val="clear" w:pos="1588"/>
                <w:tab w:val="left" w:pos="1560"/>
              </w:tabs>
              <w:spacing w:before="0"/>
              <w:jc w:val="left"/>
              <w:rPr>
                <w:b/>
                <w:bCs/>
                <w:szCs w:val="24"/>
                <w:lang w:val="es-ES_tradnl"/>
              </w:rPr>
            </w:pPr>
          </w:p>
        </w:tc>
        <w:tc>
          <w:tcPr>
            <w:tcW w:w="8329" w:type="dxa"/>
            <w:gridSpan w:val="2"/>
            <w:vMerge/>
            <w:shd w:val="clear" w:color="auto" w:fill="auto"/>
          </w:tcPr>
          <w:p w:rsidR="00E53DCE" w:rsidRPr="000D5A7B" w:rsidRDefault="00E53DCE" w:rsidP="00426B00">
            <w:pPr>
              <w:tabs>
                <w:tab w:val="clear" w:pos="1588"/>
                <w:tab w:val="left" w:pos="1560"/>
              </w:tabs>
              <w:spacing w:before="0"/>
              <w:rPr>
                <w:b/>
                <w:bCs/>
                <w:szCs w:val="24"/>
                <w:lang w:val="es-ES_tradnl"/>
              </w:rPr>
            </w:pPr>
          </w:p>
        </w:tc>
      </w:tr>
      <w:tr w:rsidR="00E53DCE" w:rsidRPr="007D1B33" w:rsidTr="00F54011">
        <w:trPr>
          <w:jc w:val="center"/>
        </w:trPr>
        <w:tc>
          <w:tcPr>
            <w:tcW w:w="1560" w:type="dxa"/>
            <w:shd w:val="clear" w:color="auto" w:fill="auto"/>
          </w:tcPr>
          <w:p w:rsidR="00E53DCE" w:rsidRPr="000D5A7B" w:rsidRDefault="00E53DCE" w:rsidP="00426B00">
            <w:pPr>
              <w:tabs>
                <w:tab w:val="clear" w:pos="1588"/>
                <w:tab w:val="left" w:pos="1560"/>
              </w:tabs>
              <w:spacing w:before="0"/>
              <w:jc w:val="left"/>
              <w:rPr>
                <w:b/>
                <w:bCs/>
                <w:szCs w:val="24"/>
                <w:lang w:val="es-ES_tradnl"/>
              </w:rPr>
            </w:pPr>
          </w:p>
        </w:tc>
        <w:tc>
          <w:tcPr>
            <w:tcW w:w="8329" w:type="dxa"/>
            <w:gridSpan w:val="2"/>
            <w:vMerge/>
            <w:shd w:val="clear" w:color="auto" w:fill="auto"/>
          </w:tcPr>
          <w:p w:rsidR="00E53DCE" w:rsidRPr="000D5A7B" w:rsidRDefault="00E53DCE" w:rsidP="00426B00">
            <w:pPr>
              <w:tabs>
                <w:tab w:val="clear" w:pos="1588"/>
                <w:tab w:val="left" w:pos="1560"/>
              </w:tabs>
              <w:spacing w:before="0"/>
              <w:rPr>
                <w:b/>
                <w:bCs/>
                <w:szCs w:val="24"/>
                <w:lang w:val="es-ES_tradnl"/>
              </w:rPr>
            </w:pPr>
          </w:p>
        </w:tc>
      </w:tr>
      <w:tr w:rsidR="00F54011" w:rsidRPr="007D1B33" w:rsidTr="00F54011">
        <w:trPr>
          <w:jc w:val="center"/>
        </w:trPr>
        <w:tc>
          <w:tcPr>
            <w:tcW w:w="1560" w:type="dxa"/>
            <w:shd w:val="clear" w:color="auto" w:fill="auto"/>
          </w:tcPr>
          <w:p w:rsidR="00F54011" w:rsidRPr="000D5A7B" w:rsidRDefault="00F54011" w:rsidP="00F54011">
            <w:pPr>
              <w:tabs>
                <w:tab w:val="clear" w:pos="1588"/>
                <w:tab w:val="left" w:pos="1560"/>
              </w:tabs>
              <w:spacing w:before="0"/>
              <w:jc w:val="left"/>
              <w:rPr>
                <w:szCs w:val="24"/>
                <w:lang w:val="es-ES_tradnl"/>
              </w:rPr>
            </w:pPr>
            <w:r>
              <w:rPr>
                <w:szCs w:val="24"/>
                <w:lang w:val="es-ES_tradnl"/>
              </w:rPr>
              <w:t>Referencia:</w:t>
            </w:r>
          </w:p>
        </w:tc>
        <w:tc>
          <w:tcPr>
            <w:tcW w:w="8329" w:type="dxa"/>
            <w:gridSpan w:val="2"/>
            <w:shd w:val="clear" w:color="auto" w:fill="auto"/>
          </w:tcPr>
          <w:p w:rsidR="00F54011" w:rsidRPr="000D5A7B" w:rsidRDefault="00F54011" w:rsidP="00E53DCE">
            <w:pPr>
              <w:tabs>
                <w:tab w:val="clear" w:pos="1588"/>
                <w:tab w:val="left" w:pos="1560"/>
              </w:tabs>
              <w:spacing w:before="0"/>
              <w:jc w:val="left"/>
              <w:rPr>
                <w:szCs w:val="24"/>
                <w:lang w:val="es-ES_tradnl"/>
              </w:rPr>
            </w:pPr>
            <w:r>
              <w:rPr>
                <w:szCs w:val="24"/>
                <w:lang w:val="es-ES_tradnl"/>
              </w:rPr>
              <w:t>Carta Circular CR/427 de fecha 13 de marzo de 2018</w:t>
            </w:r>
          </w:p>
        </w:tc>
      </w:tr>
      <w:tr w:rsidR="00E53DCE" w:rsidRPr="007D1B33" w:rsidTr="00306452">
        <w:trPr>
          <w:jc w:val="center"/>
        </w:trPr>
        <w:tc>
          <w:tcPr>
            <w:tcW w:w="9889" w:type="dxa"/>
            <w:gridSpan w:val="3"/>
            <w:shd w:val="clear" w:color="auto" w:fill="auto"/>
          </w:tcPr>
          <w:p w:rsidR="00E53DCE" w:rsidRPr="000D5A7B" w:rsidRDefault="00E53DCE" w:rsidP="00426B00">
            <w:pPr>
              <w:spacing w:before="0"/>
              <w:jc w:val="left"/>
              <w:rPr>
                <w:b/>
                <w:bCs/>
                <w:szCs w:val="24"/>
                <w:lang w:val="es-ES_tradnl"/>
              </w:rPr>
            </w:pPr>
          </w:p>
        </w:tc>
      </w:tr>
    </w:tbl>
    <w:p w:rsidR="000D5A7B" w:rsidRPr="000D5A7B" w:rsidRDefault="00381560" w:rsidP="005F49DA">
      <w:pPr>
        <w:pStyle w:val="Normalaftertitle"/>
        <w:rPr>
          <w:lang w:val="es-ES_tradnl"/>
        </w:rPr>
      </w:pPr>
      <w:r w:rsidRPr="000D5A7B">
        <w:rPr>
          <w:lang w:val="es-ES_tradnl"/>
        </w:rPr>
        <w:t xml:space="preserve">La Oficina de Radiocomunicaciones se complace en informar a los miembros del UIT-R </w:t>
      </w:r>
      <w:r w:rsidR="00426B00" w:rsidRPr="000D5A7B">
        <w:rPr>
          <w:lang w:val="es-ES_tradnl"/>
        </w:rPr>
        <w:t xml:space="preserve">que, tras el éxito de las pruebas realizadas por las </w:t>
      </w:r>
      <w:r w:rsidR="00867C6A" w:rsidRPr="000D5A7B">
        <w:rPr>
          <w:lang w:val="es-ES_tradnl"/>
        </w:rPr>
        <w:t>Administraciones</w:t>
      </w:r>
      <w:r w:rsidR="00426B00" w:rsidRPr="000D5A7B">
        <w:rPr>
          <w:lang w:val="es-ES_tradnl"/>
        </w:rPr>
        <w:t>, y después de la aprobación por la 78ª</w:t>
      </w:r>
      <w:r w:rsidR="005F49DA">
        <w:rPr>
          <w:lang w:val="es-ES_tradnl"/>
        </w:rPr>
        <w:t> </w:t>
      </w:r>
      <w:r w:rsidR="00426B00" w:rsidRPr="000D5A7B">
        <w:rPr>
          <w:lang w:val="es-ES_tradnl"/>
        </w:rPr>
        <w:t xml:space="preserve">reunión de la Junta del Reglamento de Radiocomunicaciones (16-20 de julio de 2018) de Reglas de Procedimiento (RdP) nuevas y revisadas para la admisibilidad de los formularios de notificación, la aplicación en línea </w:t>
      </w:r>
      <w:r w:rsidR="00943D73">
        <w:rPr>
          <w:lang w:val="es-ES_tradnl"/>
        </w:rPr>
        <w:t>«</w:t>
      </w:r>
      <w:r w:rsidR="001F15FE" w:rsidRPr="00F54011">
        <w:rPr>
          <w:szCs w:val="24"/>
          <w:lang w:val="es-ES_tradnl"/>
        </w:rPr>
        <w:t>e-</w:t>
      </w:r>
      <w:r w:rsidR="001F15FE" w:rsidRPr="008C0C56">
        <w:rPr>
          <w:szCs w:val="24"/>
          <w:lang w:val="es-ES_tradnl"/>
        </w:rPr>
        <w:t>Submission of satellite network filings</w:t>
      </w:r>
      <w:r w:rsidR="001F15FE" w:rsidRPr="000D5A7B">
        <w:rPr>
          <w:lang w:val="es-ES_tradnl"/>
        </w:rPr>
        <w:t xml:space="preserve">» </w:t>
      </w:r>
      <w:r w:rsidR="001F15FE">
        <w:rPr>
          <w:lang w:val="es-ES_tradnl"/>
        </w:rPr>
        <w:t>(</w:t>
      </w:r>
      <w:r w:rsidR="00426B00" w:rsidRPr="000D5A7B">
        <w:rPr>
          <w:lang w:val="es-ES_tradnl"/>
        </w:rPr>
        <w:t>Presentación electrónica de notificaciones de redes de satélites</w:t>
      </w:r>
      <w:r w:rsidR="001F15FE">
        <w:rPr>
          <w:lang w:val="es-ES_tradnl"/>
        </w:rPr>
        <w:t>)</w:t>
      </w:r>
      <w:r w:rsidR="00426B00" w:rsidRPr="000D5A7B">
        <w:rPr>
          <w:lang w:val="es-ES_tradnl"/>
        </w:rPr>
        <w:t xml:space="preserve"> estará disponible para la </w:t>
      </w:r>
      <w:r w:rsidR="000D5A7B" w:rsidRPr="000D5A7B">
        <w:rPr>
          <w:lang w:val="es-ES_tradnl"/>
        </w:rPr>
        <w:t xml:space="preserve">presentación de todas las notificaciones para los servicios espaciales a </w:t>
      </w:r>
      <w:r w:rsidR="00943D73">
        <w:rPr>
          <w:lang w:val="es-ES_tradnl"/>
        </w:rPr>
        <w:t>partir del 1 de agosto de 2018.</w:t>
      </w:r>
    </w:p>
    <w:p w:rsidR="000D5A7B" w:rsidRPr="000D5A7B" w:rsidRDefault="000D5A7B" w:rsidP="008720E2">
      <w:pPr>
        <w:rPr>
          <w:lang w:val="es-ES_tradnl"/>
        </w:rPr>
      </w:pPr>
      <w:r>
        <w:rPr>
          <w:lang w:val="es-ES_tradnl"/>
        </w:rPr>
        <w:t xml:space="preserve">A partir del 1 de agosto de 2018, todas las notificaciones en virtud de los </w:t>
      </w:r>
      <w:r w:rsidR="005F49DA">
        <w:rPr>
          <w:lang w:val="es-ES_tradnl"/>
        </w:rPr>
        <w:t xml:space="preserve">Artículos </w:t>
      </w:r>
      <w:r w:rsidRPr="000D5A7B">
        <w:rPr>
          <w:b/>
          <w:bCs/>
          <w:lang w:val="es-ES_tradnl"/>
        </w:rPr>
        <w:t xml:space="preserve">9 </w:t>
      </w:r>
      <w:r>
        <w:rPr>
          <w:lang w:val="es-ES_tradnl"/>
        </w:rPr>
        <w:t>y</w:t>
      </w:r>
      <w:r w:rsidRPr="000D5A7B">
        <w:rPr>
          <w:lang w:val="es-ES_tradnl"/>
        </w:rPr>
        <w:t xml:space="preserve"> </w:t>
      </w:r>
      <w:r w:rsidRPr="000D5A7B">
        <w:rPr>
          <w:b/>
          <w:bCs/>
          <w:lang w:val="es-ES_tradnl"/>
        </w:rPr>
        <w:t>11</w:t>
      </w:r>
      <w:r w:rsidRPr="000D5A7B">
        <w:rPr>
          <w:lang w:val="es-ES_tradnl"/>
        </w:rPr>
        <w:t xml:space="preserve">, </w:t>
      </w:r>
      <w:r>
        <w:rPr>
          <w:lang w:val="es-ES_tradnl"/>
        </w:rPr>
        <w:t xml:space="preserve">de los Apéndices </w:t>
      </w:r>
      <w:r w:rsidRPr="000D5A7B">
        <w:rPr>
          <w:b/>
          <w:bCs/>
          <w:lang w:val="es-ES_tradnl"/>
        </w:rPr>
        <w:t>30</w:t>
      </w:r>
      <w:r w:rsidRPr="000D5A7B">
        <w:rPr>
          <w:lang w:val="es-ES_tradnl"/>
        </w:rPr>
        <w:t xml:space="preserve">, </w:t>
      </w:r>
      <w:r w:rsidRPr="000D5A7B">
        <w:rPr>
          <w:b/>
          <w:bCs/>
          <w:lang w:val="es-ES_tradnl"/>
        </w:rPr>
        <w:t>30A</w:t>
      </w:r>
      <w:r w:rsidRPr="000D5A7B">
        <w:rPr>
          <w:lang w:val="es-ES_tradnl"/>
        </w:rPr>
        <w:t xml:space="preserve"> </w:t>
      </w:r>
      <w:r>
        <w:rPr>
          <w:lang w:val="es-ES_tradnl"/>
        </w:rPr>
        <w:t>y</w:t>
      </w:r>
      <w:r w:rsidRPr="000D5A7B">
        <w:rPr>
          <w:lang w:val="es-ES_tradnl"/>
        </w:rPr>
        <w:t xml:space="preserve"> </w:t>
      </w:r>
      <w:r w:rsidRPr="000D5A7B">
        <w:rPr>
          <w:b/>
          <w:bCs/>
          <w:lang w:val="es-ES_tradnl"/>
        </w:rPr>
        <w:t>30B</w:t>
      </w:r>
      <w:r w:rsidRPr="000D5A7B">
        <w:rPr>
          <w:lang w:val="es-ES_tradnl"/>
        </w:rPr>
        <w:t xml:space="preserve"> </w:t>
      </w:r>
      <w:r>
        <w:rPr>
          <w:lang w:val="es-ES_tradnl"/>
        </w:rPr>
        <w:t>y de las Resoluciones</w:t>
      </w:r>
      <w:r w:rsidRPr="000D5A7B">
        <w:rPr>
          <w:lang w:val="es-ES_tradnl"/>
        </w:rPr>
        <w:t xml:space="preserve"> </w:t>
      </w:r>
      <w:r w:rsidRPr="000D5A7B">
        <w:rPr>
          <w:b/>
          <w:bCs/>
          <w:lang w:val="es-ES_tradnl"/>
        </w:rPr>
        <w:t>49</w:t>
      </w:r>
      <w:r w:rsidRPr="000D5A7B">
        <w:rPr>
          <w:lang w:val="es-ES_tradnl"/>
        </w:rPr>
        <w:t xml:space="preserve"> (Rev.</w:t>
      </w:r>
      <w:r>
        <w:rPr>
          <w:lang w:val="es-ES_tradnl"/>
        </w:rPr>
        <w:t>CMR</w:t>
      </w:r>
      <w:r w:rsidRPr="000D5A7B">
        <w:rPr>
          <w:lang w:val="es-ES_tradnl"/>
        </w:rPr>
        <w:t xml:space="preserve">-15), </w:t>
      </w:r>
      <w:r w:rsidRPr="000D5A7B">
        <w:rPr>
          <w:b/>
          <w:bCs/>
          <w:lang w:val="es-ES_tradnl"/>
        </w:rPr>
        <w:t>552</w:t>
      </w:r>
      <w:r w:rsidRPr="000D5A7B">
        <w:rPr>
          <w:lang w:val="es-ES_tradnl"/>
        </w:rPr>
        <w:t xml:space="preserve"> (Rev.</w:t>
      </w:r>
      <w:r>
        <w:rPr>
          <w:lang w:val="es-ES_tradnl"/>
        </w:rPr>
        <w:t>CMR</w:t>
      </w:r>
      <w:r w:rsidRPr="000D5A7B">
        <w:rPr>
          <w:lang w:val="es-ES_tradnl"/>
        </w:rPr>
        <w:t xml:space="preserve">-15) </w:t>
      </w:r>
      <w:r>
        <w:rPr>
          <w:lang w:val="es-ES_tradnl"/>
        </w:rPr>
        <w:t>y</w:t>
      </w:r>
      <w:r w:rsidRPr="000D5A7B">
        <w:rPr>
          <w:lang w:val="es-ES_tradnl"/>
        </w:rPr>
        <w:t xml:space="preserve"> </w:t>
      </w:r>
      <w:r w:rsidRPr="000D5A7B">
        <w:rPr>
          <w:b/>
          <w:bCs/>
          <w:lang w:val="es-ES_tradnl"/>
        </w:rPr>
        <w:t>553</w:t>
      </w:r>
      <w:r w:rsidR="00943D73">
        <w:rPr>
          <w:lang w:val="es-ES_tradnl"/>
        </w:rPr>
        <w:t> </w:t>
      </w:r>
      <w:r w:rsidRPr="000D5A7B">
        <w:rPr>
          <w:lang w:val="es-ES_tradnl"/>
        </w:rPr>
        <w:t>(Rev.</w:t>
      </w:r>
      <w:r>
        <w:rPr>
          <w:lang w:val="es-ES_tradnl"/>
        </w:rPr>
        <w:t>CMR</w:t>
      </w:r>
      <w:r w:rsidR="00943D73">
        <w:rPr>
          <w:lang w:val="es-ES_tradnl"/>
        </w:rPr>
        <w:noBreakHyphen/>
      </w:r>
      <w:r w:rsidR="008C0C56">
        <w:rPr>
          <w:lang w:val="es-ES_tradnl"/>
        </w:rPr>
        <w:t xml:space="preserve">15) </w:t>
      </w:r>
      <w:r>
        <w:rPr>
          <w:lang w:val="es-ES_tradnl"/>
        </w:rPr>
        <w:t xml:space="preserve">en aplicación de los procedimientos del Reglamento de Radiocomunicaciones, o </w:t>
      </w:r>
      <w:r w:rsidR="008C0C56">
        <w:rPr>
          <w:lang w:val="es-ES_tradnl"/>
        </w:rPr>
        <w:t xml:space="preserve">los </w:t>
      </w:r>
      <w:r w:rsidR="00943D73">
        <w:rPr>
          <w:lang w:val="es-ES_tradnl"/>
        </w:rPr>
        <w:t xml:space="preserve">comentarios relacionados con </w:t>
      </w:r>
      <w:r>
        <w:rPr>
          <w:lang w:val="es-ES_tradnl"/>
        </w:rPr>
        <w:t xml:space="preserve">una BR IFIC, deberán presentarse utilizando la interfaz web de </w:t>
      </w:r>
      <w:r w:rsidRPr="00F54011">
        <w:rPr>
          <w:lang w:val="es-ES_tradnl"/>
        </w:rPr>
        <w:t>la</w:t>
      </w:r>
      <w:r w:rsidR="00943D73" w:rsidRPr="00F54011">
        <w:rPr>
          <w:lang w:val="es-ES_tradnl"/>
        </w:rPr>
        <w:t> </w:t>
      </w:r>
      <w:r w:rsidRPr="00F54011">
        <w:rPr>
          <w:lang w:val="es-ES_tradnl"/>
        </w:rPr>
        <w:t xml:space="preserve">UIT </w:t>
      </w:r>
      <w:r w:rsidR="00943D73" w:rsidRPr="00F54011">
        <w:rPr>
          <w:lang w:val="es-ES_tradnl"/>
        </w:rPr>
        <w:t>«</w:t>
      </w:r>
      <w:r w:rsidRPr="00F54011">
        <w:rPr>
          <w:lang w:val="es-ES_tradnl"/>
        </w:rPr>
        <w:t>e-Submission of satellite network filings</w:t>
      </w:r>
      <w:r w:rsidR="00943D73" w:rsidRPr="00F54011">
        <w:rPr>
          <w:lang w:val="es-ES_tradnl"/>
        </w:rPr>
        <w:t>»</w:t>
      </w:r>
      <w:r w:rsidRPr="00F54011">
        <w:rPr>
          <w:lang w:val="es-ES_tradnl"/>
        </w:rPr>
        <w:t xml:space="preserve">, disponible en la dirección </w:t>
      </w:r>
      <w:hyperlink r:id="rId8" w:history="1">
        <w:r w:rsidR="00943D73" w:rsidRPr="00F54011">
          <w:rPr>
            <w:rStyle w:val="Hyperlink"/>
            <w:lang w:val="es-ES"/>
          </w:rPr>
          <w:t>https://www.itu.int/itu-r/go/space-submission</w:t>
        </w:r>
      </w:hyperlink>
      <w:r w:rsidRPr="000D5A7B">
        <w:rPr>
          <w:lang w:val="es-ES_tradnl"/>
        </w:rPr>
        <w:t>. Al recibirse una notificación, se enviará automáticamente un acuse de recibo</w:t>
      </w:r>
      <w:r>
        <w:rPr>
          <w:lang w:val="es-ES_tradnl"/>
        </w:rPr>
        <w:t xml:space="preserve"> a las cuentas de correo-e </w:t>
      </w:r>
      <w:r w:rsidR="008720E2">
        <w:rPr>
          <w:lang w:val="es-ES_tradnl"/>
        </w:rPr>
        <w:t xml:space="preserve">de </w:t>
      </w:r>
      <w:r>
        <w:rPr>
          <w:lang w:val="es-ES_tradnl"/>
        </w:rPr>
        <w:t xml:space="preserve">los usuarios </w:t>
      </w:r>
      <w:r w:rsidR="00943D73">
        <w:rPr>
          <w:lang w:val="es-ES_tradnl"/>
        </w:rPr>
        <w:t>«</w:t>
      </w:r>
      <w:r>
        <w:rPr>
          <w:lang w:val="es-ES_tradnl"/>
        </w:rPr>
        <w:t>Administración</w:t>
      </w:r>
      <w:r w:rsidR="00943D73">
        <w:rPr>
          <w:lang w:val="es-ES_tradnl"/>
        </w:rPr>
        <w:t>»</w:t>
      </w:r>
      <w:r>
        <w:rPr>
          <w:lang w:val="es-ES_tradnl"/>
        </w:rPr>
        <w:t xml:space="preserve"> y </w:t>
      </w:r>
      <w:r w:rsidR="00943D73">
        <w:rPr>
          <w:lang w:val="es-ES_tradnl"/>
        </w:rPr>
        <w:t>«</w:t>
      </w:r>
      <w:r>
        <w:rPr>
          <w:lang w:val="es-ES_tradnl"/>
        </w:rPr>
        <w:t>Operador</w:t>
      </w:r>
      <w:r w:rsidR="00943D73">
        <w:rPr>
          <w:lang w:val="es-ES_tradnl"/>
        </w:rPr>
        <w:t>»</w:t>
      </w:r>
      <w:r w:rsidRPr="000D5A7B">
        <w:rPr>
          <w:lang w:val="es-ES_tradnl"/>
        </w:rPr>
        <w:t xml:space="preserve"> </w:t>
      </w:r>
      <w:r>
        <w:rPr>
          <w:lang w:val="es-ES_tradnl"/>
        </w:rPr>
        <w:t xml:space="preserve">de la administración notificante </w:t>
      </w:r>
      <w:r w:rsidR="008720E2">
        <w:rPr>
          <w:lang w:val="es-ES_tradnl"/>
        </w:rPr>
        <w:t>registradas para esta aplicación</w:t>
      </w:r>
      <w:r>
        <w:rPr>
          <w:lang w:val="es-ES_tradnl"/>
        </w:rPr>
        <w:t xml:space="preserve">. Se llama la atención de las Administraciones </w:t>
      </w:r>
      <w:r w:rsidRPr="00F54011">
        <w:rPr>
          <w:lang w:val="es-ES_tradnl"/>
        </w:rPr>
        <w:t xml:space="preserve">sobre el hecho de que las notificaciones presentadas utilizando </w:t>
      </w:r>
      <w:r w:rsidR="00943D73" w:rsidRPr="00F54011">
        <w:rPr>
          <w:lang w:val="es-ES_tradnl"/>
        </w:rPr>
        <w:t>«</w:t>
      </w:r>
      <w:r w:rsidRPr="00F54011">
        <w:rPr>
          <w:lang w:val="es-ES_tradnl"/>
        </w:rPr>
        <w:t>e-Submission of satellite network</w:t>
      </w:r>
      <w:r w:rsidRPr="001F15FE">
        <w:rPr>
          <w:lang w:val="es-ES_tradnl"/>
        </w:rPr>
        <w:t xml:space="preserve"> filings</w:t>
      </w:r>
      <w:r w:rsidR="00943D73">
        <w:rPr>
          <w:lang w:val="es-ES_tradnl"/>
        </w:rPr>
        <w:t>»</w:t>
      </w:r>
      <w:r w:rsidR="008C0C56">
        <w:rPr>
          <w:lang w:val="es-ES_tradnl"/>
        </w:rPr>
        <w:t xml:space="preserve"> no requieren ninguna confirmación por</w:t>
      </w:r>
      <w:r w:rsidR="00943D73">
        <w:rPr>
          <w:lang w:val="es-ES_tradnl"/>
        </w:rPr>
        <w:t xml:space="preserve"> separado por telefax o correo.</w:t>
      </w:r>
    </w:p>
    <w:p w:rsidR="000D5A7B" w:rsidRPr="00807C0A" w:rsidRDefault="00807C0A" w:rsidP="00943D73">
      <w:pPr>
        <w:rPr>
          <w:lang w:val="es-ES_tradnl"/>
        </w:rPr>
      </w:pPr>
      <w:r w:rsidRPr="00807C0A">
        <w:rPr>
          <w:lang w:val="es-ES_tradnl"/>
        </w:rPr>
        <w:t xml:space="preserve">Para poder acceder al sistema, se pide a las </w:t>
      </w:r>
      <w:r w:rsidR="00867C6A" w:rsidRPr="00807C0A">
        <w:rPr>
          <w:lang w:val="es-ES_tradnl"/>
        </w:rPr>
        <w:t xml:space="preserve">Administraciones </w:t>
      </w:r>
      <w:r w:rsidRPr="00807C0A">
        <w:rPr>
          <w:lang w:val="es-ES_tradnl"/>
        </w:rPr>
        <w:t>que designen primero a un Gestor Administrativo ante la Oficina por medio de un telefax</w:t>
      </w:r>
      <w:r>
        <w:rPr>
          <w:lang w:val="es-ES_tradnl"/>
        </w:rPr>
        <w:t xml:space="preserve"> </w:t>
      </w:r>
      <w:r w:rsidRPr="00807C0A">
        <w:rPr>
          <w:lang w:val="es-ES_tradnl"/>
        </w:rPr>
        <w:t xml:space="preserve">(+41 22 730 5785). Dicho Gestor Administrativo podrá entonces autorizar el acceso al sistema para otros Usuarios Administrativos, Gestores Operativos y Usuarios Operativos (para más detalles acerca de las distintas funciones asignadas, véase la </w:t>
      </w:r>
      <w:hyperlink r:id="rId9" w:history="1">
        <w:r w:rsidR="000D5A7B" w:rsidRPr="00943D73">
          <w:rPr>
            <w:rStyle w:val="Hyperlink"/>
            <w:lang w:val="es-ES"/>
          </w:rPr>
          <w:t>C</w:t>
        </w:r>
        <w:r w:rsidRPr="00943D73">
          <w:rPr>
            <w:rStyle w:val="Hyperlink"/>
            <w:lang w:val="es-ES"/>
          </w:rPr>
          <w:t>arta Circular</w:t>
        </w:r>
        <w:r w:rsidR="000D5A7B" w:rsidRPr="00943D73">
          <w:rPr>
            <w:rStyle w:val="Hyperlink"/>
            <w:lang w:val="es-ES"/>
          </w:rPr>
          <w:t xml:space="preserve"> CR/427</w:t>
        </w:r>
      </w:hyperlink>
      <w:r w:rsidR="000D5A7B" w:rsidRPr="00807C0A">
        <w:rPr>
          <w:lang w:val="es-ES_tradnl"/>
        </w:rPr>
        <w:t xml:space="preserve">). </w:t>
      </w:r>
      <w:r w:rsidRPr="00807C0A">
        <w:rPr>
          <w:lang w:val="es-ES_tradnl"/>
        </w:rPr>
        <w:t xml:space="preserve">A este respecto, todos los usuarios (y sus funciones respectivas) registrados en el sistema durante la fase de prueba de </w:t>
      </w:r>
      <w:r w:rsidR="00943D73">
        <w:rPr>
          <w:lang w:val="es-ES_tradnl"/>
        </w:rPr>
        <w:t>«</w:t>
      </w:r>
      <w:r w:rsidRPr="00807C0A">
        <w:rPr>
          <w:lang w:val="es-ES_tradnl"/>
        </w:rPr>
        <w:t>e-Submission for Satellite Network Filings</w:t>
      </w:r>
      <w:r w:rsidR="00943D73">
        <w:rPr>
          <w:lang w:val="es-ES_tradnl"/>
        </w:rPr>
        <w:t>»</w:t>
      </w:r>
      <w:r w:rsidRPr="00807C0A">
        <w:rPr>
          <w:lang w:val="es-ES_tradnl"/>
        </w:rPr>
        <w:t xml:space="preserve"> se trasladarán al sistema de producción a partir del 1 de agosto de 2018. Las Administraciones que deseen eliminar la lista de sus usuarios o sustituirla por una nueva lista deberán informar de ello a la Oficina.</w:t>
      </w:r>
      <w:r w:rsidR="000D5A7B" w:rsidRPr="00807C0A">
        <w:rPr>
          <w:lang w:val="es-ES_tradnl"/>
        </w:rPr>
        <w:t xml:space="preserve"> </w:t>
      </w:r>
    </w:p>
    <w:p w:rsidR="000D5A7B" w:rsidRPr="00807C0A" w:rsidRDefault="00807C0A" w:rsidP="00943D73">
      <w:pPr>
        <w:rPr>
          <w:sz w:val="22"/>
          <w:lang w:val="es-ES_tradnl"/>
        </w:rPr>
      </w:pPr>
      <w:r w:rsidRPr="00807C0A">
        <w:rPr>
          <w:lang w:val="es-ES_tradnl"/>
        </w:rPr>
        <w:t xml:space="preserve">Tras habérseles asignados los derechos de acceso, los usuarios pueden conectarse al sistema y presentar notificaciones de redes de satélites o comentarios acudiendo a la página web arriba mencionada. </w:t>
      </w:r>
    </w:p>
    <w:p w:rsidR="000D5A7B" w:rsidRPr="000D5A7B" w:rsidRDefault="004751D2" w:rsidP="00943D73">
      <w:pPr>
        <w:rPr>
          <w:highlight w:val="yellow"/>
          <w:lang w:val="es-ES_tradnl"/>
        </w:rPr>
      </w:pPr>
      <w:r>
        <w:rPr>
          <w:lang w:val="es-ES_tradnl"/>
        </w:rPr>
        <w:lastRenderedPageBreak/>
        <w:t xml:space="preserve">Puede accederse a la aplicación utilizando cualquier navegador web en una computadora o dispositivo móvil. </w:t>
      </w:r>
      <w:r w:rsidRPr="004751D2">
        <w:rPr>
          <w:lang w:val="es-ES_tradnl"/>
        </w:rPr>
        <w:t>Para evitar problemas de compatibilidad, se alienta a los usuarios a utilizar las últimas versiones de los navegadores web. No se requiere ninguna instalación de software por separado.</w:t>
      </w:r>
    </w:p>
    <w:p w:rsidR="000D5A7B" w:rsidRPr="000D5A7B" w:rsidRDefault="004751D2" w:rsidP="00943D73">
      <w:pPr>
        <w:rPr>
          <w:szCs w:val="24"/>
          <w:highlight w:val="yellow"/>
          <w:u w:val="single"/>
          <w:lang w:val="es-ES_tradnl"/>
        </w:rPr>
      </w:pPr>
      <w:r w:rsidRPr="003320AA">
        <w:rPr>
          <w:lang w:val="es-ES_tradnl"/>
        </w:rPr>
        <w:t xml:space="preserve">Se ha creado una dirección de correo-e en caso de que surjan dificultades o se desee presentar sugerencias para mejorar la aplicación en línea: </w:t>
      </w:r>
      <w:hyperlink r:id="rId10" w:history="1">
        <w:r w:rsidRPr="003320AA">
          <w:rPr>
            <w:rStyle w:val="Hyperlink"/>
            <w:lang w:val="es-ES_tradnl"/>
          </w:rPr>
          <w:t>spacehelp@itu.int</w:t>
        </w:r>
      </w:hyperlink>
      <w:r w:rsidRPr="003320AA">
        <w:rPr>
          <w:lang w:val="es-ES_tradnl"/>
        </w:rPr>
        <w:t xml:space="preserve">. Además, la Oficina dispondrá una línea de ayuda (teléfono </w:t>
      </w:r>
      <w:r w:rsidRPr="003320AA">
        <w:rPr>
          <w:b/>
          <w:bCs/>
          <w:lang w:val="es-ES_tradnl"/>
        </w:rPr>
        <w:t>+41 22 730 6777</w:t>
      </w:r>
      <w:r w:rsidRPr="003320AA">
        <w:rPr>
          <w:lang w:val="es-ES_tradnl"/>
        </w:rPr>
        <w:t>) de las 09</w:t>
      </w:r>
      <w:r>
        <w:rPr>
          <w:lang w:val="es-ES_tradnl"/>
        </w:rPr>
        <w:t>.</w:t>
      </w:r>
      <w:r w:rsidRPr="003320AA">
        <w:rPr>
          <w:lang w:val="es-ES_tradnl"/>
        </w:rPr>
        <w:t>00 a las 17</w:t>
      </w:r>
      <w:r>
        <w:rPr>
          <w:lang w:val="es-ES_tradnl"/>
        </w:rPr>
        <w:t>.</w:t>
      </w:r>
      <w:r w:rsidRPr="003320AA">
        <w:rPr>
          <w:lang w:val="es-ES_tradnl"/>
        </w:rPr>
        <w:t>00 horas, hora de Ginebra, para prestar asistencia a los usuarios que encuentren dificultades para acceder a la aplicación</w:t>
      </w:r>
      <w:r w:rsidR="00867C6A">
        <w:rPr>
          <w:lang w:val="es-ES_tradnl"/>
        </w:rPr>
        <w:t>.</w:t>
      </w:r>
    </w:p>
    <w:p w:rsidR="000D5A7B" w:rsidRPr="000D5A7B" w:rsidRDefault="004751D2" w:rsidP="00943D73">
      <w:pPr>
        <w:rPr>
          <w:lang w:val="es-ES_tradnl"/>
        </w:rPr>
      </w:pPr>
      <w:r>
        <w:rPr>
          <w:lang w:val="es-ES_tradnl"/>
        </w:rPr>
        <w:t xml:space="preserve">Al comenzar a utilizar esta herramienta y con carácter excepcional, las Administraciones podrán solicitar la ayuda de la Oficina (mediante un correo-e a la dirección </w:t>
      </w:r>
      <w:hyperlink r:id="rId11" w:history="1">
        <w:r w:rsidRPr="0096005C">
          <w:rPr>
            <w:rStyle w:val="Hyperlink"/>
            <w:szCs w:val="24"/>
            <w:lang w:val="es-ES_tradnl"/>
          </w:rPr>
          <w:t>brmail@itu.int</w:t>
        </w:r>
      </w:hyperlink>
      <w:r>
        <w:rPr>
          <w:lang w:val="es-ES_tradnl"/>
        </w:rPr>
        <w:t xml:space="preserve"> que incluya la notificación electrónica y los documentos adjuntos pertinentes) para que introduzca notificaciones en su lugar, y así no retrasar la presentación de la notificación. Sírvase observar que dicha solicitud de asistencia debe incluir una descripción de la dificultad encontrada por la Administración al utilizar el sistema, de manera que la Oficina pueda aplicar la solución correspondiente para resolver la citada dificulta</w:t>
      </w:r>
      <w:r w:rsidR="00943D73">
        <w:rPr>
          <w:lang w:val="es-ES_tradnl"/>
        </w:rPr>
        <w:t>d y así mejorar la herramienta.</w:t>
      </w:r>
    </w:p>
    <w:p w:rsidR="000D5A7B" w:rsidRPr="000D5A7B" w:rsidRDefault="004751D2" w:rsidP="00867C6A">
      <w:pPr>
        <w:rPr>
          <w:szCs w:val="24"/>
          <w:lang w:val="es-ES_tradnl"/>
        </w:rPr>
      </w:pPr>
      <w:r>
        <w:rPr>
          <w:lang w:val="es-ES"/>
        </w:rPr>
        <w:t xml:space="preserve">La Oficina se mantiene a disposición de su administración a través de la dirección </w:t>
      </w:r>
      <w:hyperlink r:id="rId12" w:history="1">
        <w:r w:rsidRPr="00FD7851">
          <w:rPr>
            <w:rStyle w:val="Hyperlink"/>
            <w:szCs w:val="24"/>
            <w:lang w:val="es-ES"/>
          </w:rPr>
          <w:t>brmail@itu.int</w:t>
        </w:r>
      </w:hyperlink>
      <w:r w:rsidRPr="00FD7851">
        <w:rPr>
          <w:lang w:val="es-ES"/>
        </w:rPr>
        <w:t xml:space="preserve">, </w:t>
      </w:r>
      <w:r>
        <w:rPr>
          <w:lang w:val="es-ES"/>
        </w:rPr>
        <w:t>para facilitarle cualquier aclaración que pudiera necesitar respecto del contenido de la presente Carta Circular.</w:t>
      </w:r>
      <w:r w:rsidR="000D5A7B" w:rsidRPr="000D5A7B">
        <w:rPr>
          <w:szCs w:val="24"/>
          <w:lang w:val="es-ES_tradnl"/>
        </w:rPr>
        <w:t xml:space="preserve"> </w:t>
      </w:r>
      <w:r>
        <w:rPr>
          <w:szCs w:val="24"/>
          <w:lang w:val="es-ES_tradnl"/>
        </w:rPr>
        <w:t>Dispone de más información relativa a la utilización del sistema en el sitio web del Departamento de Servicios Espaciales</w:t>
      </w:r>
      <w:r w:rsidR="000D5A7B" w:rsidRPr="000D5A7B">
        <w:rPr>
          <w:sz w:val="22"/>
          <w:lang w:val="es-ES_tradnl"/>
        </w:rPr>
        <w:t>:</w:t>
      </w:r>
      <w:r w:rsidR="000D5A7B" w:rsidRPr="00867C6A">
        <w:rPr>
          <w:lang w:val="es-ES"/>
        </w:rPr>
        <w:t xml:space="preserve"> </w:t>
      </w:r>
      <w:hyperlink r:id="rId13" w:history="1">
        <w:r w:rsidR="00867C6A" w:rsidRPr="00867C6A">
          <w:rPr>
            <w:rStyle w:val="Hyperlink"/>
            <w:lang w:val="es-ES"/>
          </w:rPr>
          <w:t>https://www.itu.int/en/ITU-R/space</w:t>
        </w:r>
      </w:hyperlink>
      <w:r w:rsidR="000D5A7B" w:rsidRPr="000D5A7B">
        <w:rPr>
          <w:sz w:val="22"/>
          <w:lang w:val="es-ES_tradnl"/>
        </w:rPr>
        <w:t>.</w:t>
      </w:r>
    </w:p>
    <w:p w:rsidR="000D5A7B" w:rsidRPr="001F15FE" w:rsidRDefault="004751D2" w:rsidP="00943D73">
      <w:pPr>
        <w:rPr>
          <w:lang w:val="es-ES_tradnl"/>
        </w:rPr>
      </w:pPr>
      <w:r w:rsidRPr="001F15FE">
        <w:rPr>
          <w:lang w:val="es-ES_tradnl"/>
        </w:rPr>
        <w:t>La Oficina de Radiocomunicaciones desea aprovechar la oportunidad que ofrece la presente Carta Circular para reiterar su agradecimiento a la Administración de Japón por la asistencia específica prestada en el desarrollo de este proyecto</w:t>
      </w:r>
      <w:r w:rsidR="00F54011">
        <w:rPr>
          <w:lang w:val="es-ES_tradnl"/>
        </w:rPr>
        <w:t>.</w:t>
      </w:r>
    </w:p>
    <w:p w:rsidR="000D5A7B" w:rsidRPr="001F15FE" w:rsidRDefault="000D5A7B" w:rsidP="00F54011">
      <w:pPr>
        <w:spacing w:before="1320"/>
        <w:jc w:val="left"/>
        <w:rPr>
          <w:rFonts w:cstheme="minorHAnsi"/>
          <w:szCs w:val="24"/>
          <w:lang w:val="es-ES_tradnl"/>
        </w:rPr>
      </w:pPr>
      <w:r w:rsidRPr="001F15FE">
        <w:rPr>
          <w:lang w:val="es-ES_tradnl"/>
        </w:rPr>
        <w:t>François Rancy</w:t>
      </w:r>
      <w:r w:rsidR="00F54011">
        <w:rPr>
          <w:lang w:val="es-ES_tradnl"/>
        </w:rPr>
        <w:br/>
      </w:r>
      <w:r w:rsidRPr="001F15FE">
        <w:rPr>
          <w:rFonts w:cstheme="minorHAnsi"/>
          <w:szCs w:val="24"/>
          <w:lang w:val="es-ES_tradnl"/>
        </w:rPr>
        <w:t>Director</w:t>
      </w:r>
    </w:p>
    <w:p w:rsidR="000D5A7B" w:rsidRPr="00943D73" w:rsidRDefault="001F15FE" w:rsidP="008D4522">
      <w:pPr>
        <w:keepLines/>
        <w:tabs>
          <w:tab w:val="right" w:pos="9639"/>
        </w:tabs>
        <w:spacing w:before="5040" w:line="240" w:lineRule="auto"/>
        <w:rPr>
          <w:b/>
          <w:bCs/>
          <w:sz w:val="18"/>
          <w:szCs w:val="18"/>
          <w:u w:val="single"/>
          <w:lang w:val="es-ES_tradnl"/>
        </w:rPr>
      </w:pPr>
      <w:bookmarkStart w:id="0" w:name="ddistribution"/>
      <w:bookmarkEnd w:id="0"/>
      <w:r w:rsidRPr="001F15FE">
        <w:rPr>
          <w:b/>
          <w:bCs/>
          <w:sz w:val="18"/>
          <w:szCs w:val="18"/>
          <w:u w:val="single"/>
          <w:lang w:val="es-ES_tradnl"/>
        </w:rPr>
        <w:t>Distribución</w:t>
      </w:r>
      <w:r w:rsidR="000D5A7B" w:rsidRPr="001F15FE">
        <w:rPr>
          <w:b/>
          <w:bCs/>
          <w:sz w:val="18"/>
          <w:szCs w:val="18"/>
          <w:lang w:val="es-ES_tradnl"/>
        </w:rPr>
        <w:t>:</w:t>
      </w:r>
    </w:p>
    <w:p w:rsidR="000D5A7B" w:rsidRPr="001F15FE" w:rsidRDefault="000D5A7B" w:rsidP="001F15FE">
      <w:pPr>
        <w:tabs>
          <w:tab w:val="clear" w:pos="794"/>
          <w:tab w:val="left" w:pos="284"/>
        </w:tabs>
        <w:spacing w:before="80" w:line="240" w:lineRule="auto"/>
        <w:rPr>
          <w:sz w:val="18"/>
          <w:szCs w:val="18"/>
          <w:lang w:val="es-ES_tradnl"/>
        </w:rPr>
      </w:pPr>
      <w:r w:rsidRPr="001F15FE">
        <w:rPr>
          <w:sz w:val="18"/>
          <w:szCs w:val="18"/>
          <w:lang w:val="es-ES_tradnl"/>
        </w:rPr>
        <w:t>–</w:t>
      </w:r>
      <w:r w:rsidRPr="001F15FE">
        <w:rPr>
          <w:sz w:val="18"/>
          <w:szCs w:val="18"/>
          <w:lang w:val="es-ES_tradnl"/>
        </w:rPr>
        <w:tab/>
      </w:r>
      <w:r w:rsidR="001F15FE" w:rsidRPr="001F15FE">
        <w:rPr>
          <w:sz w:val="18"/>
          <w:szCs w:val="18"/>
          <w:lang w:val="es-ES_tradnl"/>
        </w:rPr>
        <w:t>Administraciones</w:t>
      </w:r>
      <w:r w:rsidR="001F15FE">
        <w:rPr>
          <w:sz w:val="18"/>
          <w:szCs w:val="18"/>
          <w:lang w:val="es-ES_tradnl"/>
        </w:rPr>
        <w:t xml:space="preserve"> de los Estados Miembros de la UIT</w:t>
      </w:r>
    </w:p>
    <w:p w:rsidR="00FE4822" w:rsidRPr="000D5A7B" w:rsidRDefault="000D5A7B" w:rsidP="001F15FE">
      <w:pPr>
        <w:tabs>
          <w:tab w:val="clear" w:pos="794"/>
          <w:tab w:val="left" w:pos="284"/>
        </w:tabs>
        <w:spacing w:before="0" w:line="240" w:lineRule="auto"/>
        <w:rPr>
          <w:sz w:val="22"/>
          <w:lang w:val="es-ES_tradnl"/>
        </w:rPr>
      </w:pPr>
      <w:r w:rsidRPr="001F15FE">
        <w:rPr>
          <w:sz w:val="18"/>
          <w:szCs w:val="18"/>
          <w:lang w:val="es-ES_tradnl"/>
        </w:rPr>
        <w:t>–</w:t>
      </w:r>
      <w:r w:rsidRPr="001F15FE">
        <w:rPr>
          <w:sz w:val="18"/>
          <w:szCs w:val="18"/>
          <w:lang w:val="es-ES_tradnl"/>
        </w:rPr>
        <w:tab/>
        <w:t>M</w:t>
      </w:r>
      <w:r w:rsidR="001F15FE">
        <w:rPr>
          <w:sz w:val="18"/>
          <w:szCs w:val="18"/>
          <w:lang w:val="es-ES_tradnl"/>
        </w:rPr>
        <w:t>iembros de la Junta del Reglamento de Radiocomunicaciones</w:t>
      </w:r>
    </w:p>
    <w:sectPr w:rsidR="00FE4822" w:rsidRPr="000D5A7B" w:rsidSect="00031E64">
      <w:headerReference w:type="even" r:id="rId14"/>
      <w:headerReference w:type="default" r:id="rId15"/>
      <w:footerReference w:type="even" r:id="rId16"/>
      <w:footerReference w:type="default" r:id="rId17"/>
      <w:headerReference w:type="first" r:id="rId18"/>
      <w:footerReference w:type="first" r:id="rId1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1D2" w:rsidRDefault="004751D2">
      <w:r>
        <w:separator/>
      </w:r>
    </w:p>
  </w:endnote>
  <w:endnote w:type="continuationSeparator" w:id="0">
    <w:p w:rsidR="004751D2" w:rsidRDefault="0047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panose1 w:val="02020603050405020304"/>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B33" w:rsidRPr="00CC50AC" w:rsidRDefault="007D1B33" w:rsidP="00CC50AC">
    <w:pPr>
      <w:pStyle w:val="Footer"/>
    </w:pPr>
    <w:bookmarkStart w:id="1" w:name="_GoBack"/>
    <w:bookmark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1D2" w:rsidRPr="00E35FA6" w:rsidRDefault="004751D2" w:rsidP="00C521F0">
    <w:pPr>
      <w:pStyle w:val="Footer"/>
      <w:spacing w:before="240"/>
      <w:jc w:val="center"/>
      <w:rPr>
        <w:lang w:val="fr-CH"/>
      </w:rPr>
    </w:pPr>
    <w:r>
      <w:rPr>
        <w:lang w:val="fr-CH"/>
      </w:rPr>
      <w:t>_________________</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1D2" w:rsidRPr="00257BE7" w:rsidRDefault="004751D2" w:rsidP="005370F0">
    <w:pPr>
      <w:pStyle w:val="FirstFooter"/>
      <w:spacing w:line="240" w:lineRule="auto"/>
      <w:ind w:left="-397" w:right="-397"/>
      <w:jc w:val="center"/>
      <w:rPr>
        <w:sz w:val="18"/>
        <w:szCs w:val="18"/>
        <w:lang w:val="es-ES"/>
      </w:rPr>
    </w:pPr>
    <w:r w:rsidRPr="00257BE7">
      <w:rPr>
        <w:sz w:val="18"/>
        <w:szCs w:val="18"/>
        <w:lang w:val="es-ES"/>
      </w:rPr>
      <w:t>Unión Internacional de Telecomunicaciones • Place des Nations • CH</w:t>
    </w:r>
    <w:r w:rsidRPr="00257BE7">
      <w:rPr>
        <w:sz w:val="18"/>
        <w:szCs w:val="18"/>
        <w:lang w:val="es-ES"/>
      </w:rPr>
      <w:noBreakHyphen/>
      <w:t>1211 Ginebra 20 • Suiza</w:t>
    </w:r>
    <w:r w:rsidRPr="00257BE7">
      <w:rPr>
        <w:sz w:val="18"/>
        <w:szCs w:val="18"/>
        <w:lang w:val="es-ES"/>
      </w:rPr>
      <w:br/>
      <w:t>Tel</w:t>
    </w:r>
    <w:r w:rsidR="00943D73">
      <w:rPr>
        <w:sz w:val="18"/>
        <w:szCs w:val="18"/>
        <w:lang w:val="es-ES"/>
      </w:rPr>
      <w:t>.</w:t>
    </w:r>
    <w:r w:rsidRPr="00257BE7">
      <w:rPr>
        <w:sz w:val="18"/>
        <w:szCs w:val="18"/>
        <w:lang w:val="es-ES"/>
      </w:rPr>
      <w:t xml:space="preserve">: +41 22 730 5111 • Fax: +41 22 733 7256 • Correo-e: </w:t>
    </w:r>
    <w:hyperlink r:id="rId1" w:history="1">
      <w:r w:rsidRPr="00257BE7">
        <w:rPr>
          <w:rStyle w:val="Hyperlink"/>
          <w:sz w:val="18"/>
          <w:szCs w:val="18"/>
          <w:lang w:val="es-ES"/>
        </w:rPr>
        <w:t>itumail@itu.int</w:t>
      </w:r>
    </w:hyperlink>
    <w:r w:rsidRPr="00257BE7">
      <w:rPr>
        <w:sz w:val="18"/>
        <w:szCs w:val="18"/>
        <w:lang w:val="es-ES"/>
      </w:rPr>
      <w:t xml:space="preserve"> • </w:t>
    </w:r>
    <w:hyperlink r:id="rId2" w:history="1">
      <w:r w:rsidRPr="00257BE7">
        <w:rPr>
          <w:rStyle w:val="Hyperlink"/>
          <w:sz w:val="18"/>
          <w:szCs w:val="18"/>
          <w:lang w:val="es-ES"/>
        </w:rPr>
        <w:t>www.itu.int</w:t>
      </w:r>
    </w:hyperlink>
    <w:r w:rsidRPr="00257BE7">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1D2" w:rsidRDefault="004751D2">
      <w:r>
        <w:t>____________________</w:t>
      </w:r>
    </w:p>
  </w:footnote>
  <w:footnote w:type="continuationSeparator" w:id="0">
    <w:p w:rsidR="004751D2" w:rsidRDefault="00475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1D2" w:rsidRPr="00D239B4" w:rsidRDefault="004751D2" w:rsidP="00943D73">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CC50AC">
      <w:rPr>
        <w:rStyle w:val="PageNumber"/>
        <w:noProof/>
        <w:sz w:val="18"/>
        <w:szCs w:val="16"/>
      </w:rPr>
      <w:t>2</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1D2" w:rsidRPr="004A63CA" w:rsidRDefault="004751D2" w:rsidP="004A63CA">
    <w:pPr>
      <w:pStyle w:val="Header"/>
      <w:rPr>
        <w:sz w:val="18"/>
        <w:szCs w:val="16"/>
      </w:rPr>
    </w:pPr>
    <w:r w:rsidRPr="00D239B4">
      <w:rPr>
        <w:sz w:val="18"/>
        <w:szCs w:val="16"/>
      </w:rPr>
      <w:tab/>
    </w:r>
    <w:r w:rsidRPr="00D239B4">
      <w:rPr>
        <w:sz w:val="18"/>
        <w:szCs w:val="16"/>
      </w:rPr>
      <w:tab/>
    </w: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7D1B33">
      <w:rPr>
        <w:rStyle w:val="PageNumber"/>
        <w:noProof/>
        <w:sz w:val="18"/>
        <w:szCs w:val="16"/>
      </w:rPr>
      <w:t>3</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4751D2" w:rsidTr="00426B00">
      <w:tc>
        <w:tcPr>
          <w:tcW w:w="9923" w:type="dxa"/>
        </w:tcPr>
        <w:p w:rsidR="004751D2" w:rsidRDefault="004751D2" w:rsidP="00257BE7">
          <w:pPr>
            <w:pStyle w:val="Header"/>
            <w:tabs>
              <w:tab w:val="clear" w:pos="794"/>
              <w:tab w:val="clear" w:pos="4820"/>
            </w:tabs>
            <w:spacing w:line="360" w:lineRule="auto"/>
            <w:jc w:val="center"/>
          </w:pPr>
          <w:r>
            <w:rPr>
              <w:b/>
              <w:bCs/>
              <w:noProof/>
              <w:lang w:val="fr-CH" w:eastAsia="zh-CN"/>
            </w:rPr>
            <w:drawing>
              <wp:inline distT="0" distB="0" distL="0" distR="0" wp14:anchorId="534851FA" wp14:editId="187DB4B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4751D2" w:rsidRPr="000D3F3B" w:rsidRDefault="004751D2" w:rsidP="000D3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8156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D5A7B"/>
    <w:rsid w:val="000E3DEE"/>
    <w:rsid w:val="000E4BCD"/>
    <w:rsid w:val="00100B72"/>
    <w:rsid w:val="00101F7D"/>
    <w:rsid w:val="00103C76"/>
    <w:rsid w:val="0011265F"/>
    <w:rsid w:val="00117282"/>
    <w:rsid w:val="00117389"/>
    <w:rsid w:val="00121C2D"/>
    <w:rsid w:val="00134404"/>
    <w:rsid w:val="00144DFB"/>
    <w:rsid w:val="00187CA3"/>
    <w:rsid w:val="00195EB7"/>
    <w:rsid w:val="00196710"/>
    <w:rsid w:val="00196770"/>
    <w:rsid w:val="00197324"/>
    <w:rsid w:val="001B351B"/>
    <w:rsid w:val="001B42C9"/>
    <w:rsid w:val="001C06DB"/>
    <w:rsid w:val="001C6971"/>
    <w:rsid w:val="001D2785"/>
    <w:rsid w:val="001D7070"/>
    <w:rsid w:val="001F15FE"/>
    <w:rsid w:val="001F2170"/>
    <w:rsid w:val="001F3948"/>
    <w:rsid w:val="001F5A49"/>
    <w:rsid w:val="00201097"/>
    <w:rsid w:val="00201B6E"/>
    <w:rsid w:val="002302B3"/>
    <w:rsid w:val="00230C66"/>
    <w:rsid w:val="00235A29"/>
    <w:rsid w:val="00241526"/>
    <w:rsid w:val="002443A2"/>
    <w:rsid w:val="00257BE7"/>
    <w:rsid w:val="00266E74"/>
    <w:rsid w:val="002733F3"/>
    <w:rsid w:val="00283C3B"/>
    <w:rsid w:val="002861E6"/>
    <w:rsid w:val="00287D18"/>
    <w:rsid w:val="002A2618"/>
    <w:rsid w:val="002A5DD7"/>
    <w:rsid w:val="002B0CAC"/>
    <w:rsid w:val="002D5A15"/>
    <w:rsid w:val="002D5BDD"/>
    <w:rsid w:val="002E3D27"/>
    <w:rsid w:val="002F0890"/>
    <w:rsid w:val="002F2531"/>
    <w:rsid w:val="002F4967"/>
    <w:rsid w:val="00306452"/>
    <w:rsid w:val="00311970"/>
    <w:rsid w:val="00316935"/>
    <w:rsid w:val="003266ED"/>
    <w:rsid w:val="00326C68"/>
    <w:rsid w:val="0033029C"/>
    <w:rsid w:val="003320AA"/>
    <w:rsid w:val="003370B8"/>
    <w:rsid w:val="00345D38"/>
    <w:rsid w:val="00352097"/>
    <w:rsid w:val="003666FF"/>
    <w:rsid w:val="0037309C"/>
    <w:rsid w:val="00380A6E"/>
    <w:rsid w:val="00381560"/>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26B00"/>
    <w:rsid w:val="004326DB"/>
    <w:rsid w:val="0043682E"/>
    <w:rsid w:val="00447ECB"/>
    <w:rsid w:val="004623F7"/>
    <w:rsid w:val="004643FA"/>
    <w:rsid w:val="004667B1"/>
    <w:rsid w:val="004751D2"/>
    <w:rsid w:val="00480F51"/>
    <w:rsid w:val="00481124"/>
    <w:rsid w:val="004815EB"/>
    <w:rsid w:val="00487569"/>
    <w:rsid w:val="00496864"/>
    <w:rsid w:val="00496920"/>
    <w:rsid w:val="004A4496"/>
    <w:rsid w:val="004A5F47"/>
    <w:rsid w:val="004A63CA"/>
    <w:rsid w:val="004B11AB"/>
    <w:rsid w:val="004B7C9A"/>
    <w:rsid w:val="004C6779"/>
    <w:rsid w:val="004D733B"/>
    <w:rsid w:val="004E0DC4"/>
    <w:rsid w:val="004E0FB5"/>
    <w:rsid w:val="004E43BB"/>
    <w:rsid w:val="004E460D"/>
    <w:rsid w:val="004F178E"/>
    <w:rsid w:val="004F4543"/>
    <w:rsid w:val="004F57BB"/>
    <w:rsid w:val="00505309"/>
    <w:rsid w:val="0050789B"/>
    <w:rsid w:val="0051707C"/>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49DA"/>
    <w:rsid w:val="005F657C"/>
    <w:rsid w:val="0060275A"/>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1B33"/>
    <w:rsid w:val="007D43D0"/>
    <w:rsid w:val="007E1833"/>
    <w:rsid w:val="007E3F13"/>
    <w:rsid w:val="007F751A"/>
    <w:rsid w:val="00800012"/>
    <w:rsid w:val="0080261F"/>
    <w:rsid w:val="00805544"/>
    <w:rsid w:val="00805A02"/>
    <w:rsid w:val="00806160"/>
    <w:rsid w:val="00807C0A"/>
    <w:rsid w:val="008143A4"/>
    <w:rsid w:val="0081513E"/>
    <w:rsid w:val="00854131"/>
    <w:rsid w:val="0085652D"/>
    <w:rsid w:val="00867C6A"/>
    <w:rsid w:val="008720E2"/>
    <w:rsid w:val="0087694B"/>
    <w:rsid w:val="00880F4D"/>
    <w:rsid w:val="008B35A3"/>
    <w:rsid w:val="008B37E1"/>
    <w:rsid w:val="008B3842"/>
    <w:rsid w:val="008B45F8"/>
    <w:rsid w:val="008C0C56"/>
    <w:rsid w:val="008C2E74"/>
    <w:rsid w:val="008D4522"/>
    <w:rsid w:val="008D5409"/>
    <w:rsid w:val="008D6955"/>
    <w:rsid w:val="008E006D"/>
    <w:rsid w:val="008E38B4"/>
    <w:rsid w:val="008F4F21"/>
    <w:rsid w:val="00904D4A"/>
    <w:rsid w:val="009076D7"/>
    <w:rsid w:val="00912DAB"/>
    <w:rsid w:val="00914035"/>
    <w:rsid w:val="009151BA"/>
    <w:rsid w:val="00925023"/>
    <w:rsid w:val="009277BC"/>
    <w:rsid w:val="00927D57"/>
    <w:rsid w:val="00931A51"/>
    <w:rsid w:val="00943D73"/>
    <w:rsid w:val="00947185"/>
    <w:rsid w:val="009518B3"/>
    <w:rsid w:val="00963D9D"/>
    <w:rsid w:val="00967987"/>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86F25"/>
    <w:rsid w:val="00A924BC"/>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1369"/>
    <w:rsid w:val="00BD6738"/>
    <w:rsid w:val="00BD7E5E"/>
    <w:rsid w:val="00BE63DB"/>
    <w:rsid w:val="00BE6574"/>
    <w:rsid w:val="00C07319"/>
    <w:rsid w:val="00C16FD2"/>
    <w:rsid w:val="00C33883"/>
    <w:rsid w:val="00C4395E"/>
    <w:rsid w:val="00C47FFD"/>
    <w:rsid w:val="00C51E92"/>
    <w:rsid w:val="00C521F0"/>
    <w:rsid w:val="00C57E2C"/>
    <w:rsid w:val="00C608B7"/>
    <w:rsid w:val="00C66F24"/>
    <w:rsid w:val="00C76D7F"/>
    <w:rsid w:val="00C813AA"/>
    <w:rsid w:val="00C9291E"/>
    <w:rsid w:val="00CA3F44"/>
    <w:rsid w:val="00CA4E58"/>
    <w:rsid w:val="00CB3771"/>
    <w:rsid w:val="00CB44BF"/>
    <w:rsid w:val="00CB5153"/>
    <w:rsid w:val="00CC0EB8"/>
    <w:rsid w:val="00CC50AC"/>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DF70A1"/>
    <w:rsid w:val="00E01059"/>
    <w:rsid w:val="00E04C86"/>
    <w:rsid w:val="00E17344"/>
    <w:rsid w:val="00E20F30"/>
    <w:rsid w:val="00E2189C"/>
    <w:rsid w:val="00E25BB1"/>
    <w:rsid w:val="00E27BBA"/>
    <w:rsid w:val="00E30E3F"/>
    <w:rsid w:val="00E35E8F"/>
    <w:rsid w:val="00E35FA6"/>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46C48"/>
    <w:rsid w:val="00F52F39"/>
    <w:rsid w:val="00F54011"/>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1EE794E2-9FB5-4B0D-AE34-23E585C7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Reasons">
    <w:name w:val="Reasons"/>
    <w:basedOn w:val="Normal"/>
    <w:qFormat/>
    <w:rsid w:val="0038156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itu-r/go/space-submission" TargetMode="External"/><Relationship Id="rId13" Type="http://schemas.openxmlformats.org/officeDocument/2006/relationships/hyperlink" Target="https://www.itu.int/en/ITU-R/spac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rmail@itu.i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pacehelp@itu.i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md/R00-CR-CIR-0427/es"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0BD18-7358-4814-B6BE-36C18432D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3</TotalTime>
  <Pages>2</Pages>
  <Words>741</Words>
  <Characters>4599</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5330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Marchetti, Caroline</cp:lastModifiedBy>
  <cp:revision>4</cp:revision>
  <cp:lastPrinted>2018-07-26T12:18:00Z</cp:lastPrinted>
  <dcterms:created xsi:type="dcterms:W3CDTF">2018-07-31T14:30:00Z</dcterms:created>
  <dcterms:modified xsi:type="dcterms:W3CDTF">2018-08-01T04:46:00Z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