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bookmarkStart w:id="0" w:name="_GoBack"/>
      <w:bookmarkEnd w:id="0"/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446CE2" w:rsidP="00446CE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:rsidR="009E6EBB" w:rsidRPr="00295CF8" w:rsidRDefault="009E6EBB" w:rsidP="00F370C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</w:t>
            </w:r>
            <w:r w:rsidR="00F370C3">
              <w:rPr>
                <w:b/>
                <w:bCs/>
                <w:szCs w:val="24"/>
                <w:lang w:val="en-GB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B75EA5" w:rsidP="00146F88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</w:t>
            </w:r>
            <w:r w:rsidR="00F370C3">
              <w:rPr>
                <w:szCs w:val="24"/>
                <w:lang w:val="en-GB"/>
              </w:rPr>
              <w:t>018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F370C3">
              <w:rPr>
                <w:szCs w:val="24"/>
                <w:lang w:val="en-GB" w:eastAsia="zh-CN"/>
              </w:rPr>
              <w:t>8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F370C3">
              <w:rPr>
                <w:szCs w:val="24"/>
                <w:lang w:val="en-GB" w:eastAsia="zh-CN"/>
              </w:rPr>
              <w:t>1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446CE2" w:rsidP="00446CE2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446CE2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规则》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:rsidR="00146F88" w:rsidRPr="00A57B1E" w:rsidRDefault="00446CE2" w:rsidP="008B54C8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57B1E">
        <w:rPr>
          <w:sz w:val="24"/>
          <w:szCs w:val="24"/>
          <w:lang w:eastAsia="zh-CN"/>
        </w:rPr>
        <w:t>在</w:t>
      </w:r>
      <w:r w:rsidRPr="00A57B1E">
        <w:rPr>
          <w:sz w:val="24"/>
          <w:szCs w:val="24"/>
          <w:lang w:eastAsia="zh-CN"/>
        </w:rPr>
        <w:t>2015</w:t>
      </w:r>
      <w:r w:rsidRPr="00A57B1E">
        <w:rPr>
          <w:sz w:val="24"/>
          <w:szCs w:val="24"/>
          <w:lang w:eastAsia="zh-CN"/>
        </w:rPr>
        <w:t>年世界无线电通信大会之后，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年版《程序规则》已经出版。新版本包含了迄今为止所做的全部修改，以及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</w:t>
      </w:r>
      <w:r w:rsidRPr="00A57B1E">
        <w:rPr>
          <w:sz w:val="24"/>
          <w:szCs w:val="24"/>
          <w:lang w:eastAsia="zh-CN"/>
        </w:rPr>
        <w:t>3</w:t>
      </w:r>
      <w:r w:rsidRPr="00A57B1E">
        <w:rPr>
          <w:sz w:val="24"/>
          <w:szCs w:val="24"/>
          <w:lang w:eastAsia="zh-CN"/>
        </w:rPr>
        <w:t>月</w:t>
      </w:r>
      <w:r w:rsidRPr="00A57B1E">
        <w:rPr>
          <w:sz w:val="24"/>
          <w:szCs w:val="24"/>
          <w:lang w:eastAsia="zh-CN"/>
        </w:rPr>
        <w:t>6</w:t>
      </w:r>
      <w:r w:rsidRPr="00A57B1E">
        <w:rPr>
          <w:sz w:val="24"/>
          <w:szCs w:val="24"/>
          <w:lang w:eastAsia="zh-CN"/>
        </w:rPr>
        <w:t>日</w:t>
      </w:r>
      <w:hyperlink r:id="rId8" w:history="1">
        <w:r w:rsidRPr="00A57B1E">
          <w:rPr>
            <w:rStyle w:val="Hyperlink"/>
            <w:sz w:val="24"/>
            <w:szCs w:val="24"/>
            <w:lang w:eastAsia="zh-CN"/>
          </w:rPr>
          <w:t>CR/417</w:t>
        </w:r>
      </w:hyperlink>
      <w:r w:rsidRPr="00A57B1E">
        <w:rPr>
          <w:sz w:val="24"/>
          <w:szCs w:val="24"/>
          <w:lang w:eastAsia="zh-CN"/>
        </w:rPr>
        <w:t>号通函附件列出的</w:t>
      </w:r>
      <w:r w:rsidR="008B54C8" w:rsidRPr="00A57B1E">
        <w:rPr>
          <w:rFonts w:hint="eastAsia"/>
          <w:sz w:val="24"/>
          <w:szCs w:val="24"/>
          <w:lang w:eastAsia="zh-CN"/>
        </w:rPr>
        <w:t>经</w:t>
      </w:r>
      <w:r w:rsidRPr="00A57B1E">
        <w:rPr>
          <w:sz w:val="24"/>
          <w:szCs w:val="24"/>
          <w:lang w:eastAsia="zh-CN"/>
        </w:rPr>
        <w:t>批准的规则。</w:t>
      </w:r>
    </w:p>
    <w:p w:rsidR="00B75EA5" w:rsidRPr="00A57B1E" w:rsidRDefault="00446CE2" w:rsidP="00627FC7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根据《无线电规则》第</w:t>
      </w:r>
      <w:r w:rsidRPr="00A57B1E">
        <w:rPr>
          <w:rFonts w:hint="eastAsia"/>
          <w:b/>
          <w:bCs/>
          <w:sz w:val="24"/>
          <w:szCs w:val="24"/>
          <w:lang w:eastAsia="zh-CN"/>
        </w:rPr>
        <w:t>13.12</w:t>
      </w:r>
      <w:r w:rsidRPr="00A57B1E">
        <w:rPr>
          <w:rFonts w:hint="eastAsia"/>
          <w:sz w:val="24"/>
          <w:szCs w:val="24"/>
          <w:lang w:eastAsia="zh-CN"/>
        </w:rPr>
        <w:t>和</w:t>
      </w:r>
      <w:r w:rsidRPr="00A57B1E">
        <w:rPr>
          <w:rFonts w:hint="eastAsia"/>
          <w:b/>
          <w:bCs/>
          <w:sz w:val="24"/>
          <w:szCs w:val="24"/>
          <w:lang w:eastAsia="zh-CN"/>
        </w:rPr>
        <w:t>13.14</w:t>
      </w:r>
      <w:r w:rsidRPr="00A57B1E">
        <w:rPr>
          <w:rFonts w:hint="eastAsia"/>
          <w:sz w:val="24"/>
          <w:szCs w:val="24"/>
          <w:lang w:eastAsia="zh-CN"/>
        </w:rPr>
        <w:t>款的规定，无线电规则委员会（</w:t>
      </w:r>
      <w:r w:rsidRPr="00A57B1E">
        <w:rPr>
          <w:rFonts w:hint="eastAsia"/>
          <w:sz w:val="24"/>
          <w:szCs w:val="24"/>
          <w:lang w:eastAsia="zh-CN"/>
        </w:rPr>
        <w:t>RRB</w:t>
      </w:r>
      <w:r w:rsidRPr="00A57B1E">
        <w:rPr>
          <w:rFonts w:hint="eastAsia"/>
          <w:sz w:val="24"/>
          <w:szCs w:val="24"/>
          <w:lang w:eastAsia="zh-CN"/>
        </w:rPr>
        <w:t>）在其第</w:t>
      </w:r>
      <w:r w:rsidRPr="00A57B1E">
        <w:rPr>
          <w:sz w:val="24"/>
          <w:szCs w:val="24"/>
          <w:lang w:eastAsia="zh-CN"/>
        </w:rPr>
        <w:t>7</w:t>
      </w:r>
      <w:r w:rsidR="00F87AC5" w:rsidRPr="00A57B1E">
        <w:rPr>
          <w:sz w:val="24"/>
          <w:szCs w:val="24"/>
          <w:lang w:eastAsia="zh-CN"/>
        </w:rPr>
        <w:t>8</w:t>
      </w:r>
      <w:r w:rsidRPr="00A57B1E">
        <w:rPr>
          <w:rFonts w:hint="eastAsia"/>
          <w:sz w:val="24"/>
          <w:szCs w:val="24"/>
          <w:lang w:eastAsia="zh-CN"/>
        </w:rPr>
        <w:t>次会议（</w:t>
      </w:r>
      <w:r w:rsidRPr="00A57B1E">
        <w:rPr>
          <w:sz w:val="24"/>
          <w:szCs w:val="24"/>
          <w:lang w:eastAsia="zh-CN"/>
        </w:rPr>
        <w:t>201</w:t>
      </w:r>
      <w:r w:rsidR="00F87AC5" w:rsidRPr="00A57B1E">
        <w:rPr>
          <w:sz w:val="24"/>
          <w:szCs w:val="24"/>
          <w:lang w:eastAsia="zh-CN"/>
        </w:rPr>
        <w:t>8</w:t>
      </w:r>
      <w:r w:rsidRPr="00A57B1E">
        <w:rPr>
          <w:rFonts w:hint="eastAsia"/>
          <w:sz w:val="24"/>
          <w:szCs w:val="24"/>
          <w:lang w:eastAsia="zh-CN"/>
        </w:rPr>
        <w:t>年</w:t>
      </w:r>
      <w:r w:rsidR="00F87AC5" w:rsidRPr="00A57B1E">
        <w:rPr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月</w:t>
      </w:r>
      <w:r w:rsidR="00F87AC5" w:rsidRPr="00A57B1E">
        <w:rPr>
          <w:rFonts w:hint="eastAsia"/>
          <w:sz w:val="24"/>
          <w:szCs w:val="24"/>
          <w:lang w:eastAsia="zh-CN"/>
        </w:rPr>
        <w:t>1</w:t>
      </w:r>
      <w:r w:rsidRPr="00A57B1E">
        <w:rPr>
          <w:rFonts w:hint="eastAsia"/>
          <w:sz w:val="24"/>
          <w:szCs w:val="24"/>
          <w:lang w:eastAsia="zh-CN"/>
        </w:rPr>
        <w:t>6-</w:t>
      </w:r>
      <w:r w:rsidR="00F87AC5" w:rsidRPr="00A57B1E">
        <w:rPr>
          <w:sz w:val="24"/>
          <w:szCs w:val="24"/>
          <w:lang w:eastAsia="zh-CN"/>
        </w:rPr>
        <w:t>2</w:t>
      </w:r>
      <w:r w:rsidRPr="00A57B1E">
        <w:rPr>
          <w:sz w:val="24"/>
          <w:szCs w:val="24"/>
          <w:lang w:eastAsia="zh-CN"/>
        </w:rPr>
        <w:t>0</w:t>
      </w:r>
      <w:r w:rsidRPr="00A57B1E">
        <w:rPr>
          <w:rFonts w:hint="eastAsia"/>
          <w:sz w:val="24"/>
          <w:szCs w:val="24"/>
          <w:lang w:eastAsia="zh-CN"/>
        </w:rPr>
        <w:t>日）上批准了对《程序规则》（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年版，第</w:t>
      </w:r>
      <w:r w:rsidR="00F87AC5" w:rsidRPr="00A57B1E">
        <w:rPr>
          <w:sz w:val="24"/>
          <w:szCs w:val="24"/>
          <w:lang w:eastAsia="zh-CN"/>
        </w:rPr>
        <w:t>2</w:t>
      </w:r>
      <w:r w:rsidRPr="00A57B1E">
        <w:rPr>
          <w:rFonts w:hint="eastAsia"/>
          <w:sz w:val="24"/>
          <w:szCs w:val="24"/>
          <w:lang w:eastAsia="zh-CN"/>
        </w:rPr>
        <w:t>次更新）的</w:t>
      </w:r>
      <w:r w:rsidRPr="00A57B1E">
        <w:rPr>
          <w:sz w:val="24"/>
          <w:szCs w:val="24"/>
          <w:lang w:eastAsia="zh-CN"/>
        </w:rPr>
        <w:t>修改</w:t>
      </w:r>
      <w:r w:rsidRPr="00A57B1E">
        <w:rPr>
          <w:rFonts w:hint="eastAsia"/>
          <w:sz w:val="24"/>
          <w:szCs w:val="24"/>
          <w:lang w:eastAsia="zh-CN"/>
        </w:rPr>
        <w:t>。</w:t>
      </w:r>
    </w:p>
    <w:p w:rsidR="00B75EA5" w:rsidRPr="00A57B1E" w:rsidRDefault="00BE0D4B" w:rsidP="00F87AC5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这些修改包括以下附件</w:t>
      </w:r>
      <w:r w:rsidR="00446CE2" w:rsidRPr="00A57B1E">
        <w:rPr>
          <w:rFonts w:hint="eastAsia"/>
          <w:sz w:val="24"/>
          <w:szCs w:val="24"/>
          <w:lang w:eastAsia="zh-CN"/>
        </w:rPr>
        <w:t>所含的、</w:t>
      </w:r>
      <w:r w:rsidR="008B54C8" w:rsidRPr="00A57B1E">
        <w:rPr>
          <w:rFonts w:hint="eastAsia"/>
          <w:sz w:val="24"/>
          <w:szCs w:val="24"/>
          <w:lang w:eastAsia="zh-CN"/>
        </w:rPr>
        <w:t>用于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="00446CE2" w:rsidRPr="00A57B1E">
        <w:rPr>
          <w:rFonts w:hint="eastAsia"/>
          <w:sz w:val="24"/>
          <w:szCs w:val="24"/>
          <w:lang w:eastAsia="zh-CN"/>
        </w:rPr>
        <w:t>年版《程序规则》的新程序规则</w:t>
      </w:r>
      <w:r w:rsidR="008B54C8" w:rsidRPr="00A57B1E">
        <w:rPr>
          <w:rFonts w:hint="eastAsia"/>
          <w:sz w:val="24"/>
          <w:szCs w:val="24"/>
          <w:lang w:eastAsia="zh-CN"/>
        </w:rPr>
        <w:t>和经修订的</w:t>
      </w:r>
      <w:r w:rsidR="00446CE2" w:rsidRPr="00A57B1E">
        <w:rPr>
          <w:rFonts w:hint="eastAsia"/>
          <w:sz w:val="24"/>
          <w:szCs w:val="24"/>
          <w:lang w:eastAsia="zh-CN"/>
        </w:rPr>
        <w:t>程序规则。</w:t>
      </w:r>
      <w:r w:rsidRPr="00A57B1E">
        <w:rPr>
          <w:rFonts w:hint="eastAsia"/>
          <w:sz w:val="24"/>
          <w:szCs w:val="24"/>
          <w:lang w:eastAsia="zh-CN"/>
        </w:rPr>
        <w:t>附件中的《规则》</w:t>
      </w:r>
      <w:r w:rsidR="00627FC7" w:rsidRPr="00A57B1E">
        <w:rPr>
          <w:rFonts w:hint="eastAsia"/>
          <w:sz w:val="24"/>
          <w:szCs w:val="24"/>
          <w:lang w:eastAsia="zh-CN"/>
        </w:rPr>
        <w:t>将按</w:t>
      </w:r>
      <w:r w:rsidR="00F87AC5" w:rsidRPr="00A57B1E">
        <w:rPr>
          <w:sz w:val="24"/>
          <w:szCs w:val="24"/>
          <w:lang w:eastAsia="zh-CN"/>
        </w:rPr>
        <w:t>说明</w:t>
      </w:r>
      <w:r w:rsidR="00F87AC5" w:rsidRPr="00A57B1E">
        <w:rPr>
          <w:rFonts w:hint="eastAsia"/>
          <w:sz w:val="24"/>
          <w:szCs w:val="24"/>
          <w:lang w:eastAsia="zh-CN"/>
        </w:rPr>
        <w:t>依据</w:t>
      </w:r>
      <w:r w:rsidR="00F87AC5" w:rsidRPr="00A57B1E">
        <w:rPr>
          <w:sz w:val="24"/>
          <w:szCs w:val="24"/>
          <w:lang w:eastAsia="zh-CN"/>
        </w:rPr>
        <w:t>情况或</w:t>
      </w:r>
      <w:r w:rsidRPr="00A57B1E">
        <w:rPr>
          <w:rFonts w:hint="eastAsia"/>
          <w:sz w:val="24"/>
          <w:szCs w:val="24"/>
          <w:lang w:eastAsia="zh-CN"/>
        </w:rPr>
        <w:t>于</w:t>
      </w:r>
      <w:r w:rsidRPr="00A57B1E">
        <w:rPr>
          <w:rFonts w:hint="eastAsia"/>
          <w:sz w:val="24"/>
          <w:szCs w:val="24"/>
          <w:lang w:eastAsia="zh-CN"/>
        </w:rPr>
        <w:t>201</w:t>
      </w:r>
      <w:r w:rsidR="00F87AC5" w:rsidRPr="00A57B1E">
        <w:rPr>
          <w:sz w:val="24"/>
          <w:szCs w:val="24"/>
          <w:lang w:eastAsia="zh-CN"/>
        </w:rPr>
        <w:t>8</w:t>
      </w:r>
      <w:r w:rsidRPr="00A57B1E">
        <w:rPr>
          <w:rFonts w:hint="eastAsia"/>
          <w:sz w:val="24"/>
          <w:szCs w:val="24"/>
          <w:lang w:eastAsia="zh-CN"/>
        </w:rPr>
        <w:t>年</w:t>
      </w:r>
      <w:r w:rsidR="00F87AC5" w:rsidRPr="00A57B1E">
        <w:rPr>
          <w:rFonts w:hint="eastAsia"/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月</w:t>
      </w:r>
      <w:r w:rsidRPr="00A57B1E">
        <w:rPr>
          <w:rFonts w:hint="eastAsia"/>
          <w:sz w:val="24"/>
          <w:szCs w:val="24"/>
          <w:lang w:eastAsia="zh-CN"/>
        </w:rPr>
        <w:t>1</w:t>
      </w:r>
      <w:r w:rsidR="00F87AC5" w:rsidRPr="00A57B1E">
        <w:rPr>
          <w:sz w:val="24"/>
          <w:szCs w:val="24"/>
          <w:lang w:eastAsia="zh-CN"/>
        </w:rPr>
        <w:t>9</w:t>
      </w:r>
      <w:r w:rsidRPr="00A57B1E">
        <w:rPr>
          <w:rFonts w:hint="eastAsia"/>
          <w:sz w:val="24"/>
          <w:szCs w:val="24"/>
          <w:lang w:eastAsia="zh-CN"/>
        </w:rPr>
        <w:t>日</w:t>
      </w:r>
      <w:r w:rsidR="00FA4443">
        <w:rPr>
          <w:rFonts w:hint="eastAsia"/>
          <w:sz w:val="24"/>
          <w:szCs w:val="24"/>
          <w:lang w:eastAsia="zh-CN"/>
        </w:rPr>
        <w:t>、</w:t>
      </w:r>
      <w:r w:rsidR="00FA4443" w:rsidRPr="00A57B1E">
        <w:rPr>
          <w:rFonts w:hint="eastAsia"/>
          <w:sz w:val="24"/>
          <w:szCs w:val="24"/>
          <w:lang w:eastAsia="zh-CN"/>
        </w:rPr>
        <w:t>201</w:t>
      </w:r>
      <w:r w:rsidR="00FA4443">
        <w:rPr>
          <w:sz w:val="24"/>
          <w:szCs w:val="24"/>
          <w:lang w:eastAsia="zh-CN"/>
        </w:rPr>
        <w:t>7</w:t>
      </w:r>
      <w:r w:rsidR="00FA4443" w:rsidRPr="00A57B1E">
        <w:rPr>
          <w:rFonts w:hint="eastAsia"/>
          <w:sz w:val="24"/>
          <w:szCs w:val="24"/>
          <w:lang w:eastAsia="zh-CN"/>
        </w:rPr>
        <w:t>年</w:t>
      </w:r>
      <w:r w:rsidR="00FA4443">
        <w:rPr>
          <w:rFonts w:hint="eastAsia"/>
          <w:sz w:val="24"/>
          <w:szCs w:val="24"/>
          <w:lang w:eastAsia="zh-CN"/>
        </w:rPr>
        <w:t>1</w:t>
      </w:r>
      <w:r w:rsidR="00FA4443" w:rsidRPr="00A57B1E">
        <w:rPr>
          <w:rFonts w:hint="eastAsia"/>
          <w:sz w:val="24"/>
          <w:szCs w:val="24"/>
          <w:lang w:eastAsia="zh-CN"/>
        </w:rPr>
        <w:t>月</w:t>
      </w:r>
      <w:r w:rsidR="00FA4443" w:rsidRPr="00A57B1E">
        <w:rPr>
          <w:rFonts w:hint="eastAsia"/>
          <w:sz w:val="24"/>
          <w:szCs w:val="24"/>
          <w:lang w:eastAsia="zh-CN"/>
        </w:rPr>
        <w:t>1</w:t>
      </w:r>
      <w:r w:rsidR="00FA4443" w:rsidRPr="00A57B1E">
        <w:rPr>
          <w:rFonts w:hint="eastAsia"/>
          <w:sz w:val="24"/>
          <w:szCs w:val="24"/>
          <w:lang w:eastAsia="zh-CN"/>
        </w:rPr>
        <w:t>日</w:t>
      </w:r>
      <w:r w:rsidR="00F87AC5" w:rsidRPr="00A57B1E">
        <w:rPr>
          <w:rFonts w:hint="eastAsia"/>
          <w:sz w:val="24"/>
          <w:szCs w:val="24"/>
          <w:lang w:eastAsia="zh-CN"/>
        </w:rPr>
        <w:t>或于</w:t>
      </w:r>
      <w:r w:rsidR="00F87AC5" w:rsidRPr="00A57B1E">
        <w:rPr>
          <w:rFonts w:hint="eastAsia"/>
          <w:sz w:val="24"/>
          <w:szCs w:val="24"/>
          <w:lang w:eastAsia="zh-CN"/>
        </w:rPr>
        <w:t>2018</w:t>
      </w:r>
      <w:r w:rsidR="00F87AC5" w:rsidRPr="00A57B1E">
        <w:rPr>
          <w:rFonts w:hint="eastAsia"/>
          <w:sz w:val="24"/>
          <w:szCs w:val="24"/>
          <w:lang w:eastAsia="zh-CN"/>
        </w:rPr>
        <w:t>年</w:t>
      </w:r>
      <w:r w:rsidR="00F87AC5" w:rsidRPr="00A57B1E">
        <w:rPr>
          <w:rFonts w:hint="eastAsia"/>
          <w:sz w:val="24"/>
          <w:szCs w:val="24"/>
          <w:lang w:eastAsia="zh-CN"/>
        </w:rPr>
        <w:t>8</w:t>
      </w:r>
      <w:r w:rsidR="00F87AC5" w:rsidRPr="00A57B1E">
        <w:rPr>
          <w:rFonts w:hint="eastAsia"/>
          <w:sz w:val="24"/>
          <w:szCs w:val="24"/>
          <w:lang w:eastAsia="zh-CN"/>
        </w:rPr>
        <w:t>月</w:t>
      </w:r>
      <w:r w:rsidR="00F87AC5" w:rsidRPr="00A57B1E">
        <w:rPr>
          <w:rFonts w:hint="eastAsia"/>
          <w:sz w:val="24"/>
          <w:szCs w:val="24"/>
          <w:lang w:eastAsia="zh-CN"/>
        </w:rPr>
        <w:t>1</w:t>
      </w:r>
      <w:r w:rsidR="00F87AC5" w:rsidRPr="00A57B1E">
        <w:rPr>
          <w:rFonts w:hint="eastAsia"/>
          <w:sz w:val="24"/>
          <w:szCs w:val="24"/>
          <w:lang w:eastAsia="zh-CN"/>
        </w:rPr>
        <w:t>日</w:t>
      </w:r>
      <w:r w:rsidR="00446CE2" w:rsidRPr="00A57B1E">
        <w:rPr>
          <w:rFonts w:hint="eastAsia"/>
          <w:sz w:val="24"/>
          <w:szCs w:val="24"/>
          <w:lang w:eastAsia="zh-CN"/>
        </w:rPr>
        <w:t>生效。</w:t>
      </w:r>
    </w:p>
    <w:p w:rsidR="00F370C3" w:rsidRPr="00D87828" w:rsidRDefault="00F87AC5" w:rsidP="00627FC7">
      <w:pPr>
        <w:spacing w:line="240" w:lineRule="auto"/>
        <w:ind w:firstLineChars="200" w:firstLine="480"/>
        <w:rPr>
          <w:rFonts w:eastAsia="Times New Roman"/>
          <w:sz w:val="24"/>
          <w:szCs w:val="24"/>
          <w:lang w:val="en-GB" w:eastAsia="zh-CN"/>
        </w:rPr>
      </w:pPr>
      <w:r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请注意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，正如</w:t>
      </w:r>
      <w:hyperlink r:id="rId9" w:history="1">
        <w:r w:rsidR="00F370C3" w:rsidRPr="00A57B1E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CR/427</w:t>
        </w:r>
      </w:hyperlink>
      <w:r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号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通函所述</w:t>
      </w:r>
      <w:r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，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根据目前计划，</w:t>
      </w:r>
      <w:r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卫星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网络申报资料的提交和有关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IFIC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的意见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自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2018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8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="00F370C3"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日起</w:t>
      </w:r>
      <w:r w:rsidRPr="00A57B1E">
        <w:rPr>
          <w:rFonts w:asciiTheme="minorHAnsi" w:hAnsiTheme="minorHAnsi" w:cstheme="minorHAnsi" w:hint="eastAsia"/>
          <w:sz w:val="24"/>
          <w:szCs w:val="24"/>
          <w:lang w:eastAsia="zh-CN"/>
        </w:rPr>
        <w:t>必须</w:t>
      </w:r>
      <w:r w:rsidRPr="00A57B1E">
        <w:rPr>
          <w:rFonts w:asciiTheme="minorHAnsi" w:hAnsiTheme="minorHAnsi" w:cstheme="minorHAnsi"/>
          <w:sz w:val="24"/>
          <w:szCs w:val="24"/>
          <w:lang w:eastAsia="zh-CN"/>
        </w:rPr>
        <w:t>采用在线方式。</w:t>
      </w:r>
      <w:r w:rsidR="007F312F" w:rsidRPr="00A57B1E">
        <w:rPr>
          <w:rFonts w:hint="eastAsia"/>
          <w:sz w:val="24"/>
          <w:szCs w:val="24"/>
          <w:lang w:val="en-GB" w:eastAsia="zh-CN"/>
        </w:rPr>
        <w:t>（亦见</w:t>
      </w:r>
      <w:r w:rsidR="00F370C3" w:rsidRPr="00A57B1E">
        <w:rPr>
          <w:rFonts w:hint="eastAsia"/>
          <w:sz w:val="24"/>
          <w:szCs w:val="24"/>
          <w:lang w:val="en-GB" w:eastAsia="zh-CN"/>
        </w:rPr>
        <w:t>普遍适用于所有应用无线电规则向无线电通信局提交的通知指配</w:t>
      </w:r>
      <w:r w:rsidR="007F312F" w:rsidRPr="00A57B1E">
        <w:rPr>
          <w:rFonts w:hint="eastAsia"/>
          <w:sz w:val="24"/>
          <w:szCs w:val="24"/>
          <w:lang w:val="en-GB" w:eastAsia="zh-CN"/>
        </w:rPr>
        <w:t>的</w:t>
      </w:r>
      <w:r w:rsidR="007F312F" w:rsidRPr="00A57B1E">
        <w:rPr>
          <w:sz w:val="24"/>
          <w:szCs w:val="24"/>
          <w:lang w:val="en-GB" w:eastAsia="zh-CN"/>
        </w:rPr>
        <w:t>各类</w:t>
      </w:r>
      <w:r w:rsidR="007F312F" w:rsidRPr="00A57B1E">
        <w:rPr>
          <w:rFonts w:hint="eastAsia"/>
          <w:sz w:val="24"/>
          <w:szCs w:val="24"/>
          <w:lang w:val="en-GB" w:eastAsia="zh-CN"/>
        </w:rPr>
        <w:t>通知</w:t>
      </w:r>
      <w:r w:rsidR="007F312F" w:rsidRPr="00A57B1E">
        <w:rPr>
          <w:sz w:val="24"/>
          <w:szCs w:val="24"/>
          <w:lang w:val="en-GB" w:eastAsia="zh-CN"/>
        </w:rPr>
        <w:t>可受理性</w:t>
      </w:r>
      <w:r w:rsidR="007F312F" w:rsidRPr="00A57B1E">
        <w:rPr>
          <w:rFonts w:hint="eastAsia"/>
          <w:sz w:val="24"/>
          <w:szCs w:val="24"/>
          <w:lang w:val="en-GB" w:eastAsia="zh-CN"/>
        </w:rPr>
        <w:t>的</w:t>
      </w:r>
      <w:r w:rsidR="007F312F" w:rsidRPr="00A57B1E">
        <w:rPr>
          <w:sz w:val="24"/>
          <w:szCs w:val="24"/>
          <w:lang w:val="en-GB" w:eastAsia="zh-CN"/>
        </w:rPr>
        <w:t>规则</w:t>
      </w:r>
      <w:r w:rsidR="007F312F" w:rsidRPr="00A57B1E">
        <w:rPr>
          <w:rFonts w:hint="eastAsia"/>
          <w:sz w:val="24"/>
          <w:szCs w:val="24"/>
          <w:lang w:val="en-GB" w:eastAsia="zh-CN"/>
        </w:rPr>
        <w:t>）。更多</w:t>
      </w:r>
      <w:r w:rsidR="007F312F" w:rsidRPr="00A57B1E">
        <w:rPr>
          <w:sz w:val="24"/>
          <w:szCs w:val="24"/>
          <w:lang w:val="en-GB" w:eastAsia="zh-CN"/>
        </w:rPr>
        <w:t>实用信息将通过单独的</w:t>
      </w:r>
      <w:r w:rsidR="007F312F" w:rsidRPr="00A57B1E">
        <w:rPr>
          <w:rFonts w:hint="eastAsia"/>
          <w:sz w:val="24"/>
          <w:szCs w:val="24"/>
          <w:lang w:val="en-GB" w:eastAsia="zh-CN"/>
        </w:rPr>
        <w:t>第</w:t>
      </w:r>
      <w:hyperlink r:id="rId10" w:history="1">
        <w:r w:rsidR="007F312F" w:rsidRPr="00A57B1E">
          <w:rPr>
            <w:rStyle w:val="Hyperlink"/>
            <w:sz w:val="24"/>
            <w:szCs w:val="24"/>
            <w:lang w:val="en-GB" w:eastAsia="zh-CN"/>
          </w:rPr>
          <w:t>CR/434</w:t>
        </w:r>
      </w:hyperlink>
      <w:r w:rsidR="007F312F" w:rsidRPr="00A57B1E">
        <w:rPr>
          <w:rFonts w:hint="eastAsia"/>
          <w:sz w:val="24"/>
          <w:szCs w:val="24"/>
          <w:lang w:val="en-GB" w:eastAsia="zh-CN"/>
        </w:rPr>
        <w:t>号</w:t>
      </w:r>
      <w:r w:rsidR="007F312F" w:rsidRPr="00A57B1E">
        <w:rPr>
          <w:sz w:val="24"/>
          <w:szCs w:val="24"/>
          <w:lang w:val="en-GB" w:eastAsia="zh-CN"/>
        </w:rPr>
        <w:t>通函通知。</w:t>
      </w:r>
    </w:p>
    <w:p w:rsidR="00F53F25" w:rsidRPr="00F370C3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9C6769" w:rsidRPr="00FE6A14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 w:cstheme="minorHAnsi"/>
          <w:sz w:val="24"/>
          <w:szCs w:val="24"/>
          <w:lang w:eastAsia="zh-CN"/>
        </w:rPr>
        <w:t>通信局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主任</w:t>
      </w:r>
    </w:p>
    <w:p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弗朗索瓦</w:t>
      </w:r>
      <w:r w:rsidR="00A77172" w:rsidRPr="00A77172">
        <w:rPr>
          <w:rFonts w:asciiTheme="minorHAnsi" w:hAnsiTheme="minorHAnsi" w:cstheme="minorHAnsi"/>
          <w:sz w:val="20"/>
          <w:szCs w:val="20"/>
          <w:lang w:eastAsia="zh-CN"/>
        </w:rPr>
        <w:t>•</w:t>
      </w:r>
      <w:r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:rsidR="009E6EBB" w:rsidRPr="0074244F" w:rsidRDefault="00446CE2" w:rsidP="00446CE2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Cs w:val="24"/>
          <w:lang w:eastAsia="zh-CN"/>
        </w:rPr>
        <w:t>分发</w:t>
      </w:r>
      <w:r>
        <w:rPr>
          <w:rFonts w:asciiTheme="minorHAnsi" w:hAnsiTheme="minorHAnsi" w:cstheme="minorHAnsi"/>
          <w:b/>
          <w:bCs/>
          <w:szCs w:val="24"/>
          <w:lang w:eastAsia="zh-CN"/>
        </w:rPr>
        <w:t>：</w:t>
      </w:r>
    </w:p>
    <w:p w:rsidR="00EE3CDE" w:rsidRDefault="00446CE2" w:rsidP="008B54C8">
      <w:pPr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：</w:t>
      </w:r>
      <w:r w:rsidR="00EE3CDE" w:rsidRPr="00AB4694">
        <w:rPr>
          <w:sz w:val="24"/>
          <w:szCs w:val="24"/>
          <w:lang w:eastAsia="zh-CN"/>
        </w:rPr>
        <w:tab/>
      </w:r>
      <w:hyperlink r:id="rId11" w:history="1">
        <w:r w:rsidR="00EE3CDE" w:rsidRPr="00F370C3">
          <w:rPr>
            <w:rStyle w:val="Hyperlink"/>
            <w:sz w:val="24"/>
            <w:szCs w:val="24"/>
            <w:lang w:eastAsia="zh-CN"/>
          </w:rPr>
          <w:t>2017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BE0D4B" w:rsidRPr="00F370C3">
          <w:rPr>
            <w:rStyle w:val="Hyperlink"/>
            <w:sz w:val="24"/>
            <w:szCs w:val="24"/>
            <w:lang w:eastAsia="zh-CN"/>
          </w:rPr>
          <w:t>《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程序规则</w:t>
        </w:r>
        <w:r w:rsidR="00BE0D4B" w:rsidRPr="00F370C3">
          <w:rPr>
            <w:rStyle w:val="Hyperlink"/>
            <w:sz w:val="24"/>
            <w:szCs w:val="24"/>
            <w:lang w:eastAsia="zh-CN"/>
          </w:rPr>
          <w:t>》</w:t>
        </w:r>
        <w:r w:rsidR="00EE3CDE" w:rsidRPr="00F370C3">
          <w:rPr>
            <w:rStyle w:val="Hyperlink"/>
            <w:sz w:val="24"/>
            <w:szCs w:val="24"/>
            <w:lang w:eastAsia="zh-CN"/>
          </w:rPr>
          <w:t xml:space="preserve"> – 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 w:rsidR="00F370C3" w:rsidRPr="00F370C3">
          <w:rPr>
            <w:rStyle w:val="Hyperlink"/>
            <w:sz w:val="24"/>
            <w:szCs w:val="24"/>
            <w:lang w:eastAsia="zh-CN"/>
          </w:rPr>
          <w:t>2</w:t>
        </w:r>
        <w:r w:rsidR="00EE3CDE" w:rsidRPr="00F370C3">
          <w:rPr>
            <w:rStyle w:val="Hyperlink"/>
            <w:sz w:val="24"/>
            <w:szCs w:val="24"/>
            <w:vertAlign w:val="superscript"/>
            <w:lang w:eastAsia="zh-CN"/>
          </w:rPr>
          <w:t>1</w:t>
        </w:r>
      </w:hyperlink>
    </w:p>
    <w:p w:rsidR="00EE3CDE" w:rsidRPr="00AB4694" w:rsidRDefault="00446CE2" w:rsidP="00446C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>
        <w:rPr>
          <w:bCs/>
          <w:sz w:val="18"/>
          <w:szCs w:val="18"/>
          <w:u w:val="single"/>
          <w:lang w:eastAsia="zh-CN"/>
        </w:rPr>
        <w:t>：</w:t>
      </w:r>
    </w:p>
    <w:p w:rsidR="00EE3CDE" w:rsidRPr="00AB4694" w:rsidRDefault="00EE3CDE" w:rsidP="00446CE2">
      <w:pPr>
        <w:pStyle w:val="enumlev1"/>
        <w:tabs>
          <w:tab w:val="clear" w:pos="794"/>
          <w:tab w:val="left" w:pos="284"/>
        </w:tabs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国际电联</w:t>
      </w:r>
      <w:r w:rsidR="00446CE2">
        <w:rPr>
          <w:sz w:val="16"/>
          <w:szCs w:val="16"/>
          <w:lang w:eastAsia="zh-CN"/>
        </w:rPr>
        <w:t>各成员国主管部门</w:t>
      </w:r>
    </w:p>
    <w:p w:rsidR="00EE3CDE" w:rsidRPr="00AB4694" w:rsidRDefault="00EE3CDE" w:rsidP="00446CE2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无线电</w:t>
      </w:r>
      <w:r w:rsidR="00446CE2">
        <w:rPr>
          <w:sz w:val="16"/>
          <w:szCs w:val="16"/>
          <w:lang w:eastAsia="zh-CN"/>
        </w:rPr>
        <w:t>规则委员会委员</w:t>
      </w:r>
    </w:p>
    <w:p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</w:p>
    <w:p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  <w:r>
        <w:rPr>
          <w:rFonts w:asciiTheme="minorHAnsi" w:hAnsiTheme="minorHAnsi" w:cstheme="minorHAnsi"/>
          <w:sz w:val="16"/>
          <w:szCs w:val="16"/>
          <w:lang w:eastAsia="zh-CN"/>
        </w:rPr>
        <w:t>_______________________</w:t>
      </w:r>
    </w:p>
    <w:p w:rsidR="00EE3CDE" w:rsidRPr="00390E0A" w:rsidRDefault="00EE3CDE" w:rsidP="00EE3CDE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  <w:sectPr w:rsidR="00EE3CDE" w:rsidRPr="00390E0A" w:rsidSect="00655C3A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8" w:rsidRDefault="00887EE8">
      <w:r>
        <w:separator/>
      </w:r>
    </w:p>
  </w:endnote>
  <w:endnote w:type="continuationSeparator" w:id="0">
    <w:p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F370C3" w:rsidRPr="005C4582" w:rsidRDefault="00F370C3" w:rsidP="00F370C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Pr="005E5EB3" w:rsidRDefault="00EE1264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8" w:rsidRDefault="00887EE8">
      <w:r>
        <w:t>____________________</w:t>
      </w:r>
    </w:p>
  </w:footnote>
  <w:footnote w:type="continuationSeparator" w:id="0">
    <w:p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B35BC2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370C3" w:rsidTr="000F37C8">
      <w:tc>
        <w:tcPr>
          <w:tcW w:w="9923" w:type="dxa"/>
        </w:tcPr>
        <w:p w:rsidR="00F370C3" w:rsidRDefault="00F370C3" w:rsidP="00F370C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E542913" wp14:editId="0DB8AADA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F370C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8597A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F1A35"/>
    <w:rsid w:val="006F34FC"/>
    <w:rsid w:val="006F72B3"/>
    <w:rsid w:val="007234B1"/>
    <w:rsid w:val="00727816"/>
    <w:rsid w:val="00730B9A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54C8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6C3E"/>
    <w:rsid w:val="00AF70DA"/>
    <w:rsid w:val="00B019D3"/>
    <w:rsid w:val="00B136A5"/>
    <w:rsid w:val="00B34CF9"/>
    <w:rsid w:val="00B35BC2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0D4B"/>
    <w:rsid w:val="00BE197D"/>
    <w:rsid w:val="00BE6574"/>
    <w:rsid w:val="00BE65AE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40FB"/>
    <w:rsid w:val="00D758F8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F07E51"/>
    <w:rsid w:val="00F117BE"/>
    <w:rsid w:val="00F370C3"/>
    <w:rsid w:val="00F37853"/>
    <w:rsid w:val="00F424BF"/>
    <w:rsid w:val="00F46107"/>
    <w:rsid w:val="00F468C5"/>
    <w:rsid w:val="00F52F39"/>
    <w:rsid w:val="00F53F25"/>
    <w:rsid w:val="00F810C9"/>
    <w:rsid w:val="00F87AC5"/>
    <w:rsid w:val="00F914DD"/>
    <w:rsid w:val="00F93E4F"/>
    <w:rsid w:val="00FA2358"/>
    <w:rsid w:val="00FA4443"/>
    <w:rsid w:val="00FA7867"/>
    <w:rsid w:val="00FB2592"/>
    <w:rsid w:val="00FB2810"/>
    <w:rsid w:val="00FC2947"/>
    <w:rsid w:val="00FC3BFE"/>
    <w:rsid w:val="00FE0818"/>
    <w:rsid w:val="00FE59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G-ROP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G-ROP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R-CIR-043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0F8B-F9D1-43BA-99A7-2576C1AC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455</Words>
  <Characters>469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2017-11-13T10:36:00Z</cp:lastPrinted>
  <dcterms:created xsi:type="dcterms:W3CDTF">2018-07-30T08:41:00Z</dcterms:created>
  <dcterms:modified xsi:type="dcterms:W3CDTF">2018-07-30T08:41:00Z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