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9C1AC5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9C1A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9C1AC5">
              <w:rPr>
                <w:rFonts w:eastAsiaTheme="minorEastAsia"/>
                <w:b/>
                <w:bCs/>
                <w:lang w:eastAsia="zh-CN" w:bidi="ar-SY"/>
              </w:rPr>
              <w:t>433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C1AC5" w:rsidP="009C1A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9A10A0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9C1AC5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 xml:space="preserve">إلى إدارات الدول الأعضاء في 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9C1AC5" w:rsidP="00AF70F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</w:tbl>
    <w:p w:rsidR="00AF70F6" w:rsidRPr="0000422D" w:rsidRDefault="009C1AC5" w:rsidP="00E5507D">
      <w:pPr>
        <w:pStyle w:val="Normalaftertitle"/>
        <w:keepNext w:val="0"/>
        <w:rPr>
          <w:lang w:bidi="ar-EG"/>
        </w:rPr>
      </w:pPr>
      <w:r w:rsidRPr="0000422D">
        <w:rPr>
          <w:rFonts w:hint="cs"/>
          <w:rtl/>
        </w:rPr>
        <w:t xml:space="preserve">عقب المؤتمر العالمي للاتصالات الراديوية لعام </w:t>
      </w:r>
      <w:r w:rsidRPr="0000422D">
        <w:t>2015</w:t>
      </w:r>
      <w:r w:rsidRPr="0000422D">
        <w:rPr>
          <w:rFonts w:hint="cs"/>
          <w:rtl/>
          <w:lang w:bidi="ar-EG"/>
        </w:rPr>
        <w:t>، نُشرت طبعة</w:t>
      </w:r>
      <w:r w:rsidRPr="0000422D">
        <w:rPr>
          <w:rFonts w:hint="eastAsia"/>
          <w:rtl/>
          <w:lang w:bidi="ar-EG"/>
        </w:rPr>
        <w:t> </w:t>
      </w:r>
      <w:r w:rsidRPr="0000422D">
        <w:rPr>
          <w:lang w:bidi="ar-EG"/>
        </w:rPr>
        <w:t>2017</w:t>
      </w:r>
      <w:r w:rsidRPr="0000422D">
        <w:rPr>
          <w:rFonts w:hint="cs"/>
          <w:rtl/>
          <w:lang w:bidi="ar-EG"/>
        </w:rPr>
        <w:t xml:space="preserve"> من القواعد الإجرائية. وتضم الطبعة الجديدة جميع التنقيحات المستجدة شاملةً القواعد التي تمت الموافقة عليها والمدرجة في ملحقات الرسالة المعممة</w:t>
      </w:r>
      <w:r w:rsidRPr="0000422D">
        <w:rPr>
          <w:rFonts w:hint="eastAsia"/>
          <w:rtl/>
          <w:lang w:bidi="ar-EG"/>
        </w:rPr>
        <w:t> </w:t>
      </w:r>
      <w:hyperlink r:id="rId10" w:history="1">
        <w:r w:rsidR="00FF60F0" w:rsidRPr="0000422D">
          <w:rPr>
            <w:rStyle w:val="Hyperlink"/>
            <w:rFonts w:ascii="Calibri" w:hAnsi="Calibri"/>
          </w:rPr>
          <w:t>CR/417</w:t>
        </w:r>
      </w:hyperlink>
      <w:r w:rsidRPr="0000422D">
        <w:rPr>
          <w:rFonts w:hint="cs"/>
          <w:rtl/>
          <w:lang w:bidi="ar-EG"/>
        </w:rPr>
        <w:t xml:space="preserve"> المؤرخة</w:t>
      </w:r>
      <w:r w:rsidRPr="0000422D">
        <w:rPr>
          <w:rFonts w:hint="eastAsia"/>
          <w:rtl/>
          <w:lang w:bidi="ar-EG"/>
        </w:rPr>
        <w:t> </w:t>
      </w:r>
      <w:r w:rsidRPr="0000422D">
        <w:rPr>
          <w:lang w:bidi="ar-EG"/>
        </w:rPr>
        <w:t>6</w:t>
      </w:r>
      <w:r w:rsidRPr="0000422D">
        <w:rPr>
          <w:rFonts w:hint="eastAsia"/>
          <w:rtl/>
          <w:lang w:bidi="ar-EG"/>
        </w:rPr>
        <w:t> </w:t>
      </w:r>
      <w:r w:rsidRPr="0000422D">
        <w:rPr>
          <w:rFonts w:hint="cs"/>
          <w:rtl/>
          <w:lang w:bidi="ar-EG"/>
        </w:rPr>
        <w:t>مارس</w:t>
      </w:r>
      <w:r w:rsidRPr="0000422D">
        <w:rPr>
          <w:rFonts w:hint="eastAsia"/>
          <w:rtl/>
          <w:lang w:bidi="ar-EG"/>
        </w:rPr>
        <w:t> </w:t>
      </w:r>
      <w:r w:rsidRPr="0000422D">
        <w:rPr>
          <w:lang w:bidi="ar-EG"/>
        </w:rPr>
        <w:t>2017</w:t>
      </w:r>
      <w:r w:rsidRPr="0000422D">
        <w:rPr>
          <w:rFonts w:hint="cs"/>
          <w:rtl/>
          <w:lang w:bidi="ar-EG"/>
        </w:rPr>
        <w:t>.</w:t>
      </w:r>
    </w:p>
    <w:p w:rsidR="009C1AC5" w:rsidRPr="0000422D" w:rsidRDefault="009C1AC5" w:rsidP="009C1AC5">
      <w:pPr>
        <w:spacing w:after="120"/>
        <w:rPr>
          <w:rtl/>
          <w:lang w:bidi="ar-EG"/>
        </w:rPr>
      </w:pPr>
      <w:r w:rsidRPr="0000422D">
        <w:rPr>
          <w:rFonts w:hint="cs"/>
          <w:rtl/>
          <w:lang w:bidi="ar-EG"/>
        </w:rPr>
        <w:t>و</w:t>
      </w:r>
      <w:r w:rsidRPr="0000422D">
        <w:rPr>
          <w:rtl/>
          <w:lang w:bidi="ar-EG"/>
        </w:rPr>
        <w:t xml:space="preserve">عملاً بأحكام </w:t>
      </w:r>
      <w:r w:rsidRPr="0000422D">
        <w:rPr>
          <w:rFonts w:hint="cs"/>
          <w:rtl/>
          <w:lang w:bidi="ar-EG"/>
        </w:rPr>
        <w:t>الرقمين</w:t>
      </w:r>
      <w:r w:rsidRPr="0000422D">
        <w:rPr>
          <w:rtl/>
          <w:lang w:bidi="ar-EG"/>
        </w:rPr>
        <w:t xml:space="preserve"> </w:t>
      </w:r>
      <w:r w:rsidRPr="0000422D">
        <w:rPr>
          <w:b/>
          <w:bCs/>
        </w:rPr>
        <w:t>12.13</w:t>
      </w:r>
      <w:r w:rsidRPr="0000422D">
        <w:rPr>
          <w:rtl/>
          <w:lang w:bidi="ar-SY"/>
        </w:rPr>
        <w:t xml:space="preserve"> و</w:t>
      </w:r>
      <w:r w:rsidRPr="0000422D">
        <w:rPr>
          <w:b/>
          <w:bCs/>
        </w:rPr>
        <w:t>14.13</w:t>
      </w:r>
      <w:r w:rsidRPr="00A838FF">
        <w:rPr>
          <w:rtl/>
          <w:lang w:bidi="ar-SY"/>
        </w:rPr>
        <w:t xml:space="preserve"> </w:t>
      </w:r>
      <w:r w:rsidRPr="0000422D">
        <w:rPr>
          <w:rtl/>
          <w:lang w:bidi="ar-SY"/>
        </w:rPr>
        <w:t xml:space="preserve">من لوائح الراديو، وافقت </w:t>
      </w:r>
      <w:r w:rsidRPr="0000422D">
        <w:rPr>
          <w:rFonts w:hint="cs"/>
          <w:rtl/>
          <w:lang w:bidi="ar-SY"/>
        </w:rPr>
        <w:t>لجنة</w:t>
      </w:r>
      <w:r w:rsidRPr="0000422D">
        <w:rPr>
          <w:rtl/>
          <w:lang w:bidi="ar-SY"/>
        </w:rPr>
        <w:t xml:space="preserve"> لوائح الراديو </w:t>
      </w:r>
      <w:r w:rsidRPr="0000422D">
        <w:t>(RRB)</w:t>
      </w:r>
      <w:r w:rsidRPr="0000422D">
        <w:rPr>
          <w:rtl/>
          <w:lang w:bidi="ar-SY"/>
        </w:rPr>
        <w:t xml:space="preserve"> في </w:t>
      </w:r>
      <w:r w:rsidRPr="0000422D">
        <w:rPr>
          <w:rFonts w:hint="cs"/>
          <w:rtl/>
          <w:lang w:bidi="ar-SY"/>
        </w:rPr>
        <w:t>اجتماعها الثامن والسبعين</w:t>
      </w:r>
      <w:r w:rsidRPr="0000422D">
        <w:rPr>
          <w:rtl/>
          <w:lang w:bidi="ar-SY"/>
        </w:rPr>
        <w:t xml:space="preserve"> (</w:t>
      </w:r>
      <w:r w:rsidRPr="0000422D">
        <w:t>16</w:t>
      </w:r>
      <w:r w:rsidRPr="0000422D">
        <w:rPr>
          <w:rtl/>
          <w:lang w:bidi="ar-SY"/>
        </w:rPr>
        <w:t> </w:t>
      </w:r>
      <w:r w:rsidRPr="0000422D">
        <w:rPr>
          <w:rFonts w:hint="cs"/>
          <w:rtl/>
          <w:lang w:bidi="ar-SY"/>
        </w:rPr>
        <w:t>-</w:t>
      </w:r>
      <w:r w:rsidRPr="0000422D">
        <w:rPr>
          <w:rFonts w:hint="eastAsia"/>
          <w:rtl/>
          <w:lang w:bidi="ar-SY"/>
        </w:rPr>
        <w:t> </w:t>
      </w:r>
      <w:r w:rsidRPr="0000422D">
        <w:t>20</w:t>
      </w:r>
      <w:r w:rsidRPr="0000422D">
        <w:rPr>
          <w:rFonts w:hint="cs"/>
          <w:rtl/>
          <w:lang w:bidi="ar-SY"/>
        </w:rPr>
        <w:t> </w:t>
      </w:r>
      <w:r w:rsidRPr="0000422D">
        <w:rPr>
          <w:rFonts w:hint="cs"/>
          <w:rtl/>
          <w:lang w:bidi="ar-EG"/>
        </w:rPr>
        <w:t>يوليو</w:t>
      </w:r>
      <w:r w:rsidRPr="0000422D">
        <w:rPr>
          <w:rFonts w:hint="cs"/>
          <w:rtl/>
          <w:lang w:bidi="ar-SY"/>
        </w:rPr>
        <w:t> </w:t>
      </w:r>
      <w:r w:rsidRPr="0000422D">
        <w:t>2018</w:t>
      </w:r>
      <w:r w:rsidRPr="0000422D">
        <w:rPr>
          <w:rtl/>
          <w:lang w:bidi="ar-SY"/>
        </w:rPr>
        <w:t>) على تعديلات</w:t>
      </w:r>
      <w:r w:rsidRPr="0000422D">
        <w:rPr>
          <w:rFonts w:hint="cs"/>
          <w:rtl/>
          <w:lang w:bidi="ar-SY"/>
        </w:rPr>
        <w:t xml:space="preserve"> على</w:t>
      </w:r>
      <w:r w:rsidRPr="0000422D">
        <w:rPr>
          <w:rtl/>
          <w:lang w:bidi="ar-SY"/>
        </w:rPr>
        <w:t xml:space="preserve"> القواعد الإجرائية (طبعة عام </w:t>
      </w:r>
      <w:r w:rsidRPr="0000422D">
        <w:t>2017</w:t>
      </w:r>
      <w:r w:rsidRPr="0000422D">
        <w:rPr>
          <w:rtl/>
          <w:lang w:bidi="ar-SY"/>
        </w:rPr>
        <w:t xml:space="preserve">، </w:t>
      </w:r>
      <w:r w:rsidRPr="0000422D">
        <w:rPr>
          <w:rFonts w:hint="cs"/>
          <w:rtl/>
          <w:lang w:bidi="ar-SY"/>
        </w:rPr>
        <w:t>التحديث</w:t>
      </w:r>
      <w:r w:rsidRPr="0000422D">
        <w:rPr>
          <w:rtl/>
          <w:lang w:bidi="ar-SY"/>
        </w:rPr>
        <w:t> </w:t>
      </w:r>
      <w:r w:rsidRPr="0000422D">
        <w:t>2</w:t>
      </w:r>
      <w:r w:rsidRPr="0000422D">
        <w:rPr>
          <w:rtl/>
          <w:lang w:bidi="ar-SY"/>
        </w:rPr>
        <w:t>).</w:t>
      </w:r>
    </w:p>
    <w:p w:rsidR="009C1AC5" w:rsidRPr="0000422D" w:rsidRDefault="009C1AC5" w:rsidP="00F04F99">
      <w:pPr>
        <w:spacing w:after="120"/>
      </w:pPr>
      <w:r w:rsidRPr="0000422D">
        <w:rPr>
          <w:rtl/>
          <w:lang w:bidi="ar-SY"/>
        </w:rPr>
        <w:t>وتشمل</w:t>
      </w:r>
      <w:r w:rsidRPr="0000422D">
        <w:rPr>
          <w:rtl/>
          <w:lang w:bidi="ar-EG"/>
        </w:rPr>
        <w:t xml:space="preserve"> هذه</w:t>
      </w:r>
      <w:r w:rsidRPr="0000422D">
        <w:rPr>
          <w:rtl/>
          <w:lang w:bidi="ar-SY"/>
        </w:rPr>
        <w:t xml:space="preserve"> التعديلات قواعد إجرائية جديدة أو معد</w:t>
      </w:r>
      <w:r w:rsidRPr="0000422D">
        <w:rPr>
          <w:rFonts w:hint="cs"/>
          <w:rtl/>
          <w:lang w:bidi="ar-SY"/>
        </w:rPr>
        <w:t>َّ</w:t>
      </w:r>
      <w:r w:rsidRPr="0000422D">
        <w:rPr>
          <w:rtl/>
          <w:lang w:bidi="ar-SY"/>
        </w:rPr>
        <w:t xml:space="preserve">لة ترد في </w:t>
      </w:r>
      <w:r w:rsidRPr="0000422D">
        <w:rPr>
          <w:rFonts w:hint="cs"/>
          <w:rtl/>
          <w:lang w:bidi="ar-SY"/>
        </w:rPr>
        <w:t>الملحق</w:t>
      </w:r>
      <w:r w:rsidRPr="0000422D">
        <w:rPr>
          <w:rtl/>
          <w:lang w:bidi="ar-SY"/>
        </w:rPr>
        <w:t xml:space="preserve"> </w:t>
      </w:r>
      <w:r w:rsidRPr="0000422D">
        <w:rPr>
          <w:rFonts w:hint="cs"/>
          <w:rtl/>
          <w:lang w:bidi="ar-SY"/>
        </w:rPr>
        <w:t>التالي</w:t>
      </w:r>
      <w:r w:rsidRPr="0000422D">
        <w:rPr>
          <w:rtl/>
          <w:lang w:bidi="ar-SY"/>
        </w:rPr>
        <w:t>، وتتعلق بطبعة عام </w:t>
      </w:r>
      <w:r w:rsidRPr="0000422D">
        <w:t>2017</w:t>
      </w:r>
      <w:r w:rsidRPr="0000422D">
        <w:rPr>
          <w:rtl/>
          <w:lang w:bidi="ar-SY"/>
        </w:rPr>
        <w:t xml:space="preserve"> من القواعد الإجرائية</w:t>
      </w:r>
      <w:r w:rsidRPr="0000422D">
        <w:rPr>
          <w:rFonts w:hint="cs"/>
          <w:rtl/>
          <w:lang w:bidi="ar-SY"/>
        </w:rPr>
        <w:t xml:space="preserve">. </w:t>
      </w:r>
      <w:r w:rsidRPr="0000422D">
        <w:rPr>
          <w:rtl/>
          <w:lang w:bidi="ar-SY"/>
        </w:rPr>
        <w:t xml:space="preserve">وتصبح القواعد </w:t>
      </w:r>
      <w:r w:rsidRPr="0000422D">
        <w:rPr>
          <w:rFonts w:hint="cs"/>
          <w:rtl/>
          <w:lang w:bidi="ar-SY"/>
        </w:rPr>
        <w:t>المدرجة</w:t>
      </w:r>
      <w:r w:rsidRPr="0000422D">
        <w:rPr>
          <w:rtl/>
          <w:lang w:bidi="ar-SY"/>
        </w:rPr>
        <w:t xml:space="preserve"> في </w:t>
      </w:r>
      <w:r w:rsidRPr="0000422D">
        <w:rPr>
          <w:rFonts w:hint="cs"/>
          <w:rtl/>
          <w:lang w:bidi="ar-SY"/>
        </w:rPr>
        <w:t>الملحق</w:t>
      </w:r>
      <w:r w:rsidRPr="0000422D">
        <w:rPr>
          <w:rtl/>
          <w:lang w:bidi="ar-SY"/>
        </w:rPr>
        <w:t xml:space="preserve"> سارية </w:t>
      </w:r>
      <w:r w:rsidRPr="0000422D">
        <w:rPr>
          <w:rFonts w:hint="cs"/>
          <w:rtl/>
          <w:lang w:bidi="ar-SY"/>
        </w:rPr>
        <w:t>المفعول</w:t>
      </w:r>
      <w:r w:rsidRPr="0000422D">
        <w:rPr>
          <w:rtl/>
          <w:lang w:bidi="ar-SY"/>
        </w:rPr>
        <w:t xml:space="preserve"> </w:t>
      </w:r>
      <w:r w:rsidRPr="0000422D">
        <w:rPr>
          <w:rFonts w:hint="cs"/>
          <w:rtl/>
          <w:lang w:bidi="ar-SY"/>
        </w:rPr>
        <w:t xml:space="preserve">في </w:t>
      </w:r>
      <w:r w:rsidRPr="0000422D">
        <w:rPr>
          <w:lang w:bidi="ar-SY"/>
        </w:rPr>
        <w:t>19</w:t>
      </w:r>
      <w:r w:rsidRPr="0000422D">
        <w:rPr>
          <w:rtl/>
          <w:lang w:bidi="ar-SY"/>
        </w:rPr>
        <w:t xml:space="preserve"> </w:t>
      </w:r>
      <w:r w:rsidRPr="0000422D">
        <w:rPr>
          <w:rFonts w:hint="cs"/>
          <w:rtl/>
          <w:lang w:bidi="ar-SY"/>
        </w:rPr>
        <w:t xml:space="preserve">يوليو </w:t>
      </w:r>
      <w:r w:rsidRPr="0000422D">
        <w:rPr>
          <w:lang w:bidi="ar-SY"/>
        </w:rPr>
        <w:t>2018</w:t>
      </w:r>
      <w:r w:rsidRPr="0000422D">
        <w:rPr>
          <w:rFonts w:hint="cs"/>
          <w:rtl/>
        </w:rPr>
        <w:t xml:space="preserve"> أو </w:t>
      </w:r>
      <w:r w:rsidR="00F04F99">
        <w:rPr>
          <w:rFonts w:hint="cs"/>
          <w:rtl/>
        </w:rPr>
        <w:t xml:space="preserve">في الأول من يناير </w:t>
      </w:r>
      <w:r w:rsidR="00F04F99">
        <w:t>2017</w:t>
      </w:r>
      <w:r w:rsidR="00F04F99">
        <w:rPr>
          <w:rFonts w:hint="cs"/>
          <w:rtl/>
          <w:lang w:val="en-GB" w:bidi="ar-EG"/>
        </w:rPr>
        <w:t xml:space="preserve"> أو </w:t>
      </w:r>
      <w:r w:rsidRPr="0000422D">
        <w:rPr>
          <w:rFonts w:hint="cs"/>
          <w:rtl/>
        </w:rPr>
        <w:t xml:space="preserve">في الأول من أغسطس </w:t>
      </w:r>
      <w:r w:rsidRPr="0000422D">
        <w:t>2018</w:t>
      </w:r>
      <w:r w:rsidRPr="0000422D">
        <w:rPr>
          <w:rFonts w:hint="cs"/>
          <w:rtl/>
        </w:rPr>
        <w:t xml:space="preserve"> حسب</w:t>
      </w:r>
      <w:r w:rsidR="00F04F99">
        <w:rPr>
          <w:rFonts w:hint="eastAsia"/>
          <w:rtl/>
        </w:rPr>
        <w:t> </w:t>
      </w:r>
      <w:r w:rsidRPr="0000422D">
        <w:rPr>
          <w:rFonts w:hint="cs"/>
          <w:rtl/>
        </w:rPr>
        <w:t>الاقتضاء.</w:t>
      </w:r>
    </w:p>
    <w:p w:rsidR="009C1AC5" w:rsidRPr="0000422D" w:rsidRDefault="009C1AC5" w:rsidP="009C1AC5">
      <w:pPr>
        <w:rPr>
          <w:rtl/>
          <w:lang w:bidi="ar-EG"/>
        </w:rPr>
      </w:pPr>
      <w:r w:rsidRPr="0000422D">
        <w:rPr>
          <w:rFonts w:hint="cs"/>
          <w:rtl/>
          <w:lang w:bidi="ar-EG"/>
        </w:rPr>
        <w:t>يرجى العلم أنه، كما ورد في الرسالة</w:t>
      </w:r>
      <w:r w:rsidR="008D729E" w:rsidRPr="0000422D">
        <w:rPr>
          <w:rFonts w:hint="cs"/>
          <w:rtl/>
          <w:lang w:bidi="ar-EG"/>
        </w:rPr>
        <w:t xml:space="preserve"> المعممة</w:t>
      </w:r>
      <w:r w:rsidRPr="0000422D">
        <w:rPr>
          <w:rFonts w:hint="cs"/>
          <w:rtl/>
          <w:lang w:bidi="ar-EG"/>
        </w:rPr>
        <w:t xml:space="preserve"> </w:t>
      </w:r>
      <w:hyperlink r:id="rId11" w:history="1">
        <w:r w:rsidRPr="0000422D">
          <w:rPr>
            <w:rStyle w:val="Hyperlink"/>
            <w:rFonts w:ascii="Calibri" w:hAnsi="Calibri"/>
          </w:rPr>
          <w:t>CR/427</w:t>
        </w:r>
      </w:hyperlink>
      <w:r w:rsidRPr="0000422D">
        <w:rPr>
          <w:rFonts w:hint="cs"/>
          <w:rtl/>
          <w:lang w:bidi="ar-EG"/>
        </w:rPr>
        <w:t>، سيكون استعمال التطبيق ال</w:t>
      </w:r>
      <w:r w:rsidR="00334051" w:rsidRPr="0000422D">
        <w:rPr>
          <w:rFonts w:hint="cs"/>
          <w:rtl/>
          <w:lang w:bidi="ar-EG"/>
        </w:rPr>
        <w:t>إلكتروني لتقديم بطاقات التبليغ ع</w:t>
      </w:r>
      <w:r w:rsidRPr="0000422D">
        <w:rPr>
          <w:rFonts w:hint="cs"/>
          <w:rtl/>
          <w:lang w:bidi="ar-EG"/>
        </w:rPr>
        <w:t xml:space="preserve">ن الشبكات الساتلية والتعليقات إلى النشرة الإعلامية </w:t>
      </w:r>
      <w:r w:rsidR="00FF60F0" w:rsidRPr="0000422D">
        <w:rPr>
          <w:rFonts w:hint="cs"/>
          <w:rtl/>
          <w:lang w:bidi="ar-EG"/>
        </w:rPr>
        <w:t>الدولية</w:t>
      </w:r>
      <w:r w:rsidR="00334051" w:rsidRPr="0000422D">
        <w:rPr>
          <w:rFonts w:hint="cs"/>
          <w:rtl/>
          <w:lang w:bidi="ar-EG"/>
        </w:rPr>
        <w:t xml:space="preserve"> للترددات إ</w:t>
      </w:r>
      <w:r w:rsidRPr="0000422D">
        <w:rPr>
          <w:rFonts w:hint="cs"/>
          <w:rtl/>
          <w:lang w:bidi="ar-EG"/>
        </w:rPr>
        <w:t xml:space="preserve">لزامياً </w:t>
      </w:r>
      <w:r w:rsidR="00FF60F0" w:rsidRPr="0000422D">
        <w:rPr>
          <w:rFonts w:hint="cs"/>
          <w:rtl/>
          <w:lang w:bidi="ar-EG"/>
        </w:rPr>
        <w:t>اعتباراً م</w:t>
      </w:r>
      <w:r w:rsidRPr="0000422D">
        <w:rPr>
          <w:rFonts w:hint="cs"/>
          <w:rtl/>
          <w:lang w:bidi="ar-EG"/>
        </w:rPr>
        <w:t xml:space="preserve">ن الأول من أغسطس </w:t>
      </w:r>
      <w:r w:rsidRPr="0000422D">
        <w:rPr>
          <w:lang w:bidi="ar-EG"/>
        </w:rPr>
        <w:t>2018</w:t>
      </w:r>
      <w:r w:rsidR="00334051" w:rsidRPr="0000422D">
        <w:rPr>
          <w:rFonts w:hint="cs"/>
          <w:rtl/>
          <w:lang w:bidi="ar-EG"/>
        </w:rPr>
        <w:t>. (ا</w:t>
      </w:r>
      <w:r w:rsidRPr="0000422D">
        <w:rPr>
          <w:rFonts w:hint="cs"/>
          <w:rtl/>
          <w:lang w:bidi="ar-EG"/>
        </w:rPr>
        <w:t>نظر أيضاً القواعد المتعلقة بقبول استلام بطاقات التبليغ المطبقة عموماً على التخصيصات</w:t>
      </w:r>
      <w:r w:rsidR="00FF60F0" w:rsidRPr="0000422D">
        <w:rPr>
          <w:rFonts w:hint="cs"/>
          <w:rtl/>
          <w:lang w:bidi="ar-EG"/>
        </w:rPr>
        <w:t xml:space="preserve"> المبلغ عنها المقدمة</w:t>
      </w:r>
      <w:r w:rsidRPr="0000422D">
        <w:rPr>
          <w:rFonts w:hint="cs"/>
          <w:rtl/>
          <w:lang w:bidi="ar-EG"/>
        </w:rPr>
        <w:t xml:space="preserve"> إلى مكتب الاتصالات الراديوية طبقاً لإجراءات لوائح الراديو). وسترسل معلومات عملية أخرى في رسالة مع</w:t>
      </w:r>
      <w:r w:rsidR="00FF60F0" w:rsidRPr="0000422D">
        <w:rPr>
          <w:rFonts w:hint="cs"/>
          <w:rtl/>
          <w:lang w:bidi="ar-EG"/>
        </w:rPr>
        <w:t>م</w:t>
      </w:r>
      <w:r w:rsidRPr="0000422D">
        <w:rPr>
          <w:rFonts w:hint="cs"/>
          <w:rtl/>
          <w:lang w:bidi="ar-EG"/>
        </w:rPr>
        <w:t xml:space="preserve">مة منفصلة </w:t>
      </w:r>
      <w:hyperlink r:id="rId12" w:history="1">
        <w:r w:rsidRPr="0000422D">
          <w:rPr>
            <w:rStyle w:val="Hyperlink"/>
            <w:rFonts w:ascii="Calibri" w:hAnsi="Calibri"/>
            <w:lang w:val="en-GB"/>
          </w:rPr>
          <w:t>CR/434</w:t>
        </w:r>
      </w:hyperlink>
      <w:r w:rsidRPr="0000422D">
        <w:rPr>
          <w:rFonts w:hint="cs"/>
          <w:rtl/>
          <w:lang w:bidi="ar-EG"/>
        </w:rPr>
        <w:t>.</w:t>
      </w:r>
    </w:p>
    <w:p w:rsidR="009C1AC5" w:rsidRPr="0000422D" w:rsidRDefault="009C1AC5" w:rsidP="00575603">
      <w:pPr>
        <w:spacing w:before="1320"/>
        <w:jc w:val="left"/>
        <w:rPr>
          <w:lang w:bidi="ar-EG"/>
        </w:rPr>
      </w:pPr>
      <w:r w:rsidRPr="0000422D">
        <w:rPr>
          <w:rtl/>
          <w:lang w:bidi="ar-SY"/>
        </w:rPr>
        <w:t>فرانسوا</w:t>
      </w:r>
      <w:r w:rsidR="00575603">
        <w:rPr>
          <w:rFonts w:hint="cs"/>
          <w:rtl/>
          <w:lang w:bidi="ar-SY"/>
        </w:rPr>
        <w:t> </w:t>
      </w:r>
      <w:r w:rsidRPr="0000422D">
        <w:rPr>
          <w:rtl/>
          <w:lang w:bidi="ar-SY"/>
        </w:rPr>
        <w:t>رانسي</w:t>
      </w:r>
      <w:r w:rsidRPr="0000422D">
        <w:rPr>
          <w:rtl/>
          <w:lang w:bidi="ar-SY"/>
        </w:rPr>
        <w:br/>
      </w:r>
      <w:r w:rsidRPr="0000422D">
        <w:rPr>
          <w:rFonts w:hint="cs"/>
          <w:rtl/>
          <w:lang w:bidi="ar-SY"/>
        </w:rPr>
        <w:t>المدير</w:t>
      </w:r>
    </w:p>
    <w:p w:rsidR="009C1AC5" w:rsidRPr="00DC240C" w:rsidRDefault="009C1AC5" w:rsidP="00B02C85">
      <w:pPr>
        <w:spacing w:before="360"/>
        <w:ind w:left="794" w:hanging="794"/>
        <w:rPr>
          <w:rtl/>
          <w:lang w:bidi="ar-EG"/>
        </w:rPr>
      </w:pPr>
      <w:r w:rsidRPr="00267CFD">
        <w:rPr>
          <w:b/>
          <w:bCs/>
          <w:rtl/>
          <w:lang w:bidi="ar-SY"/>
        </w:rPr>
        <w:t>ال‍ملحقات:</w:t>
      </w:r>
      <w:r w:rsidRPr="00267CFD">
        <w:rPr>
          <w:rtl/>
          <w:lang w:bidi="ar-SY"/>
        </w:rPr>
        <w:tab/>
      </w:r>
      <w:hyperlink r:id="rId13" w:history="1">
        <w:r w:rsidRPr="00267CFD">
          <w:rPr>
            <w:rStyle w:val="Hyperlink"/>
            <w:rFonts w:ascii="Calibri" w:hAnsi="Calibri"/>
            <w:rtl/>
            <w:lang w:bidi="ar-SY"/>
          </w:rPr>
          <w:t xml:space="preserve">القواعد الإجرائية - طبعة عام </w:t>
        </w:r>
        <w:r w:rsidRPr="00267CFD">
          <w:rPr>
            <w:rStyle w:val="Hyperlink"/>
            <w:rFonts w:ascii="Calibri" w:hAnsi="Calibri"/>
          </w:rPr>
          <w:t>2017</w:t>
        </w:r>
        <w:r w:rsidRPr="00267CFD">
          <w:rPr>
            <w:rStyle w:val="Hyperlink"/>
            <w:rFonts w:ascii="Calibri" w:hAnsi="Calibri"/>
            <w:rtl/>
            <w:lang w:bidi="ar-SY"/>
          </w:rPr>
          <w:t xml:space="preserve"> - </w:t>
        </w:r>
        <w:r w:rsidRPr="00267CFD">
          <w:rPr>
            <w:rStyle w:val="Hyperlink"/>
            <w:rFonts w:ascii="Calibri" w:hAnsi="Calibri" w:hint="cs"/>
            <w:rtl/>
            <w:lang w:bidi="ar-SY"/>
          </w:rPr>
          <w:t>التحديث</w:t>
        </w:r>
        <w:r w:rsidRPr="00267CFD">
          <w:rPr>
            <w:rStyle w:val="Hyperlink"/>
            <w:rFonts w:ascii="Calibri" w:hAnsi="Calibri" w:hint="cs"/>
            <w:rtl/>
            <w:lang w:bidi="ar-EG"/>
          </w:rPr>
          <w:t xml:space="preserve"> </w:t>
        </w:r>
        <w:r>
          <w:rPr>
            <w:rStyle w:val="Hyperlink"/>
            <w:rFonts w:ascii="Calibri" w:hAnsi="Calibri"/>
            <w:lang w:bidi="ar-EG"/>
          </w:rPr>
          <w:t>2</w:t>
        </w:r>
        <w:r w:rsidRPr="00AA3A23">
          <w:rPr>
            <w:rStyle w:val="Hyperlink"/>
            <w:rFonts w:ascii="Calibri" w:hAnsi="Calibri"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9C1AC5" w:rsidRPr="008C78FB" w:rsidRDefault="009C1AC5" w:rsidP="00F04F99">
      <w:pPr>
        <w:spacing w:before="360"/>
        <w:rPr>
          <w:rtl/>
          <w:lang w:bidi="ar-EG"/>
        </w:rPr>
      </w:pPr>
      <w:r w:rsidRPr="006142B4">
        <w:rPr>
          <w:rFonts w:ascii="Times New Roman" w:hAnsi="Times New Roman"/>
          <w:b/>
          <w:bCs/>
          <w:sz w:val="16"/>
          <w:szCs w:val="22"/>
          <w:rtl/>
          <w:lang w:bidi="ar-EG"/>
        </w:rPr>
        <w:lastRenderedPageBreak/>
        <w:t>التوزيع:</w:t>
      </w:r>
    </w:p>
    <w:p w:rsidR="009C1AC5" w:rsidRPr="002378B0" w:rsidRDefault="009C1AC5" w:rsidP="00334051">
      <w:pPr>
        <w:spacing w:before="60" w:line="180" w:lineRule="auto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9C1AC5" w:rsidRPr="00A64852" w:rsidRDefault="009C1AC5" w:rsidP="00334051">
      <w:pPr>
        <w:spacing w:before="60" w:line="180" w:lineRule="auto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sectPr w:rsidR="009C1AC5" w:rsidRPr="00A64852" w:rsidSect="008B5B5D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E" w:rsidRDefault="00A574FE" w:rsidP="00E07379">
      <w:pPr>
        <w:spacing w:before="0" w:line="240" w:lineRule="auto"/>
      </w:pPr>
      <w:r>
        <w:separator/>
      </w:r>
    </w:p>
  </w:endnote>
  <w:endnote w:type="continuationSeparator" w:id="0">
    <w:p w:rsidR="00A574FE" w:rsidRDefault="00A574F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9C1AC5" w:rsidRDefault="002D4DD1" w:rsidP="009C1AC5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9C1AC5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461CC">
      <w:rPr>
        <w:rFonts w:cs="Times New Roman"/>
        <w:noProof/>
        <w:sz w:val="16"/>
        <w:szCs w:val="16"/>
        <w:lang w:val="es-ES"/>
      </w:rPr>
      <w:t>R:\REFTXT\REFTXT2018\ITU-R\BR\DIR\CR\400\433V2A.DOCX</w:t>
    </w:r>
    <w:r w:rsidRPr="002D4DD1">
      <w:rPr>
        <w:rFonts w:cs="Times New Roman"/>
        <w:noProof/>
        <w:sz w:val="16"/>
        <w:szCs w:val="16"/>
      </w:rPr>
      <w:fldChar w:fldCharType="end"/>
    </w:r>
    <w:r w:rsidRPr="009C1AC5">
      <w:rPr>
        <w:rFonts w:cs="Times New Roman"/>
        <w:sz w:val="16"/>
        <w:szCs w:val="16"/>
        <w:lang w:val="es-ES"/>
      </w:rPr>
      <w:t xml:space="preserve">   (</w:t>
    </w:r>
    <w:r w:rsidR="009C1AC5">
      <w:rPr>
        <w:rFonts w:cs="Times New Roman" w:hint="cs"/>
        <w:sz w:val="16"/>
        <w:szCs w:val="16"/>
        <w:rtl/>
        <w:lang w:val="es-ES"/>
      </w:rPr>
      <w:t>441407</w:t>
    </w:r>
    <w:r w:rsidRPr="009C1AC5">
      <w:rPr>
        <w:rFonts w:cs="Times New Roman"/>
        <w:sz w:val="16"/>
        <w:szCs w:val="16"/>
        <w:lang w:val="es-ES"/>
      </w:rPr>
      <w:t>)</w:t>
    </w:r>
    <w:r w:rsidRPr="009C1AC5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B461CC">
      <w:rPr>
        <w:rFonts w:cs="Times New Roman"/>
        <w:noProof/>
        <w:sz w:val="16"/>
        <w:szCs w:val="16"/>
      </w:rPr>
      <w:t>30.07.18</w:t>
    </w:r>
    <w:r w:rsidRPr="002D4DD1">
      <w:rPr>
        <w:rFonts w:cs="Times New Roman"/>
        <w:sz w:val="16"/>
        <w:szCs w:val="16"/>
      </w:rPr>
      <w:fldChar w:fldCharType="end"/>
    </w:r>
    <w:r w:rsidRPr="009C1AC5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B461CC">
      <w:rPr>
        <w:rFonts w:cs="Times New Roman"/>
        <w:noProof/>
        <w:sz w:val="16"/>
        <w:szCs w:val="16"/>
      </w:rPr>
      <w:t>30.07.18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E" w:rsidRDefault="00CD32F6" w:rsidP="00E07379">
      <w:pPr>
        <w:spacing w:before="0" w:line="240" w:lineRule="auto"/>
        <w:rPr>
          <w:lang w:bidi="ar-EG"/>
        </w:rPr>
      </w:pPr>
      <w:r>
        <w:rPr>
          <w:rFonts w:hint="cs"/>
          <w:rtl/>
          <w:lang w:bidi="ar-EG"/>
        </w:rPr>
        <w:t>___________</w:t>
      </w:r>
    </w:p>
  </w:footnote>
  <w:footnote w:type="continuationSeparator" w:id="0">
    <w:p w:rsidR="00A574FE" w:rsidRDefault="00A574FE" w:rsidP="00E07379">
      <w:pPr>
        <w:spacing w:before="0" w:line="240" w:lineRule="auto"/>
      </w:pPr>
      <w:r>
        <w:continuationSeparator/>
      </w:r>
    </w:p>
  </w:footnote>
  <w:footnote w:id="1">
    <w:p w:rsidR="009C1AC5" w:rsidRDefault="009C1AC5" w:rsidP="00FF60F0">
      <w:pPr>
        <w:pStyle w:val="Footnotetexte"/>
        <w:spacing w:after="120"/>
        <w:rPr>
          <w:rtl/>
          <w:lang w:bidi="ar-SA"/>
        </w:rPr>
      </w:pPr>
      <w:r w:rsidRPr="00784746">
        <w:rPr>
          <w:rStyle w:val="FootnoteReference"/>
          <w:sz w:val="16"/>
          <w:szCs w:val="16"/>
        </w:rPr>
        <w:footnoteRef/>
      </w:r>
      <w:r>
        <w:tab/>
      </w:r>
      <w:hyperlink r:id="rId1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04F99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FE"/>
    <w:rsid w:val="0000422D"/>
    <w:rsid w:val="000124CC"/>
    <w:rsid w:val="000366A0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34051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5603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752C7"/>
    <w:rsid w:val="00783A16"/>
    <w:rsid w:val="0079553D"/>
    <w:rsid w:val="007B01CC"/>
    <w:rsid w:val="007C016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D729E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1AC5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574FE"/>
    <w:rsid w:val="00A64820"/>
    <w:rsid w:val="00A71DD6"/>
    <w:rsid w:val="00A723C7"/>
    <w:rsid w:val="00A80E11"/>
    <w:rsid w:val="00A838FF"/>
    <w:rsid w:val="00A96B78"/>
    <w:rsid w:val="00A97F94"/>
    <w:rsid w:val="00AB1309"/>
    <w:rsid w:val="00AC2C52"/>
    <w:rsid w:val="00AD1503"/>
    <w:rsid w:val="00AE7244"/>
    <w:rsid w:val="00AF3FEE"/>
    <w:rsid w:val="00AF70F6"/>
    <w:rsid w:val="00B02C85"/>
    <w:rsid w:val="00B02F46"/>
    <w:rsid w:val="00B2000C"/>
    <w:rsid w:val="00B20ADE"/>
    <w:rsid w:val="00B461CC"/>
    <w:rsid w:val="00B66B9A"/>
    <w:rsid w:val="00B82089"/>
    <w:rsid w:val="00B970AE"/>
    <w:rsid w:val="00BA1427"/>
    <w:rsid w:val="00BB254A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D32F6"/>
    <w:rsid w:val="00CE2EE1"/>
    <w:rsid w:val="00CF3FFD"/>
    <w:rsid w:val="00CF5ED3"/>
    <w:rsid w:val="00D0494C"/>
    <w:rsid w:val="00D14BEB"/>
    <w:rsid w:val="00D21C89"/>
    <w:rsid w:val="00D45542"/>
    <w:rsid w:val="00D619DB"/>
    <w:rsid w:val="00D67C49"/>
    <w:rsid w:val="00D77D0F"/>
    <w:rsid w:val="00DA1CF0"/>
    <w:rsid w:val="00DB2271"/>
    <w:rsid w:val="00DB5659"/>
    <w:rsid w:val="00DC240C"/>
    <w:rsid w:val="00DC24B4"/>
    <w:rsid w:val="00DC5E81"/>
    <w:rsid w:val="00DD7A05"/>
    <w:rsid w:val="00DE0F10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507D"/>
    <w:rsid w:val="00E7380C"/>
    <w:rsid w:val="00E74BE7"/>
    <w:rsid w:val="00E86CC9"/>
    <w:rsid w:val="00E96624"/>
    <w:rsid w:val="00F018EB"/>
    <w:rsid w:val="00F04F9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DEB22B2-3728-4FEB-9E23-EDB8BE51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9C1AC5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R-REG-ROP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00-CR-CIR-0434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00-CR-CIR-0427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R-CIR-0417/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purl.org/dc/terms/"/>
    <ds:schemaRef ds:uri="de10a323-94a9-4e93-88b4-ea964576960d"/>
    <ds:schemaRef ds:uri="http://www.w3.org/XML/1998/namespace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5AE7F-8482-4C5D-AFEE-D53BE878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PA_BR_CR.dotx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Gozal, Karine</cp:lastModifiedBy>
  <cp:revision>2</cp:revision>
  <cp:lastPrinted>2018-07-30T08:40:00Z</cp:lastPrinted>
  <dcterms:created xsi:type="dcterms:W3CDTF">2018-07-30T08:40:00Z</dcterms:created>
  <dcterms:modified xsi:type="dcterms:W3CDTF">2018-07-30T08:40:00Z</dcterms:modified>
  <cp:category>Conference document</cp:category>
</cp:coreProperties>
</file>