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4647"/>
        <w:gridCol w:w="3716"/>
      </w:tblGrid>
      <w:tr w:rsidR="00E53DCE" w:rsidRPr="00946D3E" w:rsidTr="00306452">
        <w:trPr>
          <w:jc w:val="center"/>
        </w:trPr>
        <w:tc>
          <w:tcPr>
            <w:tcW w:w="9889" w:type="dxa"/>
            <w:gridSpan w:val="3"/>
            <w:shd w:val="clear" w:color="auto" w:fill="auto"/>
          </w:tcPr>
          <w:p w:rsidR="00E53DCE" w:rsidRPr="00946D3E" w:rsidRDefault="00A96D3A" w:rsidP="006160CB">
            <w:pPr>
              <w:spacing w:before="0"/>
              <w:jc w:val="left"/>
              <w:rPr>
                <w:rFonts w:cstheme="minorHAnsi"/>
                <w:b/>
                <w:bCs/>
                <w:color w:val="808080"/>
                <w:sz w:val="28"/>
                <w:szCs w:val="28"/>
                <w:lang w:val="es-ES_tradnl"/>
              </w:rPr>
            </w:pPr>
            <w:r w:rsidRPr="00946D3E">
              <w:rPr>
                <w:rFonts w:cstheme="minorHAnsi"/>
                <w:b/>
                <w:bCs/>
                <w:color w:val="808080"/>
                <w:sz w:val="28"/>
                <w:szCs w:val="28"/>
                <w:lang w:val="es-ES_tradnl"/>
              </w:rPr>
              <w:t>Oficina de Radiocomunicaciones (BR)</w:t>
            </w:r>
          </w:p>
          <w:p w:rsidR="00E53DCE" w:rsidRPr="00946D3E" w:rsidRDefault="00E53DCE" w:rsidP="006160CB">
            <w:pPr>
              <w:spacing w:before="0"/>
              <w:jc w:val="left"/>
              <w:rPr>
                <w:rFonts w:cstheme="minorHAnsi"/>
                <w:b/>
                <w:bCs/>
                <w:color w:val="808080"/>
                <w:sz w:val="28"/>
                <w:szCs w:val="28"/>
                <w:lang w:val="es-ES_tradnl"/>
              </w:rPr>
            </w:pPr>
          </w:p>
          <w:p w:rsidR="00E53DCE" w:rsidRPr="00946D3E" w:rsidRDefault="00E53DCE" w:rsidP="006160CB">
            <w:pPr>
              <w:spacing w:before="0"/>
              <w:jc w:val="left"/>
              <w:rPr>
                <w:rFonts w:cs="Times New Roman Bold"/>
                <w:b/>
                <w:bCs/>
                <w:color w:val="808080"/>
                <w:sz w:val="28"/>
                <w:szCs w:val="28"/>
                <w:lang w:val="es-ES_tradnl"/>
              </w:rPr>
            </w:pPr>
          </w:p>
        </w:tc>
      </w:tr>
      <w:tr w:rsidR="00E53DCE" w:rsidRPr="00946D3E" w:rsidTr="00FE47FA">
        <w:trPr>
          <w:jc w:val="center"/>
        </w:trPr>
        <w:tc>
          <w:tcPr>
            <w:tcW w:w="6173" w:type="dxa"/>
            <w:gridSpan w:val="2"/>
            <w:shd w:val="clear" w:color="auto" w:fill="auto"/>
          </w:tcPr>
          <w:p w:rsidR="00E53DCE" w:rsidRPr="00946D3E" w:rsidRDefault="00AF664B" w:rsidP="006160CB">
            <w:pPr>
              <w:spacing w:before="0"/>
              <w:jc w:val="left"/>
              <w:rPr>
                <w:szCs w:val="24"/>
                <w:lang w:val="es-ES_tradnl"/>
              </w:rPr>
            </w:pPr>
            <w:r w:rsidRPr="00946D3E">
              <w:rPr>
                <w:szCs w:val="24"/>
                <w:lang w:val="es-ES_tradnl"/>
              </w:rPr>
              <w:t>Carta Circular</w:t>
            </w:r>
          </w:p>
          <w:p w:rsidR="00E53DCE" w:rsidRPr="00946D3E" w:rsidRDefault="00E53DCE" w:rsidP="00BE4733">
            <w:pPr>
              <w:spacing w:before="0"/>
              <w:jc w:val="left"/>
              <w:rPr>
                <w:b/>
                <w:bCs/>
                <w:szCs w:val="24"/>
                <w:lang w:val="es-ES_tradnl"/>
              </w:rPr>
            </w:pPr>
            <w:r w:rsidRPr="00946D3E">
              <w:rPr>
                <w:b/>
                <w:bCs/>
                <w:szCs w:val="24"/>
                <w:lang w:val="es-ES_tradnl"/>
              </w:rPr>
              <w:t>C</w:t>
            </w:r>
            <w:r w:rsidR="00AF664B" w:rsidRPr="00946D3E">
              <w:rPr>
                <w:b/>
                <w:bCs/>
                <w:szCs w:val="24"/>
                <w:lang w:val="es-ES_tradnl"/>
              </w:rPr>
              <w:t>R</w:t>
            </w:r>
            <w:r w:rsidRPr="00946D3E">
              <w:rPr>
                <w:b/>
                <w:bCs/>
                <w:szCs w:val="24"/>
                <w:lang w:val="es-ES_tradnl"/>
              </w:rPr>
              <w:t>/</w:t>
            </w:r>
            <w:r w:rsidR="00AF664B" w:rsidRPr="00946D3E">
              <w:rPr>
                <w:b/>
                <w:bCs/>
                <w:szCs w:val="24"/>
                <w:lang w:val="es-ES_tradnl"/>
              </w:rPr>
              <w:t>4</w:t>
            </w:r>
            <w:r w:rsidR="00BE4733" w:rsidRPr="00946D3E">
              <w:rPr>
                <w:b/>
                <w:bCs/>
                <w:szCs w:val="24"/>
                <w:lang w:val="es-ES_tradnl"/>
              </w:rPr>
              <w:t>20</w:t>
            </w:r>
          </w:p>
        </w:tc>
        <w:tc>
          <w:tcPr>
            <w:tcW w:w="3716" w:type="dxa"/>
            <w:shd w:val="clear" w:color="auto" w:fill="auto"/>
          </w:tcPr>
          <w:p w:rsidR="00E53DCE" w:rsidRPr="00946D3E" w:rsidRDefault="00FE47FA" w:rsidP="00BE4733">
            <w:pPr>
              <w:spacing w:before="0"/>
              <w:jc w:val="right"/>
              <w:rPr>
                <w:szCs w:val="24"/>
                <w:lang w:val="es-ES_tradnl"/>
              </w:rPr>
            </w:pPr>
            <w:r w:rsidRPr="00946D3E">
              <w:rPr>
                <w:bCs/>
                <w:szCs w:val="24"/>
                <w:lang w:val="es-ES_tradnl"/>
              </w:rPr>
              <w:t xml:space="preserve">Ginebra, </w:t>
            </w:r>
            <w:r w:rsidR="00BE4733" w:rsidRPr="00946D3E">
              <w:rPr>
                <w:bCs/>
                <w:szCs w:val="24"/>
                <w:lang w:val="es-ES_tradnl"/>
              </w:rPr>
              <w:t>31</w:t>
            </w:r>
            <w:r w:rsidR="00AF664B" w:rsidRPr="00946D3E">
              <w:rPr>
                <w:bCs/>
                <w:szCs w:val="24"/>
                <w:lang w:val="es-ES_tradnl"/>
              </w:rPr>
              <w:t xml:space="preserve"> de </w:t>
            </w:r>
            <w:r w:rsidR="00BE4733" w:rsidRPr="00946D3E">
              <w:rPr>
                <w:bCs/>
                <w:szCs w:val="24"/>
                <w:lang w:val="es-ES_tradnl"/>
              </w:rPr>
              <w:t>agosto</w:t>
            </w:r>
            <w:r w:rsidR="00AF664B" w:rsidRPr="00946D3E">
              <w:rPr>
                <w:bCs/>
                <w:szCs w:val="24"/>
                <w:lang w:val="es-ES_tradnl"/>
              </w:rPr>
              <w:t xml:space="preserve"> de 201</w:t>
            </w:r>
            <w:r w:rsidR="00DE24EA" w:rsidRPr="00946D3E">
              <w:rPr>
                <w:bCs/>
                <w:szCs w:val="24"/>
                <w:lang w:val="es-ES_tradnl"/>
              </w:rPr>
              <w:t>7</w:t>
            </w:r>
          </w:p>
        </w:tc>
      </w:tr>
      <w:tr w:rsidR="00E53DCE" w:rsidRPr="00946D3E" w:rsidTr="00306452">
        <w:trPr>
          <w:jc w:val="center"/>
        </w:trPr>
        <w:tc>
          <w:tcPr>
            <w:tcW w:w="9889" w:type="dxa"/>
            <w:gridSpan w:val="3"/>
            <w:shd w:val="clear" w:color="auto" w:fill="auto"/>
          </w:tcPr>
          <w:p w:rsidR="00E53DCE" w:rsidRPr="00946D3E" w:rsidRDefault="00E53DCE" w:rsidP="006160CB">
            <w:pPr>
              <w:spacing w:before="0"/>
              <w:jc w:val="left"/>
              <w:rPr>
                <w:rFonts w:cs="Arial"/>
                <w:szCs w:val="24"/>
                <w:lang w:val="es-ES_tradnl"/>
              </w:rPr>
            </w:pPr>
          </w:p>
        </w:tc>
      </w:tr>
      <w:tr w:rsidR="00E53DCE" w:rsidRPr="00946D3E" w:rsidTr="00306452">
        <w:trPr>
          <w:jc w:val="center"/>
        </w:trPr>
        <w:tc>
          <w:tcPr>
            <w:tcW w:w="9889" w:type="dxa"/>
            <w:gridSpan w:val="3"/>
            <w:shd w:val="clear" w:color="auto" w:fill="auto"/>
          </w:tcPr>
          <w:p w:rsidR="00E53DCE" w:rsidRPr="00946D3E" w:rsidRDefault="00E53DCE" w:rsidP="006160CB">
            <w:pPr>
              <w:spacing w:before="0"/>
              <w:jc w:val="left"/>
              <w:rPr>
                <w:szCs w:val="24"/>
                <w:lang w:val="es-ES_tradnl"/>
              </w:rPr>
            </w:pPr>
          </w:p>
        </w:tc>
      </w:tr>
      <w:tr w:rsidR="00E53DCE" w:rsidRPr="008118A0" w:rsidTr="00306452">
        <w:trPr>
          <w:jc w:val="center"/>
        </w:trPr>
        <w:tc>
          <w:tcPr>
            <w:tcW w:w="9889" w:type="dxa"/>
            <w:gridSpan w:val="3"/>
            <w:shd w:val="clear" w:color="auto" w:fill="auto"/>
          </w:tcPr>
          <w:p w:rsidR="00E53DCE" w:rsidRPr="00946D3E" w:rsidRDefault="00FE4822" w:rsidP="006160CB">
            <w:pPr>
              <w:spacing w:before="0"/>
              <w:jc w:val="left"/>
              <w:rPr>
                <w:b/>
                <w:bCs/>
                <w:szCs w:val="24"/>
                <w:lang w:val="es-ES_tradnl"/>
              </w:rPr>
            </w:pPr>
            <w:r w:rsidRPr="00946D3E">
              <w:rPr>
                <w:b/>
                <w:szCs w:val="24"/>
                <w:lang w:val="es-ES_tradnl"/>
              </w:rPr>
              <w:t>A las Administraciones de los Estados Miembros de la UIT</w:t>
            </w:r>
          </w:p>
          <w:p w:rsidR="00E53DCE" w:rsidRPr="00946D3E" w:rsidRDefault="00E53DCE" w:rsidP="006160CB">
            <w:pPr>
              <w:spacing w:before="0"/>
              <w:jc w:val="left"/>
              <w:rPr>
                <w:b/>
                <w:bCs/>
                <w:szCs w:val="24"/>
                <w:lang w:val="es-ES_tradnl"/>
              </w:rPr>
            </w:pPr>
          </w:p>
        </w:tc>
      </w:tr>
      <w:tr w:rsidR="00E53DCE" w:rsidRPr="008118A0" w:rsidTr="00306452">
        <w:trPr>
          <w:jc w:val="center"/>
        </w:trPr>
        <w:tc>
          <w:tcPr>
            <w:tcW w:w="9889" w:type="dxa"/>
            <w:gridSpan w:val="3"/>
            <w:shd w:val="clear" w:color="auto" w:fill="auto"/>
          </w:tcPr>
          <w:p w:rsidR="00E53DCE" w:rsidRPr="00946D3E" w:rsidRDefault="00E53DCE" w:rsidP="006160CB">
            <w:pPr>
              <w:spacing w:before="0"/>
              <w:jc w:val="left"/>
              <w:rPr>
                <w:szCs w:val="24"/>
                <w:lang w:val="es-ES_tradnl"/>
              </w:rPr>
            </w:pPr>
          </w:p>
        </w:tc>
      </w:tr>
      <w:tr w:rsidR="00E53DCE" w:rsidRPr="008118A0" w:rsidTr="00306452">
        <w:trPr>
          <w:jc w:val="center"/>
        </w:trPr>
        <w:tc>
          <w:tcPr>
            <w:tcW w:w="9889" w:type="dxa"/>
            <w:gridSpan w:val="3"/>
            <w:shd w:val="clear" w:color="auto" w:fill="auto"/>
          </w:tcPr>
          <w:p w:rsidR="00E53DCE" w:rsidRPr="00946D3E" w:rsidRDefault="00E53DCE" w:rsidP="006160CB">
            <w:pPr>
              <w:spacing w:before="0"/>
              <w:jc w:val="left"/>
              <w:rPr>
                <w:szCs w:val="24"/>
                <w:lang w:val="es-ES_tradnl"/>
              </w:rPr>
            </w:pPr>
          </w:p>
        </w:tc>
      </w:tr>
      <w:tr w:rsidR="00E53DCE" w:rsidRPr="008118A0" w:rsidTr="00306452">
        <w:trPr>
          <w:jc w:val="center"/>
        </w:trPr>
        <w:tc>
          <w:tcPr>
            <w:tcW w:w="1526" w:type="dxa"/>
            <w:shd w:val="clear" w:color="auto" w:fill="auto"/>
          </w:tcPr>
          <w:p w:rsidR="00E53DCE" w:rsidRPr="00946D3E" w:rsidRDefault="00311970" w:rsidP="006160CB">
            <w:pPr>
              <w:tabs>
                <w:tab w:val="clear" w:pos="1588"/>
                <w:tab w:val="left" w:pos="1560"/>
              </w:tabs>
              <w:spacing w:before="0"/>
              <w:jc w:val="left"/>
              <w:rPr>
                <w:szCs w:val="24"/>
                <w:lang w:val="es-ES_tradnl"/>
              </w:rPr>
            </w:pPr>
            <w:r w:rsidRPr="00946D3E">
              <w:rPr>
                <w:szCs w:val="24"/>
                <w:lang w:val="es-ES_tradnl"/>
              </w:rPr>
              <w:t>Asunto:</w:t>
            </w:r>
          </w:p>
        </w:tc>
        <w:tc>
          <w:tcPr>
            <w:tcW w:w="8363" w:type="dxa"/>
            <w:gridSpan w:val="2"/>
            <w:vMerge w:val="restart"/>
            <w:shd w:val="clear" w:color="auto" w:fill="auto"/>
          </w:tcPr>
          <w:p w:rsidR="00E53DCE" w:rsidRPr="00946D3E" w:rsidRDefault="00AF664B" w:rsidP="00BE4733">
            <w:pPr>
              <w:tabs>
                <w:tab w:val="clear" w:pos="1588"/>
                <w:tab w:val="left" w:pos="1560"/>
              </w:tabs>
              <w:spacing w:before="0"/>
              <w:jc w:val="left"/>
              <w:rPr>
                <w:b/>
                <w:bCs/>
                <w:szCs w:val="24"/>
                <w:lang w:val="es-ES_tradnl"/>
              </w:rPr>
            </w:pPr>
            <w:r w:rsidRPr="00946D3E">
              <w:rPr>
                <w:b/>
                <w:bCs/>
                <w:szCs w:val="24"/>
                <w:lang w:val="es-ES_tradnl"/>
              </w:rPr>
              <w:t xml:space="preserve">Aplicación del </w:t>
            </w:r>
            <w:r w:rsidR="00BE4733" w:rsidRPr="00946D3E">
              <w:rPr>
                <w:b/>
                <w:bCs/>
                <w:szCs w:val="24"/>
                <w:lang w:val="es-ES_tradnl"/>
              </w:rPr>
              <w:t>número 9.3 del Reglamento de Radiocomunicaciones en las bandas 2 025-2 110 MHz (Tierra-espacio) y 2 200-2 290 MHz (espacio-Tierra)</w:t>
            </w:r>
          </w:p>
        </w:tc>
      </w:tr>
      <w:tr w:rsidR="00E53DCE" w:rsidRPr="008118A0" w:rsidTr="00306452">
        <w:trPr>
          <w:jc w:val="center"/>
        </w:trPr>
        <w:tc>
          <w:tcPr>
            <w:tcW w:w="1526" w:type="dxa"/>
            <w:shd w:val="clear" w:color="auto" w:fill="auto"/>
          </w:tcPr>
          <w:p w:rsidR="00E53DCE" w:rsidRPr="00946D3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946D3E" w:rsidRDefault="00E53DCE" w:rsidP="006160CB">
            <w:pPr>
              <w:tabs>
                <w:tab w:val="clear" w:pos="1588"/>
                <w:tab w:val="left" w:pos="1560"/>
              </w:tabs>
              <w:spacing w:before="0"/>
              <w:rPr>
                <w:b/>
                <w:bCs/>
                <w:szCs w:val="24"/>
                <w:lang w:val="es-ES_tradnl"/>
              </w:rPr>
            </w:pPr>
          </w:p>
        </w:tc>
      </w:tr>
      <w:tr w:rsidR="00E53DCE" w:rsidRPr="008118A0" w:rsidTr="00306452">
        <w:trPr>
          <w:jc w:val="center"/>
        </w:trPr>
        <w:tc>
          <w:tcPr>
            <w:tcW w:w="1526" w:type="dxa"/>
            <w:shd w:val="clear" w:color="auto" w:fill="auto"/>
          </w:tcPr>
          <w:p w:rsidR="00E53DCE" w:rsidRPr="00946D3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946D3E" w:rsidRDefault="00E53DCE" w:rsidP="006160CB">
            <w:pPr>
              <w:tabs>
                <w:tab w:val="clear" w:pos="1588"/>
                <w:tab w:val="left" w:pos="1560"/>
              </w:tabs>
              <w:spacing w:before="0"/>
              <w:rPr>
                <w:b/>
                <w:bCs/>
                <w:szCs w:val="24"/>
                <w:lang w:val="es-ES_tradnl"/>
              </w:rPr>
            </w:pPr>
          </w:p>
        </w:tc>
      </w:tr>
    </w:tbl>
    <w:p w:rsidR="00BE4733" w:rsidRPr="00946D3E" w:rsidRDefault="00BE4733" w:rsidP="00DE24EA">
      <w:pPr>
        <w:rPr>
          <w:lang w:val="es-ES_tradnl"/>
        </w:rPr>
      </w:pPr>
      <w:r w:rsidRPr="00946D3E">
        <w:rPr>
          <w:lang w:val="es-ES_tradnl"/>
        </w:rPr>
        <w:t xml:space="preserve">La Oficina de Radiocomunicaciones ha observado un número creciente de presentaciones para Publicación Anticipada en virtud del número </w:t>
      </w:r>
      <w:r w:rsidRPr="00946D3E">
        <w:rPr>
          <w:b/>
          <w:bCs/>
          <w:lang w:val="es-ES_tradnl"/>
        </w:rPr>
        <w:t>9.1</w:t>
      </w:r>
      <w:r w:rsidRPr="00946D3E">
        <w:rPr>
          <w:lang w:val="es-ES_tradnl"/>
        </w:rPr>
        <w:t xml:space="preserve"> del Reglamento de Radiocomunicaciones que contienen información genérica. Esta Carta Circular aborda las dificultades derivadas de esta evolución en el proceso de consulta en aplicación del número </w:t>
      </w:r>
      <w:r w:rsidRPr="00946D3E">
        <w:rPr>
          <w:b/>
          <w:bCs/>
          <w:lang w:val="es-ES_tradnl"/>
        </w:rPr>
        <w:t>9.3</w:t>
      </w:r>
      <w:r w:rsidR="00A42DA6" w:rsidRPr="00946D3E">
        <w:rPr>
          <w:lang w:val="es-ES_tradnl"/>
        </w:rPr>
        <w:t>.</w:t>
      </w:r>
    </w:p>
    <w:p w:rsidR="00BE4733" w:rsidRPr="00946D3E" w:rsidRDefault="00BE4733" w:rsidP="00BE4733">
      <w:pPr>
        <w:rPr>
          <w:lang w:val="es-ES_tradnl"/>
        </w:rPr>
      </w:pPr>
      <w:r w:rsidRPr="00946D3E">
        <w:rPr>
          <w:lang w:val="es-ES_tradnl"/>
        </w:rPr>
        <w:t xml:space="preserve">La Oficina desea hacer hincapié en que el objetivo del proceso de cooperación con arreglo a los números </w:t>
      </w:r>
      <w:r w:rsidRPr="00946D3E">
        <w:rPr>
          <w:b/>
          <w:bCs/>
          <w:lang w:val="es-ES_tradnl"/>
        </w:rPr>
        <w:t>9.3</w:t>
      </w:r>
      <w:r w:rsidRPr="00946D3E">
        <w:rPr>
          <w:lang w:val="es-ES_tradnl"/>
        </w:rPr>
        <w:t xml:space="preserve"> y </w:t>
      </w:r>
      <w:r w:rsidRPr="00946D3E">
        <w:rPr>
          <w:b/>
          <w:bCs/>
          <w:lang w:val="es-ES_tradnl"/>
        </w:rPr>
        <w:t>9.4</w:t>
      </w:r>
      <w:r w:rsidRPr="00946D3E">
        <w:rPr>
          <w:lang w:val="es-ES_tradnl"/>
        </w:rPr>
        <w:t xml:space="preserve"> es ofrecer oportunidades para que las administraciones ajusten las características de sus asignaciones de frecuencias teniendo en cuenta los comentarios recibidos de las demás administraciones antes de remitir las notificaciones en aplicación del Artículo 11 y ponerlas en servicio, con el fin de evitar la interferencia perjudicial durante su funcionamiento. La falta de información específica en la información de publicación anticip</w:t>
      </w:r>
      <w:bookmarkStart w:id="0" w:name="_GoBack"/>
      <w:bookmarkEnd w:id="0"/>
      <w:r w:rsidRPr="00946D3E">
        <w:rPr>
          <w:lang w:val="es-ES_tradnl"/>
        </w:rPr>
        <w:t xml:space="preserve">ada (API) publicada con arreglo al número </w:t>
      </w:r>
      <w:r w:rsidRPr="00946D3E">
        <w:rPr>
          <w:b/>
          <w:bCs/>
          <w:lang w:val="es-ES_tradnl"/>
        </w:rPr>
        <w:t>9.2B</w:t>
      </w:r>
      <w:r w:rsidRPr="00946D3E">
        <w:rPr>
          <w:lang w:val="es-ES_tradnl"/>
        </w:rPr>
        <w:t xml:space="preserve"> hace que este proceso de cooperación sea más largo y más difícil.</w:t>
      </w:r>
    </w:p>
    <w:p w:rsidR="009D5E15" w:rsidRPr="00946D3E" w:rsidRDefault="00BE4733" w:rsidP="00D11215">
      <w:pPr>
        <w:rPr>
          <w:lang w:val="es-ES_tradnl"/>
        </w:rPr>
      </w:pPr>
      <w:r w:rsidRPr="00946D3E">
        <w:rPr>
          <w:lang w:val="es-ES_tradnl"/>
        </w:rPr>
        <w:t xml:space="preserve">Las bandas de frecuencias 2 025-2 110 MHz (Tierra-espacio) y 2 200-2 290 MHz (espacio-Tierra) no están sujetas a un procedimiento de coordinación con arreglo a la Sección II del Artículo 9 cuando son utilizadas por satélites no OSG. </w:t>
      </w:r>
      <w:r w:rsidR="009D5E15" w:rsidRPr="00946D3E">
        <w:rPr>
          <w:lang w:val="es-ES_tradnl"/>
        </w:rPr>
        <w:t xml:space="preserve">De hecho, estas bandas son las más comunes para </w:t>
      </w:r>
      <w:r w:rsidR="00D11215" w:rsidRPr="00946D3E">
        <w:rPr>
          <w:lang w:val="es-ES_tradnl"/>
        </w:rPr>
        <w:t xml:space="preserve">las operaciones espaciales </w:t>
      </w:r>
      <w:r w:rsidR="009D5E15" w:rsidRPr="00946D3E">
        <w:rPr>
          <w:lang w:val="es-ES_tradnl"/>
        </w:rPr>
        <w:t xml:space="preserve">de las redes de satélites no OSG. Teniendo en cuenta que dicho funcionamiento es, en general, de duración limitada, requiere poco ancho de banda (típicamente unos pocos megahercios) y se limita a un número limitado de estaciones terrenas, el proceso con arreglo a los números </w:t>
      </w:r>
      <w:r w:rsidR="009D5E15" w:rsidRPr="00946D3E">
        <w:rPr>
          <w:b/>
          <w:bCs/>
          <w:lang w:val="es-ES_tradnl"/>
        </w:rPr>
        <w:t>9.3</w:t>
      </w:r>
      <w:r w:rsidR="009D5E15" w:rsidRPr="00946D3E">
        <w:rPr>
          <w:lang w:val="es-ES_tradnl"/>
        </w:rPr>
        <w:t xml:space="preserve"> y </w:t>
      </w:r>
      <w:r w:rsidR="009D5E15" w:rsidRPr="00946D3E">
        <w:rPr>
          <w:b/>
          <w:bCs/>
          <w:lang w:val="es-ES_tradnl"/>
        </w:rPr>
        <w:t>9.4</w:t>
      </w:r>
      <w:r w:rsidR="009D5E15" w:rsidRPr="00946D3E">
        <w:rPr>
          <w:lang w:val="es-ES_tradnl"/>
        </w:rPr>
        <w:t xml:space="preserve"> podría facilitarse en caso de que se proporcionara información específica en la fase de la API. En este caso, los comentarios con arreglo al número </w:t>
      </w:r>
      <w:r w:rsidR="009D5E15" w:rsidRPr="00946D3E">
        <w:rPr>
          <w:b/>
          <w:bCs/>
          <w:lang w:val="es-ES_tradnl"/>
        </w:rPr>
        <w:t>9.3</w:t>
      </w:r>
      <w:r w:rsidR="009D5E15" w:rsidRPr="00946D3E">
        <w:rPr>
          <w:lang w:val="es-ES_tradnl"/>
        </w:rPr>
        <w:t xml:space="preserve"> podrían resultar innecesarios y, aunque el número de satélites que funciona en estas bandas es elevado, el número de comentarios enviados por las administraciones en relación con las nuevas API podría ser relativamente limitado y centra</w:t>
      </w:r>
      <w:r w:rsidR="00D11215" w:rsidRPr="00946D3E">
        <w:rPr>
          <w:lang w:val="es-ES_tradnl"/>
        </w:rPr>
        <w:t>rse</w:t>
      </w:r>
      <w:r w:rsidR="009D5E15" w:rsidRPr="00946D3E">
        <w:rPr>
          <w:lang w:val="es-ES_tradnl"/>
        </w:rPr>
        <w:t xml:space="preserve"> en </w:t>
      </w:r>
      <w:r w:rsidR="00D11215" w:rsidRPr="00946D3E">
        <w:rPr>
          <w:lang w:val="es-ES_tradnl"/>
        </w:rPr>
        <w:t xml:space="preserve">los </w:t>
      </w:r>
      <w:r w:rsidR="009D5E15" w:rsidRPr="00946D3E">
        <w:rPr>
          <w:lang w:val="es-ES_tradnl"/>
        </w:rPr>
        <w:t xml:space="preserve">casos </w:t>
      </w:r>
      <w:r w:rsidR="00D11215" w:rsidRPr="00946D3E">
        <w:rPr>
          <w:lang w:val="es-ES_tradnl"/>
        </w:rPr>
        <w:t>más importantes</w:t>
      </w:r>
      <w:r w:rsidR="009D5E15" w:rsidRPr="00946D3E">
        <w:rPr>
          <w:lang w:val="es-ES_tradnl"/>
        </w:rPr>
        <w:t>.</w:t>
      </w:r>
    </w:p>
    <w:p w:rsidR="009D5E15" w:rsidRPr="00946D3E" w:rsidRDefault="009D5E15" w:rsidP="00D11215">
      <w:pPr>
        <w:rPr>
          <w:lang w:val="es-ES_tradnl"/>
        </w:rPr>
      </w:pPr>
      <w:r w:rsidRPr="00946D3E">
        <w:rPr>
          <w:lang w:val="es-ES_tradnl"/>
        </w:rPr>
        <w:t>Este escenario se basa en la presunción de que una administración que analice una nueva API pued</w:t>
      </w:r>
      <w:r w:rsidR="00D11215" w:rsidRPr="00946D3E">
        <w:rPr>
          <w:lang w:val="es-ES_tradnl"/>
        </w:rPr>
        <w:t>a</w:t>
      </w:r>
      <w:r w:rsidRPr="00946D3E">
        <w:rPr>
          <w:lang w:val="es-ES_tradnl"/>
        </w:rPr>
        <w:t xml:space="preserve"> </w:t>
      </w:r>
      <w:proofErr w:type="gramStart"/>
      <w:r w:rsidRPr="00946D3E">
        <w:rPr>
          <w:lang w:val="es-ES_tradnl"/>
        </w:rPr>
        <w:t>encontrar</w:t>
      </w:r>
      <w:proofErr w:type="gramEnd"/>
      <w:r w:rsidRPr="00946D3E">
        <w:rPr>
          <w:lang w:val="es-ES_tradnl"/>
        </w:rPr>
        <w:t xml:space="preserve"> suficiente información específica y detallada. Esto permitiría en la mayoría de los casos descartar directamente todo riesgo de interferencia y, por tanto, se reducirían la carga administrativa ligada a la elaboración de un comentario a la API y la</w:t>
      </w:r>
      <w:r w:rsidR="001D6469" w:rsidRPr="00946D3E">
        <w:rPr>
          <w:lang w:val="es-ES_tradnl"/>
        </w:rPr>
        <w:t>s</w:t>
      </w:r>
      <w:r w:rsidRPr="00946D3E">
        <w:rPr>
          <w:lang w:val="es-ES_tradnl"/>
        </w:rPr>
        <w:t xml:space="preserve"> </w:t>
      </w:r>
      <w:r w:rsidR="001D6469" w:rsidRPr="00946D3E">
        <w:rPr>
          <w:lang w:val="es-ES_tradnl"/>
        </w:rPr>
        <w:t>interacciones</w:t>
      </w:r>
      <w:r w:rsidRPr="00946D3E">
        <w:rPr>
          <w:lang w:val="es-ES_tradnl"/>
        </w:rPr>
        <w:t xml:space="preserve"> con la administración notificante.</w:t>
      </w:r>
    </w:p>
    <w:p w:rsidR="001D6469" w:rsidRPr="00946D3E" w:rsidRDefault="001D6469" w:rsidP="001D6469">
      <w:pPr>
        <w:rPr>
          <w:szCs w:val="24"/>
          <w:lang w:val="es-ES_tradnl" w:eastAsia="zh-CN"/>
        </w:rPr>
      </w:pPr>
      <w:bookmarkStart w:id="1" w:name="lt_pId033"/>
      <w:r w:rsidRPr="00946D3E">
        <w:rPr>
          <w:szCs w:val="24"/>
          <w:lang w:val="es-ES_tradnl" w:eastAsia="zh-CN"/>
        </w:rPr>
        <w:lastRenderedPageBreak/>
        <w:t>Esta simplificación de la actividad de coordinación no funciona sin embargo si la nueva API incluye toda la banda atribuida a la operación espacial (</w:t>
      </w:r>
      <w:r w:rsidRPr="00946D3E">
        <w:rPr>
          <w:szCs w:val="24"/>
          <w:lang w:val="es-ES_tradnl"/>
        </w:rPr>
        <w:t>2 025-2 110 MHz y 2 200</w:t>
      </w:r>
      <w:r w:rsidRPr="00946D3E">
        <w:rPr>
          <w:szCs w:val="24"/>
          <w:lang w:val="es-ES_tradnl"/>
        </w:rPr>
        <w:noBreakHyphen/>
        <w:t>2 290 MHz)</w:t>
      </w:r>
      <w:r w:rsidRPr="00946D3E">
        <w:rPr>
          <w:szCs w:val="24"/>
          <w:lang w:val="es-ES_tradnl" w:eastAsia="zh-CN"/>
        </w:rPr>
        <w:t>, una tendencia que la Oficina ha observado en numerosas presentaciones API recientes.</w:t>
      </w:r>
      <w:bookmarkEnd w:id="1"/>
    </w:p>
    <w:p w:rsidR="001D6469" w:rsidRPr="00946D3E" w:rsidRDefault="001D6469" w:rsidP="001D6469">
      <w:pPr>
        <w:rPr>
          <w:szCs w:val="24"/>
          <w:lang w:val="es-ES_tradnl"/>
        </w:rPr>
      </w:pPr>
      <w:bookmarkStart w:id="2" w:name="lt_pId034"/>
      <w:r w:rsidRPr="00946D3E">
        <w:rPr>
          <w:szCs w:val="24"/>
          <w:lang w:val="es-ES_tradnl"/>
        </w:rPr>
        <w:t>Otras tendencias de parámetros genéricos recibidos en las presentaciones de API recientes incluyen:</w:t>
      </w:r>
      <w:bookmarkEnd w:id="2"/>
    </w:p>
    <w:p w:rsidR="001D6469" w:rsidRPr="00946D3E" w:rsidRDefault="00145F12" w:rsidP="00145F12">
      <w:pPr>
        <w:pStyle w:val="enumlev1"/>
        <w:rPr>
          <w:lang w:val="es-ES_tradnl"/>
        </w:rPr>
      </w:pPr>
      <w:bookmarkStart w:id="3" w:name="lt_pId035"/>
      <w:r w:rsidRPr="00946D3E">
        <w:rPr>
          <w:lang w:val="es-ES_tradnl"/>
        </w:rPr>
        <w:t>•</w:t>
      </w:r>
      <w:r w:rsidRPr="00946D3E">
        <w:rPr>
          <w:lang w:val="es-ES_tradnl"/>
        </w:rPr>
        <w:tab/>
      </w:r>
      <w:proofErr w:type="gramStart"/>
      <w:r w:rsidRPr="00946D3E">
        <w:rPr>
          <w:lang w:val="es-ES_tradnl"/>
        </w:rPr>
        <w:t>los</w:t>
      </w:r>
      <w:proofErr w:type="gramEnd"/>
      <w:r w:rsidRPr="00946D3E">
        <w:rPr>
          <w:lang w:val="es-ES_tradnl"/>
        </w:rPr>
        <w:t xml:space="preserve"> </w:t>
      </w:r>
      <w:r w:rsidR="001D6469" w:rsidRPr="00946D3E">
        <w:rPr>
          <w:lang w:val="es-ES_tradnl"/>
        </w:rPr>
        <w:t>parámetros orbitales incluyen una amplia gama de órbitas, cada una de ellas con un gran número de satélites;</w:t>
      </w:r>
      <w:bookmarkEnd w:id="3"/>
    </w:p>
    <w:p w:rsidR="001D6469" w:rsidRPr="00946D3E" w:rsidRDefault="00145F12" w:rsidP="00145F12">
      <w:pPr>
        <w:pStyle w:val="enumlev1"/>
        <w:rPr>
          <w:lang w:val="es-ES_tradnl"/>
        </w:rPr>
      </w:pPr>
      <w:bookmarkStart w:id="4" w:name="lt_pId036"/>
      <w:r w:rsidRPr="00946D3E">
        <w:rPr>
          <w:lang w:val="es-ES_tradnl"/>
        </w:rPr>
        <w:t>•</w:t>
      </w:r>
      <w:r w:rsidRPr="00946D3E">
        <w:rPr>
          <w:lang w:val="es-ES_tradnl"/>
        </w:rPr>
        <w:tab/>
      </w:r>
      <w:proofErr w:type="gramStart"/>
      <w:r w:rsidRPr="00946D3E">
        <w:rPr>
          <w:lang w:val="es-ES_tradnl"/>
        </w:rPr>
        <w:t>la</w:t>
      </w:r>
      <w:proofErr w:type="gramEnd"/>
      <w:r w:rsidRPr="00946D3E">
        <w:rPr>
          <w:lang w:val="es-ES_tradnl"/>
        </w:rPr>
        <w:t xml:space="preserve"> </w:t>
      </w:r>
      <w:r w:rsidR="001D6469" w:rsidRPr="00946D3E">
        <w:rPr>
          <w:lang w:val="es-ES_tradnl"/>
        </w:rPr>
        <w:t>zona de servicio se define como toda la superficie de la Tierra;</w:t>
      </w:r>
      <w:bookmarkEnd w:id="4"/>
    </w:p>
    <w:p w:rsidR="001D6469" w:rsidRPr="00946D3E" w:rsidRDefault="00145F12" w:rsidP="00145F12">
      <w:pPr>
        <w:pStyle w:val="enumlev1"/>
        <w:rPr>
          <w:lang w:val="es-ES_tradnl"/>
        </w:rPr>
      </w:pPr>
      <w:bookmarkStart w:id="5" w:name="lt_pId037"/>
      <w:r w:rsidRPr="00946D3E">
        <w:rPr>
          <w:lang w:val="es-ES_tradnl"/>
        </w:rPr>
        <w:t>•</w:t>
      </w:r>
      <w:r w:rsidRPr="00946D3E">
        <w:rPr>
          <w:lang w:val="es-ES_tradnl"/>
        </w:rPr>
        <w:tab/>
      </w:r>
      <w:proofErr w:type="gramStart"/>
      <w:r w:rsidRPr="00946D3E">
        <w:rPr>
          <w:lang w:val="es-ES_tradnl"/>
        </w:rPr>
        <w:t>no</w:t>
      </w:r>
      <w:proofErr w:type="gramEnd"/>
      <w:r w:rsidRPr="00946D3E">
        <w:rPr>
          <w:lang w:val="es-ES_tradnl"/>
        </w:rPr>
        <w:t xml:space="preserve"> </w:t>
      </w:r>
      <w:r w:rsidR="001D6469" w:rsidRPr="00946D3E">
        <w:rPr>
          <w:lang w:val="es-ES_tradnl"/>
        </w:rPr>
        <w:t>se facilitan estaciones terrenas específicas (sólo las estaciones típicas); y</w:t>
      </w:r>
      <w:bookmarkEnd w:id="5"/>
    </w:p>
    <w:p w:rsidR="001D6469" w:rsidRPr="00946D3E" w:rsidRDefault="00145F12" w:rsidP="00145F12">
      <w:pPr>
        <w:pStyle w:val="enumlev1"/>
        <w:rPr>
          <w:lang w:val="es-ES_tradnl"/>
        </w:rPr>
      </w:pPr>
      <w:bookmarkStart w:id="6" w:name="lt_pId039"/>
      <w:r w:rsidRPr="00946D3E">
        <w:rPr>
          <w:lang w:val="es-ES_tradnl"/>
        </w:rPr>
        <w:t>•</w:t>
      </w:r>
      <w:r w:rsidRPr="00946D3E">
        <w:rPr>
          <w:lang w:val="es-ES_tradnl"/>
        </w:rPr>
        <w:tab/>
      </w:r>
      <w:proofErr w:type="gramStart"/>
      <w:r w:rsidRPr="00946D3E">
        <w:rPr>
          <w:lang w:val="es-ES_tradnl"/>
        </w:rPr>
        <w:t>los</w:t>
      </w:r>
      <w:proofErr w:type="gramEnd"/>
      <w:r w:rsidRPr="00946D3E">
        <w:rPr>
          <w:lang w:val="es-ES_tradnl"/>
        </w:rPr>
        <w:t xml:space="preserve"> </w:t>
      </w:r>
      <w:r w:rsidR="001D6469" w:rsidRPr="00946D3E">
        <w:rPr>
          <w:lang w:val="es-ES_tradnl"/>
        </w:rPr>
        <w:t>niveles de potencia/p.i.r.e. y los anchos de banda de la señal abarcan grandes gamas.</w:t>
      </w:r>
      <w:bookmarkEnd w:id="6"/>
    </w:p>
    <w:p w:rsidR="001D6469" w:rsidRPr="00946D3E" w:rsidRDefault="001D6469" w:rsidP="002B6A6F">
      <w:pPr>
        <w:rPr>
          <w:szCs w:val="24"/>
          <w:lang w:val="es-ES_tradnl"/>
        </w:rPr>
      </w:pPr>
      <w:bookmarkStart w:id="7" w:name="lt_pId040"/>
      <w:r w:rsidRPr="00946D3E">
        <w:rPr>
          <w:szCs w:val="24"/>
          <w:lang w:val="es-ES_tradnl"/>
        </w:rPr>
        <w:t>Frente a las API genéricas, las administraciones/operadores pueden optar por formular comentarios genéricos declarando que podría causarse interferencia perjudicial a tod</w:t>
      </w:r>
      <w:r w:rsidR="002B6A6F" w:rsidRPr="00946D3E">
        <w:rPr>
          <w:szCs w:val="24"/>
          <w:lang w:val="es-ES_tradnl"/>
        </w:rPr>
        <w:t>a</w:t>
      </w:r>
      <w:r w:rsidRPr="00946D3E">
        <w:rPr>
          <w:szCs w:val="24"/>
          <w:lang w:val="es-ES_tradnl"/>
        </w:rPr>
        <w:t xml:space="preserve">s sus redes de satélites existentes o planificadas que funcionan en estas bandas, o bien por considerar que cualquier comentario es inútil habida cuenta de la falta de información en la API. En ambos casos, </w:t>
      </w:r>
      <w:r w:rsidR="00D667A6" w:rsidRPr="00946D3E">
        <w:rPr>
          <w:szCs w:val="24"/>
          <w:lang w:val="es-ES_tradnl"/>
        </w:rPr>
        <w:t xml:space="preserve">no se alcanzará </w:t>
      </w:r>
      <w:r w:rsidRPr="00946D3E">
        <w:rPr>
          <w:szCs w:val="24"/>
          <w:lang w:val="es-ES_tradnl"/>
        </w:rPr>
        <w:t>el principal objetivo de</w:t>
      </w:r>
      <w:r w:rsidR="00D667A6" w:rsidRPr="00946D3E">
        <w:rPr>
          <w:szCs w:val="24"/>
          <w:lang w:val="es-ES_tradnl"/>
        </w:rPr>
        <w:t xml:space="preserve"> </w:t>
      </w:r>
      <w:r w:rsidRPr="00946D3E">
        <w:rPr>
          <w:szCs w:val="24"/>
          <w:lang w:val="es-ES_tradnl"/>
        </w:rPr>
        <w:t>l</w:t>
      </w:r>
      <w:r w:rsidR="00D667A6" w:rsidRPr="00946D3E">
        <w:rPr>
          <w:szCs w:val="24"/>
          <w:lang w:val="es-ES_tradnl"/>
        </w:rPr>
        <w:t>os</w:t>
      </w:r>
      <w:r w:rsidRPr="00946D3E">
        <w:rPr>
          <w:szCs w:val="24"/>
          <w:lang w:val="es-ES_tradnl"/>
        </w:rPr>
        <w:t xml:space="preserve"> número</w:t>
      </w:r>
      <w:r w:rsidR="00D667A6" w:rsidRPr="00946D3E">
        <w:rPr>
          <w:szCs w:val="24"/>
          <w:lang w:val="es-ES_tradnl"/>
        </w:rPr>
        <w:t>s</w:t>
      </w:r>
      <w:r w:rsidRPr="00946D3E">
        <w:rPr>
          <w:szCs w:val="24"/>
          <w:lang w:val="es-ES_tradnl"/>
        </w:rPr>
        <w:t xml:space="preserve"> </w:t>
      </w:r>
      <w:r w:rsidRPr="00946D3E">
        <w:rPr>
          <w:b/>
          <w:bCs/>
          <w:szCs w:val="24"/>
          <w:lang w:val="es-ES_tradnl"/>
        </w:rPr>
        <w:t>9.3</w:t>
      </w:r>
      <w:r w:rsidR="00D667A6" w:rsidRPr="00946D3E">
        <w:rPr>
          <w:szCs w:val="24"/>
          <w:lang w:val="es-ES_tradnl"/>
        </w:rPr>
        <w:t xml:space="preserve"> y </w:t>
      </w:r>
      <w:r w:rsidR="00D667A6" w:rsidRPr="00946D3E">
        <w:rPr>
          <w:b/>
          <w:bCs/>
          <w:szCs w:val="24"/>
          <w:lang w:val="es-ES_tradnl"/>
        </w:rPr>
        <w:t>9.4</w:t>
      </w:r>
      <w:r w:rsidR="00D667A6" w:rsidRPr="00946D3E">
        <w:rPr>
          <w:szCs w:val="24"/>
          <w:lang w:val="es-ES_tradnl"/>
        </w:rPr>
        <w:t xml:space="preserve"> </w:t>
      </w:r>
      <w:r w:rsidRPr="00946D3E">
        <w:rPr>
          <w:szCs w:val="24"/>
          <w:lang w:val="es-ES_tradnl"/>
        </w:rPr>
        <w:t>del RR</w:t>
      </w:r>
      <w:r w:rsidR="00D667A6" w:rsidRPr="00946D3E">
        <w:rPr>
          <w:szCs w:val="24"/>
          <w:lang w:val="es-ES_tradnl"/>
        </w:rPr>
        <w:t>.</w:t>
      </w:r>
      <w:bookmarkEnd w:id="7"/>
    </w:p>
    <w:p w:rsidR="001D6469" w:rsidRPr="00946D3E" w:rsidRDefault="00D667A6" w:rsidP="00D667A6">
      <w:pPr>
        <w:rPr>
          <w:szCs w:val="24"/>
          <w:lang w:val="es-ES_tradnl"/>
        </w:rPr>
      </w:pPr>
      <w:bookmarkStart w:id="8" w:name="lt_pId042"/>
      <w:r w:rsidRPr="00946D3E">
        <w:rPr>
          <w:szCs w:val="24"/>
          <w:lang w:val="es-ES_tradnl"/>
        </w:rPr>
        <w:t>La Oficina entiende que, para ciertos proyectos, puede ser necesario presentar una gama de frecuencias más amplia en la API debido a las dificultades previstas para llegar a las frecuencias de funcionamiento definitivas durante la fase de coordinación. Sin embargo, como se menciona más arriba, presentar una banda de frecuencias más realista para la API facilitará en gran medida el proceso.</w:t>
      </w:r>
      <w:bookmarkEnd w:id="8"/>
    </w:p>
    <w:p w:rsidR="001D6469" w:rsidRPr="00946D3E" w:rsidRDefault="00D667A6" w:rsidP="006B3478">
      <w:pPr>
        <w:rPr>
          <w:szCs w:val="24"/>
          <w:lang w:val="es-ES_tradnl"/>
        </w:rPr>
      </w:pPr>
      <w:bookmarkStart w:id="9" w:name="lt_pId044"/>
      <w:r w:rsidRPr="00946D3E">
        <w:rPr>
          <w:szCs w:val="24"/>
          <w:lang w:val="es-ES_tradnl"/>
        </w:rPr>
        <w:t>Además, la Oficina sugiere a los operadores que presenten frecuencias portadoras planificadas realistas en la API, con la posibilidad de modificarlas dentro de la bandas de frecuencias presentada</w:t>
      </w:r>
      <w:r w:rsidR="00304745" w:rsidRPr="00946D3E">
        <w:rPr>
          <w:szCs w:val="24"/>
          <w:lang w:val="es-ES_tradnl"/>
        </w:rPr>
        <w:t>s</w:t>
      </w:r>
      <w:r w:rsidRPr="00946D3E">
        <w:rPr>
          <w:szCs w:val="24"/>
          <w:lang w:val="es-ES_tradnl"/>
        </w:rPr>
        <w:t xml:space="preserve"> durante el proceso de cooperación de los números </w:t>
      </w:r>
      <w:r w:rsidR="001D6469" w:rsidRPr="00946D3E">
        <w:rPr>
          <w:b/>
          <w:szCs w:val="24"/>
          <w:lang w:val="es-ES_tradnl"/>
        </w:rPr>
        <w:t>9.3</w:t>
      </w:r>
      <w:r w:rsidR="001D6469" w:rsidRPr="00946D3E">
        <w:rPr>
          <w:bCs/>
          <w:szCs w:val="24"/>
          <w:lang w:val="es-ES_tradnl"/>
        </w:rPr>
        <w:t xml:space="preserve"> </w:t>
      </w:r>
      <w:r w:rsidRPr="00946D3E">
        <w:rPr>
          <w:rFonts w:asciiTheme="minorHAnsi" w:hAnsiTheme="minorHAnsi" w:cs="Times New Roman"/>
          <w:szCs w:val="24"/>
          <w:lang w:val="es-ES_tradnl" w:eastAsia="zh-CN"/>
        </w:rPr>
        <w:t>y</w:t>
      </w:r>
      <w:r w:rsidR="001D6469" w:rsidRPr="00946D3E">
        <w:rPr>
          <w:rFonts w:asciiTheme="minorHAnsi" w:hAnsiTheme="minorHAnsi" w:cs="Times New Roman"/>
          <w:szCs w:val="24"/>
          <w:lang w:val="es-ES_tradnl" w:eastAsia="zh-CN"/>
        </w:rPr>
        <w:t xml:space="preserve"> </w:t>
      </w:r>
      <w:r w:rsidR="001D6469" w:rsidRPr="00946D3E">
        <w:rPr>
          <w:rFonts w:asciiTheme="minorHAnsi" w:hAnsiTheme="minorHAnsi" w:cs="Times New Roman"/>
          <w:b/>
          <w:bCs/>
          <w:szCs w:val="24"/>
          <w:lang w:val="es-ES_tradnl" w:eastAsia="zh-CN"/>
        </w:rPr>
        <w:t>9.4</w:t>
      </w:r>
      <w:r w:rsidR="001D6469" w:rsidRPr="00946D3E">
        <w:rPr>
          <w:szCs w:val="24"/>
          <w:lang w:val="es-ES_tradnl"/>
        </w:rPr>
        <w:t>.</w:t>
      </w:r>
      <w:bookmarkEnd w:id="9"/>
      <w:r w:rsidR="001D6469" w:rsidRPr="00946D3E">
        <w:rPr>
          <w:szCs w:val="24"/>
          <w:lang w:val="es-ES_tradnl"/>
        </w:rPr>
        <w:t xml:space="preserve"> </w:t>
      </w:r>
      <w:bookmarkStart w:id="10" w:name="lt_pId045"/>
      <w:r w:rsidRPr="00946D3E">
        <w:rPr>
          <w:szCs w:val="24"/>
          <w:lang w:val="es-ES_tradnl"/>
        </w:rPr>
        <w:t xml:space="preserve">Así, las frecuencias portadoras resultantes del proceso pueden presentarse </w:t>
      </w:r>
      <w:r w:rsidR="006B3478" w:rsidRPr="00946D3E">
        <w:rPr>
          <w:szCs w:val="24"/>
          <w:lang w:val="es-ES_tradnl"/>
        </w:rPr>
        <w:t>como frecuencias asignadas con un ancho de banda asignado correspondiente en el momento de la notificación para inscripción en el Registro Internacional de Frecuencias.</w:t>
      </w:r>
      <w:bookmarkEnd w:id="10"/>
    </w:p>
    <w:p w:rsidR="001D6469" w:rsidRPr="00946D3E" w:rsidRDefault="006B3478" w:rsidP="006B3478">
      <w:pPr>
        <w:rPr>
          <w:szCs w:val="24"/>
          <w:lang w:val="es-ES_tradnl"/>
        </w:rPr>
      </w:pPr>
      <w:bookmarkStart w:id="11" w:name="lt_pId046"/>
      <w:r w:rsidRPr="00946D3E">
        <w:rPr>
          <w:szCs w:val="24"/>
          <w:lang w:val="es-ES_tradnl"/>
        </w:rPr>
        <w:t xml:space="preserve">Dado que la mencionada situación puede suscitar inquietudes respecto de la viabilidad del servicio de operaciones espaciales en las bandas </w:t>
      </w:r>
      <w:r w:rsidR="001D6469" w:rsidRPr="00946D3E">
        <w:rPr>
          <w:szCs w:val="24"/>
          <w:lang w:val="es-ES_tradnl" w:eastAsia="zh-CN"/>
        </w:rPr>
        <w:t>2 025-2 110 MHz (</w:t>
      </w:r>
      <w:r w:rsidRPr="00946D3E">
        <w:rPr>
          <w:szCs w:val="24"/>
          <w:lang w:val="es-ES_tradnl" w:eastAsia="zh-CN"/>
        </w:rPr>
        <w:t>Tierra-espacio</w:t>
      </w:r>
      <w:r w:rsidR="001D6469" w:rsidRPr="00946D3E">
        <w:rPr>
          <w:szCs w:val="24"/>
          <w:lang w:val="es-ES_tradnl" w:eastAsia="zh-CN"/>
        </w:rPr>
        <w:t xml:space="preserve">) </w:t>
      </w:r>
      <w:r w:rsidRPr="00946D3E">
        <w:rPr>
          <w:szCs w:val="24"/>
          <w:lang w:val="es-ES_tradnl" w:eastAsia="zh-CN"/>
        </w:rPr>
        <w:t>y</w:t>
      </w:r>
      <w:r w:rsidR="006622D9" w:rsidRPr="00946D3E">
        <w:rPr>
          <w:szCs w:val="24"/>
          <w:lang w:val="es-ES_tradnl" w:eastAsia="zh-CN"/>
        </w:rPr>
        <w:t xml:space="preserve"> 2 200</w:t>
      </w:r>
      <w:r w:rsidR="006622D9" w:rsidRPr="00946D3E">
        <w:rPr>
          <w:szCs w:val="24"/>
          <w:lang w:val="es-ES_tradnl" w:eastAsia="zh-CN"/>
        </w:rPr>
        <w:noBreakHyphen/>
        <w:t>2 290 </w:t>
      </w:r>
      <w:r w:rsidR="001D6469" w:rsidRPr="00946D3E">
        <w:rPr>
          <w:szCs w:val="24"/>
          <w:lang w:val="es-ES_tradnl" w:eastAsia="zh-CN"/>
        </w:rPr>
        <w:t>MHz (</w:t>
      </w:r>
      <w:r w:rsidRPr="00946D3E">
        <w:rPr>
          <w:szCs w:val="24"/>
          <w:lang w:val="es-ES_tradnl" w:eastAsia="zh-CN"/>
        </w:rPr>
        <w:t>espacio-Tierra</w:t>
      </w:r>
      <w:r w:rsidR="001D6469" w:rsidRPr="00946D3E">
        <w:rPr>
          <w:szCs w:val="24"/>
          <w:lang w:val="es-ES_tradnl" w:eastAsia="zh-CN"/>
        </w:rPr>
        <w:t>)</w:t>
      </w:r>
      <w:r w:rsidR="001D6469" w:rsidRPr="00946D3E">
        <w:rPr>
          <w:szCs w:val="24"/>
          <w:lang w:val="es-ES_tradnl"/>
        </w:rPr>
        <w:t xml:space="preserve">, </w:t>
      </w:r>
      <w:r w:rsidRPr="00946D3E">
        <w:rPr>
          <w:szCs w:val="24"/>
          <w:lang w:val="es-ES_tradnl"/>
        </w:rPr>
        <w:t>quisiera invitar a las administraciones a prestar más atención a la información facilitada en la fase de API para dichas operaciones y abstenerse, siempre que sea posible, de utilizar parámetros genéricos en este contexto.</w:t>
      </w:r>
      <w:bookmarkEnd w:id="11"/>
    </w:p>
    <w:p w:rsidR="00031E64" w:rsidRPr="00946D3E" w:rsidRDefault="00E53DCE" w:rsidP="00F67175">
      <w:pPr>
        <w:spacing w:before="1440"/>
        <w:jc w:val="left"/>
        <w:rPr>
          <w:lang w:val="es-ES_tradnl"/>
        </w:rPr>
      </w:pPr>
      <w:r w:rsidRPr="00946D3E">
        <w:rPr>
          <w:lang w:val="es-ES_tradnl"/>
        </w:rPr>
        <w:t>François Rancy</w:t>
      </w:r>
      <w:r w:rsidRPr="00946D3E">
        <w:rPr>
          <w:lang w:val="es-ES_tradnl"/>
        </w:rPr>
        <w:br/>
      </w:r>
      <w:r w:rsidR="00F25511" w:rsidRPr="00946D3E">
        <w:rPr>
          <w:lang w:val="es-ES_tradnl"/>
        </w:rPr>
        <w:t>Director</w:t>
      </w:r>
    </w:p>
    <w:p w:rsidR="00AF664B" w:rsidRPr="00946D3E" w:rsidRDefault="00AF664B" w:rsidP="00F67175">
      <w:pPr>
        <w:tabs>
          <w:tab w:val="left" w:pos="284"/>
          <w:tab w:val="left" w:pos="568"/>
        </w:tabs>
        <w:spacing w:before="1320"/>
        <w:rPr>
          <w:b/>
          <w:bCs/>
          <w:sz w:val="20"/>
          <w:szCs w:val="20"/>
          <w:lang w:val="es-ES_tradnl"/>
        </w:rPr>
      </w:pPr>
      <w:r w:rsidRPr="00946D3E">
        <w:rPr>
          <w:b/>
          <w:bCs/>
          <w:sz w:val="20"/>
          <w:szCs w:val="20"/>
          <w:lang w:val="es-ES_tradnl"/>
        </w:rPr>
        <w:t>Distribución:</w:t>
      </w:r>
    </w:p>
    <w:p w:rsidR="00AF664B" w:rsidRPr="00946D3E" w:rsidRDefault="00AF664B" w:rsidP="00F25511">
      <w:pPr>
        <w:pStyle w:val="enumlev1"/>
        <w:tabs>
          <w:tab w:val="clear" w:pos="794"/>
          <w:tab w:val="left" w:pos="284"/>
        </w:tabs>
        <w:spacing w:line="240" w:lineRule="auto"/>
        <w:jc w:val="left"/>
        <w:rPr>
          <w:sz w:val="18"/>
          <w:szCs w:val="18"/>
          <w:lang w:val="es-ES_tradnl"/>
        </w:rPr>
      </w:pPr>
      <w:r w:rsidRPr="00946D3E">
        <w:rPr>
          <w:sz w:val="18"/>
          <w:szCs w:val="18"/>
          <w:lang w:val="es-ES_tradnl"/>
        </w:rPr>
        <w:t>–</w:t>
      </w:r>
      <w:r w:rsidRPr="00946D3E">
        <w:rPr>
          <w:sz w:val="18"/>
          <w:szCs w:val="18"/>
          <w:lang w:val="es-ES_tradnl"/>
        </w:rPr>
        <w:tab/>
        <w:t>Administraciones de los Estados Miembros de la UIT</w:t>
      </w:r>
    </w:p>
    <w:p w:rsidR="00AF664B" w:rsidRPr="00946D3E" w:rsidRDefault="00AF664B" w:rsidP="000F63E9">
      <w:pPr>
        <w:pStyle w:val="enumlev1"/>
        <w:tabs>
          <w:tab w:val="clear" w:pos="794"/>
          <w:tab w:val="left" w:pos="284"/>
        </w:tabs>
        <w:spacing w:before="0" w:line="240" w:lineRule="auto"/>
        <w:jc w:val="left"/>
        <w:rPr>
          <w:sz w:val="18"/>
          <w:szCs w:val="18"/>
          <w:lang w:val="es-ES_tradnl"/>
        </w:rPr>
      </w:pPr>
      <w:r w:rsidRPr="00946D3E">
        <w:rPr>
          <w:sz w:val="18"/>
          <w:szCs w:val="18"/>
          <w:lang w:val="es-ES_tradnl"/>
        </w:rPr>
        <w:t>–</w:t>
      </w:r>
      <w:r w:rsidRPr="00946D3E">
        <w:rPr>
          <w:sz w:val="18"/>
          <w:szCs w:val="18"/>
          <w:lang w:val="es-ES_tradnl"/>
        </w:rPr>
        <w:tab/>
        <w:t>Miembros de la Junta del Reglamento de Radiocomunicaciones</w:t>
      </w:r>
    </w:p>
    <w:sectPr w:rsidR="00AF664B" w:rsidRPr="00946D3E" w:rsidSect="00F25511">
      <w:headerReference w:type="even" r:id="rId8"/>
      <w:headerReference w:type="default" r:id="rId9"/>
      <w:footerReference w:type="default" r:id="rId10"/>
      <w:headerReference w:type="firs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3EA" w:rsidRDefault="00B643EA">
      <w:r>
        <w:separator/>
      </w:r>
    </w:p>
  </w:endnote>
  <w:endnote w:type="continuationSeparator" w:id="0">
    <w:p w:rsidR="00B643EA" w:rsidRDefault="00B6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9AE" w:rsidRPr="005460B5" w:rsidRDefault="009F69AE" w:rsidP="009F69AE">
    <w:pPr>
      <w:pStyle w:val="Footer"/>
      <w:rPr>
        <w:sz w:val="16"/>
        <w:szCs w:val="16"/>
        <w:lang w:val="es-ES_tradnl"/>
      </w:rPr>
    </w:pPr>
    <w:r w:rsidRPr="009F69AE">
      <w:rPr>
        <w:sz w:val="16"/>
        <w:szCs w:val="16"/>
      </w:rPr>
      <w:fldChar w:fldCharType="begin"/>
    </w:r>
    <w:r w:rsidRPr="005460B5">
      <w:rPr>
        <w:sz w:val="16"/>
        <w:szCs w:val="16"/>
        <w:lang w:val="es-ES_tradnl"/>
      </w:rPr>
      <w:instrText xml:space="preserve"> FILENAME  \p  \* MERGEFORMAT </w:instrText>
    </w:r>
    <w:r w:rsidRPr="009F69AE">
      <w:rPr>
        <w:sz w:val="16"/>
        <w:szCs w:val="16"/>
      </w:rPr>
      <w:fldChar w:fldCharType="separate"/>
    </w:r>
    <w:r w:rsidR="008118A0">
      <w:rPr>
        <w:noProof/>
        <w:sz w:val="16"/>
        <w:szCs w:val="16"/>
        <w:lang w:val="es-ES_tradnl"/>
      </w:rPr>
      <w:t>Y:\APP\BR\CIRCS_DMS\CR\400\420\420S.docx</w:t>
    </w:r>
    <w:r w:rsidRPr="009F69AE">
      <w:rPr>
        <w:noProof/>
        <w:sz w:val="16"/>
        <w:szCs w:val="16"/>
      </w:rPr>
      <w:fldChar w:fldCharType="end"/>
    </w:r>
    <w:r w:rsidRPr="005460B5">
      <w:rPr>
        <w:noProof/>
        <w:sz w:val="16"/>
        <w:szCs w:val="16"/>
        <w:lang w:val="es-ES_tradnl"/>
      </w:rPr>
      <w:t xml:space="preserve"> (418169)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7AC" w:rsidRPr="005460B5" w:rsidRDefault="005817AC" w:rsidP="005817AC">
    <w:pPr>
      <w:pStyle w:val="FirstFooter"/>
      <w:spacing w:line="240" w:lineRule="auto"/>
      <w:ind w:left="-397" w:right="-397"/>
      <w:jc w:val="center"/>
      <w:rPr>
        <w:sz w:val="18"/>
        <w:szCs w:val="18"/>
        <w:lang w:val="es-ES_tradnl"/>
      </w:rPr>
    </w:pPr>
    <w:r w:rsidRPr="005460B5">
      <w:rPr>
        <w:sz w:val="18"/>
        <w:szCs w:val="18"/>
        <w:lang w:val="es-ES_tradnl"/>
      </w:rPr>
      <w:t>Unión Internacional de Telecomunicaciones • Place des Nations • CH</w:t>
    </w:r>
    <w:r w:rsidRPr="005460B5">
      <w:rPr>
        <w:sz w:val="18"/>
        <w:szCs w:val="18"/>
        <w:lang w:val="es-ES_tradnl"/>
      </w:rPr>
      <w:noBreakHyphen/>
      <w:t>1211 Ginebra 20 • Suiza</w:t>
    </w:r>
    <w:r w:rsidRPr="005460B5">
      <w:rPr>
        <w:sz w:val="18"/>
        <w:szCs w:val="18"/>
        <w:lang w:val="es-ES_tradnl"/>
      </w:rPr>
      <w:br/>
      <w:t xml:space="preserve">Tel: +41 22 730 5111 • Fax: +41 22 733 7256 • Correo-e: </w:t>
    </w:r>
    <w:hyperlink r:id="rId1" w:history="1">
      <w:r w:rsidRPr="005460B5">
        <w:rPr>
          <w:rStyle w:val="Hyperlink"/>
          <w:sz w:val="18"/>
          <w:szCs w:val="18"/>
          <w:lang w:val="es-ES_tradnl"/>
        </w:rPr>
        <w:t>itumail@itu.int</w:t>
      </w:r>
    </w:hyperlink>
    <w:r w:rsidRPr="005460B5">
      <w:rPr>
        <w:sz w:val="18"/>
        <w:szCs w:val="18"/>
        <w:lang w:val="es-ES_tradnl"/>
      </w:rPr>
      <w:t xml:space="preserve"> • </w:t>
    </w:r>
    <w:hyperlink r:id="rId2" w:history="1">
      <w:r w:rsidRPr="005460B5">
        <w:rPr>
          <w:rStyle w:val="Hyperlink"/>
          <w:sz w:val="18"/>
          <w:szCs w:val="18"/>
          <w:lang w:val="es-ES_tradnl"/>
        </w:rPr>
        <w:t>www.itu.int</w:t>
      </w:r>
    </w:hyperlink>
    <w:r w:rsidRPr="005460B5">
      <w:rPr>
        <w:sz w:val="18"/>
        <w:szCs w:val="18"/>
        <w:lang w:val="es-ES_tradnl"/>
      </w:rPr>
      <w:t xml:space="preserve"> </w:t>
    </w:r>
  </w:p>
  <w:p w:rsidR="005817AC" w:rsidRPr="00181458" w:rsidRDefault="005817AC" w:rsidP="005817AC">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3EA" w:rsidRDefault="00B643EA">
      <w:r>
        <w:t>____________________</w:t>
      </w:r>
    </w:p>
  </w:footnote>
  <w:footnote w:type="continuationSeparator" w:id="0">
    <w:p w:rsidR="00B643EA" w:rsidRDefault="00B64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664B" w:rsidRDefault="00D97EF5" w:rsidP="00AF664B">
    <w:pPr>
      <w:pStyle w:val="Header"/>
      <w:jc w:val="center"/>
      <w:rPr>
        <w:sz w:val="18"/>
        <w:szCs w:val="18"/>
      </w:rPr>
    </w:pPr>
    <w:r w:rsidRPr="00AF664B">
      <w:rPr>
        <w:sz w:val="18"/>
        <w:szCs w:val="18"/>
      </w:rPr>
      <w:t xml:space="preserve">- </w:t>
    </w:r>
    <w:r w:rsidR="001B42C9" w:rsidRPr="00AF664B">
      <w:rPr>
        <w:sz w:val="18"/>
        <w:szCs w:val="18"/>
      </w:rPr>
      <w:fldChar w:fldCharType="begin"/>
    </w:r>
    <w:r w:rsidR="00E915AF" w:rsidRPr="00AF664B">
      <w:rPr>
        <w:sz w:val="18"/>
        <w:szCs w:val="18"/>
      </w:rPr>
      <w:instrText xml:space="preserve"> PAGE </w:instrText>
    </w:r>
    <w:r w:rsidR="001B42C9" w:rsidRPr="00AF664B">
      <w:rPr>
        <w:sz w:val="18"/>
        <w:szCs w:val="18"/>
      </w:rPr>
      <w:fldChar w:fldCharType="separate"/>
    </w:r>
    <w:r w:rsidR="008118A0">
      <w:rPr>
        <w:noProof/>
        <w:sz w:val="18"/>
        <w:szCs w:val="18"/>
      </w:rPr>
      <w:t>2</w:t>
    </w:r>
    <w:r w:rsidR="001B42C9" w:rsidRPr="00AF664B">
      <w:rPr>
        <w:sz w:val="18"/>
        <w:szCs w:val="18"/>
      </w:rPr>
      <w:fldChar w:fldCharType="end"/>
    </w:r>
    <w:r w:rsidRPr="00AF664B">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664B" w:rsidRDefault="00AF664B" w:rsidP="00AF664B">
    <w:pPr>
      <w:pStyle w:val="Header"/>
      <w:jc w:val="center"/>
      <w:rPr>
        <w:sz w:val="18"/>
        <w:szCs w:val="18"/>
      </w:rPr>
    </w:pPr>
    <w:r w:rsidRPr="00AF664B">
      <w:rPr>
        <w:sz w:val="18"/>
        <w:szCs w:val="18"/>
      </w:rPr>
      <w:t xml:space="preserve">- </w:t>
    </w:r>
    <w:r w:rsidRPr="00AF664B">
      <w:rPr>
        <w:sz w:val="18"/>
        <w:szCs w:val="18"/>
      </w:rPr>
      <w:fldChar w:fldCharType="begin"/>
    </w:r>
    <w:r w:rsidRPr="00AF664B">
      <w:rPr>
        <w:sz w:val="18"/>
        <w:szCs w:val="18"/>
      </w:rPr>
      <w:instrText xml:space="preserve"> PAGE </w:instrText>
    </w:r>
    <w:r w:rsidRPr="00AF664B">
      <w:rPr>
        <w:sz w:val="18"/>
        <w:szCs w:val="18"/>
      </w:rPr>
      <w:fldChar w:fldCharType="separate"/>
    </w:r>
    <w:r w:rsidR="00F67175">
      <w:rPr>
        <w:noProof/>
        <w:sz w:val="18"/>
        <w:szCs w:val="18"/>
      </w:rPr>
      <w:t>3</w:t>
    </w:r>
    <w:r w:rsidRPr="00AF664B">
      <w:rPr>
        <w:sz w:val="18"/>
        <w:szCs w:val="18"/>
      </w:rPr>
      <w:fldChar w:fldCharType="end"/>
    </w:r>
    <w:r w:rsidRPr="00AF664B">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DE24EA" w:rsidP="000D3F3B">
          <w:pPr>
            <w:pStyle w:val="Header"/>
            <w:tabs>
              <w:tab w:val="clear" w:pos="794"/>
              <w:tab w:val="clear" w:pos="4820"/>
            </w:tabs>
            <w:spacing w:line="360" w:lineRule="auto"/>
            <w:jc w:val="right"/>
          </w:pPr>
          <w:r w:rsidRPr="00A03501">
            <w:rPr>
              <w:noProof/>
              <w:lang w:eastAsia="zh-CN"/>
            </w:rPr>
            <w:drawing>
              <wp:inline distT="0" distB="0" distL="0" distR="0" wp14:anchorId="1328D1D0" wp14:editId="2005E152">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6C3A36"/>
    <w:multiLevelType w:val="hybridMultilevel"/>
    <w:tmpl w:val="C3785416"/>
    <w:lvl w:ilvl="0" w:tplc="24788A40">
      <w:start w:val="1"/>
      <w:numFmt w:val="bullet"/>
      <w:lvlText w:val=""/>
      <w:lvlJc w:val="left"/>
      <w:pPr>
        <w:ind w:left="720" w:hanging="360"/>
      </w:pPr>
      <w:rPr>
        <w:rFonts w:ascii="Symbol" w:hAnsi="Symbol" w:hint="default"/>
      </w:rPr>
    </w:lvl>
    <w:lvl w:ilvl="1" w:tplc="3DD2366A" w:tentative="1">
      <w:start w:val="1"/>
      <w:numFmt w:val="bullet"/>
      <w:lvlText w:val="o"/>
      <w:lvlJc w:val="left"/>
      <w:pPr>
        <w:ind w:left="1440" w:hanging="360"/>
      </w:pPr>
      <w:rPr>
        <w:rFonts w:ascii="Courier New" w:hAnsi="Courier New" w:cs="Courier New" w:hint="default"/>
      </w:rPr>
    </w:lvl>
    <w:lvl w:ilvl="2" w:tplc="12EA1E3C" w:tentative="1">
      <w:start w:val="1"/>
      <w:numFmt w:val="bullet"/>
      <w:lvlText w:val=""/>
      <w:lvlJc w:val="left"/>
      <w:pPr>
        <w:ind w:left="2160" w:hanging="360"/>
      </w:pPr>
      <w:rPr>
        <w:rFonts w:ascii="Wingdings" w:hAnsi="Wingdings" w:hint="default"/>
      </w:rPr>
    </w:lvl>
    <w:lvl w:ilvl="3" w:tplc="49525328" w:tentative="1">
      <w:start w:val="1"/>
      <w:numFmt w:val="bullet"/>
      <w:lvlText w:val=""/>
      <w:lvlJc w:val="left"/>
      <w:pPr>
        <w:ind w:left="2880" w:hanging="360"/>
      </w:pPr>
      <w:rPr>
        <w:rFonts w:ascii="Symbol" w:hAnsi="Symbol" w:hint="default"/>
      </w:rPr>
    </w:lvl>
    <w:lvl w:ilvl="4" w:tplc="B6960BA4" w:tentative="1">
      <w:start w:val="1"/>
      <w:numFmt w:val="bullet"/>
      <w:lvlText w:val="o"/>
      <w:lvlJc w:val="left"/>
      <w:pPr>
        <w:ind w:left="3600" w:hanging="360"/>
      </w:pPr>
      <w:rPr>
        <w:rFonts w:ascii="Courier New" w:hAnsi="Courier New" w:cs="Courier New" w:hint="default"/>
      </w:rPr>
    </w:lvl>
    <w:lvl w:ilvl="5" w:tplc="CE96FDB0" w:tentative="1">
      <w:start w:val="1"/>
      <w:numFmt w:val="bullet"/>
      <w:lvlText w:val=""/>
      <w:lvlJc w:val="left"/>
      <w:pPr>
        <w:ind w:left="4320" w:hanging="360"/>
      </w:pPr>
      <w:rPr>
        <w:rFonts w:ascii="Wingdings" w:hAnsi="Wingdings" w:hint="default"/>
      </w:rPr>
    </w:lvl>
    <w:lvl w:ilvl="6" w:tplc="01F0A4CC" w:tentative="1">
      <w:start w:val="1"/>
      <w:numFmt w:val="bullet"/>
      <w:lvlText w:val=""/>
      <w:lvlJc w:val="left"/>
      <w:pPr>
        <w:ind w:left="5040" w:hanging="360"/>
      </w:pPr>
      <w:rPr>
        <w:rFonts w:ascii="Symbol" w:hAnsi="Symbol" w:hint="default"/>
      </w:rPr>
    </w:lvl>
    <w:lvl w:ilvl="7" w:tplc="C300800C" w:tentative="1">
      <w:start w:val="1"/>
      <w:numFmt w:val="bullet"/>
      <w:lvlText w:val="o"/>
      <w:lvlJc w:val="left"/>
      <w:pPr>
        <w:ind w:left="5760" w:hanging="360"/>
      </w:pPr>
      <w:rPr>
        <w:rFonts w:ascii="Courier New" w:hAnsi="Courier New" w:cs="Courier New" w:hint="default"/>
      </w:rPr>
    </w:lvl>
    <w:lvl w:ilvl="8" w:tplc="E46203CE"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018FC"/>
    <w:rsid w:val="00006A31"/>
    <w:rsid w:val="00006C82"/>
    <w:rsid w:val="00010E30"/>
    <w:rsid w:val="00015C76"/>
    <w:rsid w:val="00026CF8"/>
    <w:rsid w:val="00030BD7"/>
    <w:rsid w:val="00031E64"/>
    <w:rsid w:val="00034340"/>
    <w:rsid w:val="00035CB3"/>
    <w:rsid w:val="000412C3"/>
    <w:rsid w:val="00045A8D"/>
    <w:rsid w:val="0005167A"/>
    <w:rsid w:val="00054E5D"/>
    <w:rsid w:val="00070258"/>
    <w:rsid w:val="0007323C"/>
    <w:rsid w:val="000800EE"/>
    <w:rsid w:val="00086D03"/>
    <w:rsid w:val="000A096A"/>
    <w:rsid w:val="000A27A8"/>
    <w:rsid w:val="000A375E"/>
    <w:rsid w:val="000A7051"/>
    <w:rsid w:val="000B0AF6"/>
    <w:rsid w:val="000B0E9B"/>
    <w:rsid w:val="000B2CAE"/>
    <w:rsid w:val="000C03C7"/>
    <w:rsid w:val="000C2AD0"/>
    <w:rsid w:val="000D3F3B"/>
    <w:rsid w:val="000E3DEE"/>
    <w:rsid w:val="000E4BCD"/>
    <w:rsid w:val="000F63E9"/>
    <w:rsid w:val="00100B72"/>
    <w:rsid w:val="0010183A"/>
    <w:rsid w:val="00101F7D"/>
    <w:rsid w:val="00103C76"/>
    <w:rsid w:val="0011265F"/>
    <w:rsid w:val="00117282"/>
    <w:rsid w:val="00117389"/>
    <w:rsid w:val="00121C2D"/>
    <w:rsid w:val="00134404"/>
    <w:rsid w:val="00144DFB"/>
    <w:rsid w:val="00145F12"/>
    <w:rsid w:val="00187CA3"/>
    <w:rsid w:val="00196710"/>
    <w:rsid w:val="00196770"/>
    <w:rsid w:val="00197324"/>
    <w:rsid w:val="001A40A1"/>
    <w:rsid w:val="001B351B"/>
    <w:rsid w:val="001B42C9"/>
    <w:rsid w:val="001C06DB"/>
    <w:rsid w:val="001C6971"/>
    <w:rsid w:val="001D2785"/>
    <w:rsid w:val="001D6469"/>
    <w:rsid w:val="001D7070"/>
    <w:rsid w:val="001F2170"/>
    <w:rsid w:val="001F3948"/>
    <w:rsid w:val="001F5A49"/>
    <w:rsid w:val="00201097"/>
    <w:rsid w:val="00201485"/>
    <w:rsid w:val="00201B6E"/>
    <w:rsid w:val="00206CDD"/>
    <w:rsid w:val="002240B6"/>
    <w:rsid w:val="002302B3"/>
    <w:rsid w:val="00230C66"/>
    <w:rsid w:val="0023476A"/>
    <w:rsid w:val="00235A29"/>
    <w:rsid w:val="00241526"/>
    <w:rsid w:val="002443A2"/>
    <w:rsid w:val="00266E74"/>
    <w:rsid w:val="00283C3B"/>
    <w:rsid w:val="002861E6"/>
    <w:rsid w:val="00287D18"/>
    <w:rsid w:val="002A2618"/>
    <w:rsid w:val="002A5DD7"/>
    <w:rsid w:val="002B0CAC"/>
    <w:rsid w:val="002B6A6F"/>
    <w:rsid w:val="002D5A15"/>
    <w:rsid w:val="002D5BDD"/>
    <w:rsid w:val="002E3D27"/>
    <w:rsid w:val="002F0890"/>
    <w:rsid w:val="002F2531"/>
    <w:rsid w:val="002F4967"/>
    <w:rsid w:val="00304745"/>
    <w:rsid w:val="00306452"/>
    <w:rsid w:val="00311970"/>
    <w:rsid w:val="00316935"/>
    <w:rsid w:val="003266ED"/>
    <w:rsid w:val="00326C68"/>
    <w:rsid w:val="0033029C"/>
    <w:rsid w:val="003370B8"/>
    <w:rsid w:val="00345D38"/>
    <w:rsid w:val="00352097"/>
    <w:rsid w:val="003666FF"/>
    <w:rsid w:val="0037309C"/>
    <w:rsid w:val="00380A6E"/>
    <w:rsid w:val="003836D4"/>
    <w:rsid w:val="00384A02"/>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72968"/>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112FF"/>
    <w:rsid w:val="005224A1"/>
    <w:rsid w:val="00534372"/>
    <w:rsid w:val="00535D52"/>
    <w:rsid w:val="00543DF8"/>
    <w:rsid w:val="005460B5"/>
    <w:rsid w:val="00546101"/>
    <w:rsid w:val="00553DD7"/>
    <w:rsid w:val="005638CF"/>
    <w:rsid w:val="0056741E"/>
    <w:rsid w:val="0057325A"/>
    <w:rsid w:val="0057469A"/>
    <w:rsid w:val="005805CA"/>
    <w:rsid w:val="00580814"/>
    <w:rsid w:val="0058093F"/>
    <w:rsid w:val="005817AC"/>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622D9"/>
    <w:rsid w:val="006829F3"/>
    <w:rsid w:val="006A518B"/>
    <w:rsid w:val="006B0590"/>
    <w:rsid w:val="006B3478"/>
    <w:rsid w:val="006B49DA"/>
    <w:rsid w:val="006B506E"/>
    <w:rsid w:val="006C53F8"/>
    <w:rsid w:val="006C7CDE"/>
    <w:rsid w:val="007018FC"/>
    <w:rsid w:val="00705869"/>
    <w:rsid w:val="007234B1"/>
    <w:rsid w:val="00723D08"/>
    <w:rsid w:val="00725FDA"/>
    <w:rsid w:val="00727816"/>
    <w:rsid w:val="00730B9A"/>
    <w:rsid w:val="00750CFA"/>
    <w:rsid w:val="00754EBF"/>
    <w:rsid w:val="007553DA"/>
    <w:rsid w:val="00775DB8"/>
    <w:rsid w:val="00782354"/>
    <w:rsid w:val="007921A7"/>
    <w:rsid w:val="007B28AF"/>
    <w:rsid w:val="007B3DB1"/>
    <w:rsid w:val="007C2BCA"/>
    <w:rsid w:val="007D183E"/>
    <w:rsid w:val="007D43D0"/>
    <w:rsid w:val="007E1833"/>
    <w:rsid w:val="007E3F13"/>
    <w:rsid w:val="007F751A"/>
    <w:rsid w:val="00800012"/>
    <w:rsid w:val="0080261F"/>
    <w:rsid w:val="00805A02"/>
    <w:rsid w:val="00806160"/>
    <w:rsid w:val="008118A0"/>
    <w:rsid w:val="008143A4"/>
    <w:rsid w:val="0081513E"/>
    <w:rsid w:val="00854131"/>
    <w:rsid w:val="0085652D"/>
    <w:rsid w:val="0087694B"/>
    <w:rsid w:val="00880F4D"/>
    <w:rsid w:val="008B35A3"/>
    <w:rsid w:val="008B37E1"/>
    <w:rsid w:val="008B45F8"/>
    <w:rsid w:val="008C2E74"/>
    <w:rsid w:val="008D5409"/>
    <w:rsid w:val="008D5D3E"/>
    <w:rsid w:val="008E006D"/>
    <w:rsid w:val="008E38B4"/>
    <w:rsid w:val="008E7A11"/>
    <w:rsid w:val="008F4F21"/>
    <w:rsid w:val="00904D4A"/>
    <w:rsid w:val="009076D7"/>
    <w:rsid w:val="00912DAB"/>
    <w:rsid w:val="009151BA"/>
    <w:rsid w:val="00925023"/>
    <w:rsid w:val="009277BC"/>
    <w:rsid w:val="00927D57"/>
    <w:rsid w:val="00931A51"/>
    <w:rsid w:val="00946D3E"/>
    <w:rsid w:val="00947185"/>
    <w:rsid w:val="009518B3"/>
    <w:rsid w:val="00963D9D"/>
    <w:rsid w:val="0098013E"/>
    <w:rsid w:val="00981B54"/>
    <w:rsid w:val="009842C3"/>
    <w:rsid w:val="00985890"/>
    <w:rsid w:val="009A009A"/>
    <w:rsid w:val="009A6BB6"/>
    <w:rsid w:val="009A73B7"/>
    <w:rsid w:val="009B3F43"/>
    <w:rsid w:val="009B5CFA"/>
    <w:rsid w:val="009C161F"/>
    <w:rsid w:val="009C56B4"/>
    <w:rsid w:val="009D51A2"/>
    <w:rsid w:val="009D5E15"/>
    <w:rsid w:val="009E04A8"/>
    <w:rsid w:val="009E4595"/>
    <w:rsid w:val="009E4AEC"/>
    <w:rsid w:val="009E5BD8"/>
    <w:rsid w:val="009E681E"/>
    <w:rsid w:val="009F69AE"/>
    <w:rsid w:val="00A119E6"/>
    <w:rsid w:val="00A20FBC"/>
    <w:rsid w:val="00A31370"/>
    <w:rsid w:val="00A34D6F"/>
    <w:rsid w:val="00A41F91"/>
    <w:rsid w:val="00A42DA6"/>
    <w:rsid w:val="00A63355"/>
    <w:rsid w:val="00A7596D"/>
    <w:rsid w:val="00A80EFE"/>
    <w:rsid w:val="00A81209"/>
    <w:rsid w:val="00A963DF"/>
    <w:rsid w:val="00A968DE"/>
    <w:rsid w:val="00A96D3A"/>
    <w:rsid w:val="00AA2F14"/>
    <w:rsid w:val="00AC0C22"/>
    <w:rsid w:val="00AC3896"/>
    <w:rsid w:val="00AD2CF2"/>
    <w:rsid w:val="00AE015B"/>
    <w:rsid w:val="00AE2D88"/>
    <w:rsid w:val="00AE6F6F"/>
    <w:rsid w:val="00AF3325"/>
    <w:rsid w:val="00AF34D9"/>
    <w:rsid w:val="00AF5B37"/>
    <w:rsid w:val="00AF664B"/>
    <w:rsid w:val="00AF70DA"/>
    <w:rsid w:val="00B019D3"/>
    <w:rsid w:val="00B34CF9"/>
    <w:rsid w:val="00B37559"/>
    <w:rsid w:val="00B4054B"/>
    <w:rsid w:val="00B42445"/>
    <w:rsid w:val="00B579B0"/>
    <w:rsid w:val="00B57D11"/>
    <w:rsid w:val="00B643EA"/>
    <w:rsid w:val="00B649D7"/>
    <w:rsid w:val="00B81C2F"/>
    <w:rsid w:val="00B83924"/>
    <w:rsid w:val="00B90743"/>
    <w:rsid w:val="00B90C45"/>
    <w:rsid w:val="00B933BE"/>
    <w:rsid w:val="00BD6738"/>
    <w:rsid w:val="00BD7E5E"/>
    <w:rsid w:val="00BE4733"/>
    <w:rsid w:val="00BE63DB"/>
    <w:rsid w:val="00BE6574"/>
    <w:rsid w:val="00BE671B"/>
    <w:rsid w:val="00C00075"/>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1215"/>
    <w:rsid w:val="00D21694"/>
    <w:rsid w:val="00D239B4"/>
    <w:rsid w:val="00D24EB5"/>
    <w:rsid w:val="00D35AB9"/>
    <w:rsid w:val="00D41571"/>
    <w:rsid w:val="00D416A0"/>
    <w:rsid w:val="00D45DA0"/>
    <w:rsid w:val="00D47672"/>
    <w:rsid w:val="00D5123C"/>
    <w:rsid w:val="00D55560"/>
    <w:rsid w:val="00D61C5A"/>
    <w:rsid w:val="00D63BFF"/>
    <w:rsid w:val="00D667A6"/>
    <w:rsid w:val="00D6790C"/>
    <w:rsid w:val="00D704CB"/>
    <w:rsid w:val="00D73277"/>
    <w:rsid w:val="00D76586"/>
    <w:rsid w:val="00D82657"/>
    <w:rsid w:val="00D87E20"/>
    <w:rsid w:val="00D97EF5"/>
    <w:rsid w:val="00DA4037"/>
    <w:rsid w:val="00DE24EA"/>
    <w:rsid w:val="00DE66A5"/>
    <w:rsid w:val="00DF2B50"/>
    <w:rsid w:val="00E01059"/>
    <w:rsid w:val="00E04C86"/>
    <w:rsid w:val="00E04CA0"/>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B13"/>
    <w:rsid w:val="00E64254"/>
    <w:rsid w:val="00E67928"/>
    <w:rsid w:val="00E70FB5"/>
    <w:rsid w:val="00E915AF"/>
    <w:rsid w:val="00E96415"/>
    <w:rsid w:val="00E96579"/>
    <w:rsid w:val="00EA15B3"/>
    <w:rsid w:val="00EB2358"/>
    <w:rsid w:val="00EB3EB8"/>
    <w:rsid w:val="00EC00EF"/>
    <w:rsid w:val="00EC02FE"/>
    <w:rsid w:val="00EC4A96"/>
    <w:rsid w:val="00EE03A0"/>
    <w:rsid w:val="00F07D5A"/>
    <w:rsid w:val="00F25511"/>
    <w:rsid w:val="00F424BF"/>
    <w:rsid w:val="00F44FC3"/>
    <w:rsid w:val="00F46107"/>
    <w:rsid w:val="00F468C5"/>
    <w:rsid w:val="00F52F39"/>
    <w:rsid w:val="00F6184F"/>
    <w:rsid w:val="00F67175"/>
    <w:rsid w:val="00F8310E"/>
    <w:rsid w:val="00F914DD"/>
    <w:rsid w:val="00FA2358"/>
    <w:rsid w:val="00FB2592"/>
    <w:rsid w:val="00FB2810"/>
    <w:rsid w:val="00FB7A2C"/>
    <w:rsid w:val="00FC2947"/>
    <w:rsid w:val="00FE0818"/>
    <w:rsid w:val="00FE37E7"/>
    <w:rsid w:val="00FE47FA"/>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2E36A13-1D5E-4AE1-8BFA-D609930F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F664B"/>
    <w:rPr>
      <w:sz w:val="24"/>
      <w:szCs w:val="22"/>
      <w:lang w:val="en-US" w:eastAsia="en-US"/>
    </w:rPr>
  </w:style>
  <w:style w:type="paragraph" w:customStyle="1" w:styleId="Reasons">
    <w:name w:val="Reasons"/>
    <w:basedOn w:val="Normal"/>
    <w:qFormat/>
    <w:rsid w:val="00AF664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10183A"/>
    <w:rPr>
      <w:color w:val="800080" w:themeColor="followedHyperlink"/>
      <w:u w:val="single"/>
    </w:rPr>
  </w:style>
  <w:style w:type="paragraph" w:styleId="ListParagraph">
    <w:name w:val="List Paragraph"/>
    <w:basedOn w:val="Normal"/>
    <w:uiPriority w:val="34"/>
    <w:qFormat/>
    <w:rsid w:val="005817A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5A68-7494-4172-9238-087E909F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63</TotalTime>
  <Pages>2</Pages>
  <Words>825</Words>
  <Characters>4576</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5391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Gimenez, Christine</cp:lastModifiedBy>
  <cp:revision>3</cp:revision>
  <cp:lastPrinted>2017-08-29T14:07:00Z</cp:lastPrinted>
  <dcterms:created xsi:type="dcterms:W3CDTF">2017-08-29T14:06:00Z</dcterms:created>
  <dcterms:modified xsi:type="dcterms:W3CDTF">2017-08-29T15:10:00Z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