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7D61FC" w:rsidTr="0029677E">
        <w:tc>
          <w:tcPr>
            <w:tcW w:w="5000" w:type="pct"/>
            <w:gridSpan w:val="3"/>
            <w:shd w:val="clear" w:color="auto" w:fill="auto"/>
          </w:tcPr>
          <w:p w:rsidR="00AF70F6" w:rsidRPr="001370E7"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1370E7">
              <w:rPr>
                <w:rFonts w:eastAsiaTheme="minorEastAsia"/>
                <w:b/>
                <w:bCs/>
                <w:color w:val="808080"/>
                <w:sz w:val="28"/>
                <w:szCs w:val="36"/>
                <w:rtl/>
                <w:lang w:eastAsia="zh-CN"/>
              </w:rPr>
              <w:t>مكتب</w:t>
            </w:r>
            <w:r w:rsidRPr="001370E7">
              <w:rPr>
                <w:rFonts w:eastAsiaTheme="minorEastAsia" w:hint="cs"/>
                <w:b/>
                <w:bCs/>
                <w:color w:val="808080"/>
                <w:sz w:val="28"/>
                <w:szCs w:val="36"/>
                <w:rtl/>
                <w:lang w:eastAsia="zh-CN"/>
              </w:rPr>
              <w:t xml:space="preserve"> </w:t>
            </w:r>
            <w:r w:rsidRPr="001370E7">
              <w:rPr>
                <w:rFonts w:eastAsiaTheme="minorEastAsia"/>
                <w:b/>
                <w:bCs/>
                <w:color w:val="808080"/>
                <w:sz w:val="28"/>
                <w:szCs w:val="36"/>
                <w:rtl/>
                <w:lang w:eastAsia="zh-CN"/>
              </w:rPr>
              <w:t>الاتصالات</w:t>
            </w:r>
            <w:r w:rsidRPr="001370E7">
              <w:rPr>
                <w:rFonts w:eastAsiaTheme="minorEastAsia" w:hint="cs"/>
                <w:b/>
                <w:bCs/>
                <w:color w:val="808080"/>
                <w:sz w:val="28"/>
                <w:szCs w:val="36"/>
                <w:rtl/>
                <w:lang w:eastAsia="zh-CN"/>
              </w:rPr>
              <w:t xml:space="preserve"> </w:t>
            </w:r>
            <w:r w:rsidRPr="001370E7">
              <w:rPr>
                <w:rFonts w:eastAsiaTheme="minorEastAsia"/>
                <w:b/>
                <w:bCs/>
                <w:color w:val="808080"/>
                <w:sz w:val="28"/>
                <w:szCs w:val="36"/>
                <w:rtl/>
                <w:lang w:eastAsia="zh-CN"/>
              </w:rPr>
              <w:t>الراديوية</w:t>
            </w:r>
            <w:r w:rsidRPr="001370E7">
              <w:rPr>
                <w:rFonts w:eastAsiaTheme="minorEastAsia" w:hint="cs"/>
                <w:b/>
                <w:bCs/>
                <w:color w:val="808080"/>
                <w:sz w:val="28"/>
                <w:szCs w:val="36"/>
                <w:rtl/>
                <w:lang w:eastAsia="zh-CN"/>
              </w:rPr>
              <w:t xml:space="preserve"> </w:t>
            </w:r>
            <w:r w:rsidRPr="001370E7">
              <w:rPr>
                <w:rFonts w:eastAsiaTheme="minorEastAsia"/>
                <w:b/>
                <w:bCs/>
                <w:color w:val="808080"/>
                <w:sz w:val="28"/>
                <w:szCs w:val="36"/>
                <w:lang w:eastAsia="zh-CN" w:bidi="ar-SY"/>
              </w:rPr>
              <w:t>(BR)</w:t>
            </w:r>
          </w:p>
        </w:tc>
      </w:tr>
      <w:tr w:rsidR="008A33BC" w:rsidRPr="007D61FC" w:rsidTr="00206857">
        <w:tc>
          <w:tcPr>
            <w:tcW w:w="5000" w:type="pct"/>
            <w:gridSpan w:val="3"/>
            <w:shd w:val="clear" w:color="auto" w:fill="auto"/>
          </w:tcPr>
          <w:p w:rsidR="008A33BC" w:rsidRPr="007D61FC" w:rsidRDefault="008A33BC" w:rsidP="008A33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A33BC" w:rsidRPr="007D61FC" w:rsidTr="00206857">
        <w:tc>
          <w:tcPr>
            <w:tcW w:w="5000" w:type="pct"/>
            <w:gridSpan w:val="3"/>
            <w:shd w:val="clear" w:color="auto" w:fill="auto"/>
          </w:tcPr>
          <w:p w:rsidR="008A33BC" w:rsidRPr="007D61FC" w:rsidRDefault="008A33BC" w:rsidP="008A33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7D61FC" w:rsidTr="0029677E">
        <w:tc>
          <w:tcPr>
            <w:tcW w:w="2707" w:type="pct"/>
            <w:gridSpan w:val="2"/>
            <w:shd w:val="clear" w:color="auto" w:fill="auto"/>
          </w:tcPr>
          <w:p w:rsidR="007D61FC" w:rsidRPr="007D61FC" w:rsidRDefault="007D61FC" w:rsidP="007D61F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AE"/>
              </w:rPr>
            </w:pPr>
            <w:r w:rsidRPr="007D61FC">
              <w:rPr>
                <w:rFonts w:eastAsiaTheme="minorEastAsia" w:hint="cs"/>
                <w:rtl/>
                <w:lang w:eastAsia="zh-CN" w:bidi="ar-AE"/>
              </w:rPr>
              <w:t>الرسالة المعممة</w:t>
            </w:r>
          </w:p>
          <w:p w:rsidR="00AF70F6" w:rsidRPr="007D61FC" w:rsidRDefault="007D61FC" w:rsidP="00FE7A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sidRPr="007D61FC">
              <w:rPr>
                <w:rFonts w:eastAsiaTheme="minorEastAsia"/>
                <w:b/>
                <w:bCs/>
                <w:lang w:val="en-GB" w:eastAsia="zh-CN" w:bidi="ar-AE"/>
              </w:rPr>
              <w:t>CR/</w:t>
            </w:r>
            <w:r w:rsidR="00FE7AC5">
              <w:rPr>
                <w:rFonts w:eastAsiaTheme="minorEastAsia"/>
                <w:b/>
                <w:bCs/>
                <w:lang w:val="en-GB" w:eastAsia="zh-CN" w:bidi="ar-AE"/>
              </w:rPr>
              <w:t>420</w:t>
            </w:r>
          </w:p>
        </w:tc>
        <w:tc>
          <w:tcPr>
            <w:tcW w:w="2293" w:type="pct"/>
            <w:shd w:val="clear" w:color="auto" w:fill="auto"/>
          </w:tcPr>
          <w:p w:rsidR="00AF70F6" w:rsidRPr="007D61FC" w:rsidRDefault="007D61FC" w:rsidP="00FE7A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sidRPr="007D61FC">
              <w:rPr>
                <w:rFonts w:eastAsiaTheme="minorEastAsia" w:hint="cs"/>
                <w:rtl/>
                <w:lang w:val="fr-FR" w:eastAsia="zh-CN" w:bidi="ar-SY"/>
              </w:rPr>
              <w:t xml:space="preserve">جنيف، </w:t>
            </w:r>
            <w:r w:rsidR="00FE7AC5">
              <w:rPr>
                <w:rFonts w:eastAsiaTheme="minorEastAsia"/>
                <w:lang w:val="fr-FR" w:eastAsia="zh-CN" w:bidi="ar-SY"/>
              </w:rPr>
              <w:t>31</w:t>
            </w:r>
            <w:r w:rsidRPr="007D61FC">
              <w:rPr>
                <w:rFonts w:eastAsiaTheme="minorEastAsia" w:hint="cs"/>
                <w:rtl/>
                <w:lang w:val="fr-FR" w:eastAsia="zh-CN" w:bidi="ar-SY"/>
              </w:rPr>
              <w:t xml:space="preserve"> </w:t>
            </w:r>
            <w:r w:rsidR="00FE7AC5">
              <w:rPr>
                <w:rFonts w:eastAsiaTheme="minorEastAsia" w:hint="cs"/>
                <w:rtl/>
                <w:lang w:val="fr-FR" w:eastAsia="zh-CN" w:bidi="ar-SY"/>
              </w:rPr>
              <w:t>أغسطس</w:t>
            </w:r>
            <w:r w:rsidRPr="007D61FC">
              <w:rPr>
                <w:rFonts w:eastAsiaTheme="minorEastAsia" w:hint="cs"/>
                <w:rtl/>
                <w:lang w:val="fr-FR" w:eastAsia="zh-CN" w:bidi="ar-SY"/>
              </w:rPr>
              <w:t xml:space="preserve"> </w:t>
            </w:r>
            <w:r w:rsidRPr="007D61FC">
              <w:rPr>
                <w:rFonts w:eastAsiaTheme="minorEastAsia"/>
                <w:lang w:eastAsia="zh-CN" w:bidi="ar-SY"/>
              </w:rPr>
              <w:t>2017</w:t>
            </w:r>
          </w:p>
        </w:tc>
      </w:tr>
      <w:tr w:rsidR="00AF70F6" w:rsidRPr="007D61FC" w:rsidTr="0029677E">
        <w:tc>
          <w:tcPr>
            <w:tcW w:w="5000" w:type="pct"/>
            <w:gridSpan w:val="3"/>
            <w:shd w:val="clear" w:color="auto" w:fill="auto"/>
          </w:tcPr>
          <w:p w:rsidR="00AF70F6" w:rsidRPr="007D61FC" w:rsidRDefault="00AF70F6" w:rsidP="001370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7D61FC" w:rsidTr="0029677E">
        <w:tc>
          <w:tcPr>
            <w:tcW w:w="5000" w:type="pct"/>
            <w:gridSpan w:val="3"/>
            <w:shd w:val="clear" w:color="auto" w:fill="auto"/>
          </w:tcPr>
          <w:p w:rsidR="00AF70F6" w:rsidRPr="007D61FC" w:rsidRDefault="00AF70F6" w:rsidP="001370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7D61FC" w:rsidTr="0029677E">
        <w:tc>
          <w:tcPr>
            <w:tcW w:w="5000" w:type="pct"/>
            <w:gridSpan w:val="3"/>
            <w:shd w:val="clear" w:color="auto" w:fill="auto"/>
          </w:tcPr>
          <w:p w:rsidR="00AF70F6" w:rsidRPr="007D61FC" w:rsidRDefault="00BB381F" w:rsidP="00BB38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BB381F">
              <w:rPr>
                <w:rFonts w:eastAsiaTheme="minorEastAsia"/>
                <w:b/>
                <w:bCs/>
                <w:rtl/>
                <w:lang w:eastAsia="zh-CN"/>
              </w:rPr>
              <w:t>إلى إدارات الدول الأعضاء في الاتحاد</w:t>
            </w:r>
            <w:r w:rsidR="001370E7">
              <w:rPr>
                <w:rFonts w:eastAsiaTheme="minorEastAsia" w:hint="cs"/>
                <w:b/>
                <w:bCs/>
                <w:rtl/>
                <w:lang w:eastAsia="zh-CN" w:bidi="ar-SY"/>
              </w:rPr>
              <w:t xml:space="preserve"> الدولي للاتصالات</w:t>
            </w:r>
          </w:p>
        </w:tc>
      </w:tr>
      <w:tr w:rsidR="001370E7" w:rsidRPr="007D61FC" w:rsidTr="00206857">
        <w:tc>
          <w:tcPr>
            <w:tcW w:w="5000" w:type="pct"/>
            <w:gridSpan w:val="3"/>
            <w:shd w:val="clear" w:color="auto" w:fill="auto"/>
          </w:tcPr>
          <w:p w:rsidR="001370E7" w:rsidRPr="007D61FC" w:rsidRDefault="001370E7" w:rsidP="001370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1370E7" w:rsidRPr="007D61FC" w:rsidTr="00206857">
        <w:tc>
          <w:tcPr>
            <w:tcW w:w="5000" w:type="pct"/>
            <w:gridSpan w:val="3"/>
            <w:shd w:val="clear" w:color="auto" w:fill="auto"/>
          </w:tcPr>
          <w:p w:rsidR="001370E7" w:rsidRPr="007D61FC" w:rsidRDefault="001370E7" w:rsidP="001370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7D61FC" w:rsidTr="0029677E">
        <w:trPr>
          <w:trHeight w:val="452"/>
        </w:trPr>
        <w:tc>
          <w:tcPr>
            <w:tcW w:w="699" w:type="pct"/>
            <w:shd w:val="clear" w:color="auto" w:fill="auto"/>
          </w:tcPr>
          <w:p w:rsidR="00AF70F6" w:rsidRPr="007D61FC"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7D61FC">
              <w:rPr>
                <w:rFonts w:eastAsiaTheme="minorEastAsia"/>
                <w:rtl/>
                <w:lang w:eastAsia="zh-CN"/>
              </w:rPr>
              <w:t>الموضوع</w:t>
            </w:r>
            <w:r w:rsidRPr="007D61FC">
              <w:rPr>
                <w:rFonts w:eastAsiaTheme="minorEastAsia"/>
                <w:lang w:val="en-GB" w:eastAsia="zh-CN" w:bidi="ar-SY"/>
              </w:rPr>
              <w:t>:</w:t>
            </w:r>
          </w:p>
        </w:tc>
        <w:tc>
          <w:tcPr>
            <w:tcW w:w="4301" w:type="pct"/>
            <w:gridSpan w:val="2"/>
            <w:shd w:val="clear" w:color="auto" w:fill="auto"/>
          </w:tcPr>
          <w:p w:rsidR="00AF70F6" w:rsidRPr="00D80894" w:rsidRDefault="00BB381F" w:rsidP="001C22E6">
            <w:pPr>
              <w:spacing w:before="60" w:after="60" w:line="340" w:lineRule="exact"/>
              <w:jc w:val="left"/>
              <w:rPr>
                <w:b/>
                <w:bCs/>
                <w:lang w:bidi="ar-EG"/>
              </w:rPr>
            </w:pPr>
            <w:r w:rsidRPr="00BB381F">
              <w:rPr>
                <w:rFonts w:hint="cs"/>
                <w:b/>
                <w:bCs/>
                <w:rtl/>
                <w:lang w:bidi="ar-EG"/>
              </w:rPr>
              <w:t xml:space="preserve">تطبيق </w:t>
            </w:r>
            <w:r w:rsidR="00FE7AC5">
              <w:rPr>
                <w:rFonts w:hint="cs"/>
                <w:b/>
                <w:bCs/>
                <w:rtl/>
              </w:rPr>
              <w:t>الرقم</w:t>
            </w:r>
            <w:r w:rsidRPr="00BB381F">
              <w:rPr>
                <w:rFonts w:hint="cs"/>
                <w:b/>
                <w:bCs/>
                <w:rtl/>
                <w:lang w:bidi="ar-EG"/>
              </w:rPr>
              <w:t xml:space="preserve"> </w:t>
            </w:r>
            <w:r w:rsidR="00FE7AC5">
              <w:rPr>
                <w:b/>
                <w:bCs/>
                <w:lang w:bidi="ar-EG"/>
              </w:rPr>
              <w:t>3.9</w:t>
            </w:r>
            <w:r w:rsidRPr="00BB381F">
              <w:rPr>
                <w:rFonts w:hint="cs"/>
                <w:b/>
                <w:bCs/>
                <w:rtl/>
                <w:lang w:bidi="ar-EG"/>
              </w:rPr>
              <w:t xml:space="preserve"> من لوائح الراديو</w:t>
            </w:r>
            <w:r w:rsidR="00FE7AC5">
              <w:rPr>
                <w:rFonts w:hint="cs"/>
                <w:b/>
                <w:bCs/>
                <w:rtl/>
              </w:rPr>
              <w:t xml:space="preserve"> </w:t>
            </w:r>
            <w:r w:rsidR="00D80894">
              <w:rPr>
                <w:rFonts w:hint="cs"/>
                <w:b/>
                <w:bCs/>
                <w:rtl/>
              </w:rPr>
              <w:t xml:space="preserve">في </w:t>
            </w:r>
            <w:r w:rsidR="00FE7AC5">
              <w:rPr>
                <w:rFonts w:hint="cs"/>
                <w:b/>
                <w:bCs/>
                <w:rtl/>
              </w:rPr>
              <w:t>نطاق</w:t>
            </w:r>
            <w:r w:rsidR="00D80894">
              <w:rPr>
                <w:rFonts w:hint="cs"/>
                <w:b/>
                <w:bCs/>
                <w:rtl/>
              </w:rPr>
              <w:t>ي</w:t>
            </w:r>
            <w:r w:rsidR="00FE7AC5">
              <w:rPr>
                <w:rFonts w:hint="cs"/>
                <w:b/>
                <w:bCs/>
                <w:rtl/>
              </w:rPr>
              <w:t xml:space="preserve"> التردد </w:t>
            </w:r>
            <w:r w:rsidR="00FE7AC5">
              <w:rPr>
                <w:b/>
                <w:bCs/>
              </w:rPr>
              <w:t>MHz 2</w:t>
            </w:r>
            <w:r w:rsidR="001C22E6">
              <w:rPr>
                <w:b/>
                <w:bCs/>
              </w:rPr>
              <w:t> </w:t>
            </w:r>
            <w:r w:rsidR="00FE7AC5">
              <w:rPr>
                <w:b/>
                <w:bCs/>
              </w:rPr>
              <w:t>110-</w:t>
            </w:r>
            <w:r w:rsidR="00527532">
              <w:rPr>
                <w:b/>
                <w:bCs/>
              </w:rPr>
              <w:t>2</w:t>
            </w:r>
            <w:r w:rsidR="001C22E6">
              <w:rPr>
                <w:b/>
                <w:bCs/>
              </w:rPr>
              <w:t> </w:t>
            </w:r>
            <w:r w:rsidR="00FE7AC5">
              <w:rPr>
                <w:b/>
                <w:bCs/>
              </w:rPr>
              <w:t>025</w:t>
            </w:r>
            <w:r w:rsidR="00FE7AC5">
              <w:rPr>
                <w:rFonts w:hint="cs"/>
                <w:b/>
                <w:bCs/>
                <w:rtl/>
              </w:rPr>
              <w:t xml:space="preserve"> (أرض-فضاء) </w:t>
            </w:r>
            <w:r w:rsidR="00FE7AC5">
              <w:rPr>
                <w:b/>
                <w:bCs/>
                <w:rtl/>
              </w:rPr>
              <w:br/>
            </w:r>
            <w:r w:rsidR="00FE7AC5">
              <w:rPr>
                <w:rFonts w:hint="cs"/>
                <w:b/>
                <w:bCs/>
                <w:rtl/>
              </w:rPr>
              <w:t>و</w:t>
            </w:r>
            <w:r w:rsidR="00FE7AC5">
              <w:rPr>
                <w:b/>
                <w:bCs/>
              </w:rPr>
              <w:t xml:space="preserve"> MHz 2 </w:t>
            </w:r>
            <w:r w:rsidR="00FB0BD3">
              <w:rPr>
                <w:b/>
                <w:bCs/>
              </w:rPr>
              <w:t>290</w:t>
            </w:r>
            <w:r w:rsidR="00FE7AC5">
              <w:rPr>
                <w:b/>
                <w:bCs/>
              </w:rPr>
              <w:noBreakHyphen/>
            </w:r>
            <w:r w:rsidR="001A1371">
              <w:rPr>
                <w:b/>
                <w:bCs/>
              </w:rPr>
              <w:t>2</w:t>
            </w:r>
            <w:r w:rsidR="00FE7AC5">
              <w:rPr>
                <w:b/>
                <w:bCs/>
              </w:rPr>
              <w:t> </w:t>
            </w:r>
            <w:r w:rsidR="00FB0BD3">
              <w:rPr>
                <w:b/>
                <w:bCs/>
              </w:rPr>
              <w:t>200</w:t>
            </w:r>
            <w:r w:rsidR="00D80894">
              <w:rPr>
                <w:rFonts w:hint="cs"/>
                <w:b/>
                <w:bCs/>
                <w:rtl/>
                <w:lang w:bidi="ar-EG"/>
              </w:rPr>
              <w:t>(فضاء-أرض)</w:t>
            </w:r>
          </w:p>
        </w:tc>
      </w:tr>
      <w:tr w:rsidR="00AF70F6" w:rsidRPr="007D61FC" w:rsidTr="0029677E">
        <w:trPr>
          <w:trHeight w:val="452"/>
        </w:trPr>
        <w:tc>
          <w:tcPr>
            <w:tcW w:w="699" w:type="pct"/>
            <w:shd w:val="clear" w:color="auto" w:fill="auto"/>
          </w:tcPr>
          <w:p w:rsidR="00AF70F6" w:rsidRPr="007D61FC"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rPr>
            </w:pPr>
          </w:p>
        </w:tc>
        <w:tc>
          <w:tcPr>
            <w:tcW w:w="4301" w:type="pct"/>
            <w:gridSpan w:val="2"/>
            <w:shd w:val="clear" w:color="auto" w:fill="auto"/>
          </w:tcPr>
          <w:p w:rsidR="00AF70F6" w:rsidRPr="007D61FC"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bidi="ar-SY"/>
              </w:rPr>
            </w:pPr>
          </w:p>
        </w:tc>
      </w:tr>
    </w:tbl>
    <w:p w:rsidR="00BB381F" w:rsidRDefault="001C22E6" w:rsidP="001C22E6">
      <w:pPr>
        <w:rPr>
          <w:rtl/>
          <w:lang w:bidi="ar-EG"/>
        </w:rPr>
      </w:pPr>
      <w:r>
        <w:rPr>
          <w:rFonts w:hint="cs"/>
          <w:rtl/>
          <w:lang w:bidi="ar-EG"/>
        </w:rPr>
        <w:t xml:space="preserve">لاحظ مكتب الاتصالات الراديوية زيادة في عدد التبليغات المتعلقة بالنشر المسبق بموجب الرقم </w:t>
      </w:r>
      <w:r w:rsidRPr="001C22E6">
        <w:rPr>
          <w:b/>
          <w:bCs/>
          <w:lang w:bidi="ar-EG"/>
        </w:rPr>
        <w:t>1.9</w:t>
      </w:r>
      <w:r>
        <w:rPr>
          <w:rFonts w:hint="cs"/>
          <w:rtl/>
          <w:lang w:bidi="ar-EG"/>
        </w:rPr>
        <w:t xml:space="preserve"> من لوائح الراديو والتي تتضمن معلومات عامة. وتتناول هذه الرسالة المعممة الصعوبات التي تنشأ عن هذا التطور في عملية التشاور بموجب الرقم </w:t>
      </w:r>
      <w:r w:rsidRPr="001C22E6">
        <w:rPr>
          <w:b/>
          <w:bCs/>
          <w:lang w:bidi="ar-EG"/>
        </w:rPr>
        <w:t>3.9</w:t>
      </w:r>
      <w:r>
        <w:rPr>
          <w:rFonts w:hint="cs"/>
          <w:rtl/>
          <w:lang w:bidi="ar-EG"/>
        </w:rPr>
        <w:t xml:space="preserve">. </w:t>
      </w:r>
    </w:p>
    <w:p w:rsidR="001C22E6" w:rsidRDefault="001C22E6" w:rsidP="00006614">
      <w:pPr>
        <w:rPr>
          <w:lang w:bidi="ar-EG"/>
        </w:rPr>
      </w:pPr>
      <w:r>
        <w:rPr>
          <w:rFonts w:hint="cs"/>
          <w:rtl/>
          <w:lang w:bidi="ar-EG"/>
        </w:rPr>
        <w:t xml:space="preserve">ويود المكتب أن يؤكد أن الهدف من عملية التعاون بموجب الرقمين </w:t>
      </w:r>
      <w:r w:rsidR="00006614" w:rsidRPr="00006614">
        <w:rPr>
          <w:b/>
          <w:bCs/>
          <w:lang w:bidi="ar-EG"/>
        </w:rPr>
        <w:t>3.9</w:t>
      </w:r>
      <w:r>
        <w:rPr>
          <w:rFonts w:hint="cs"/>
          <w:rtl/>
          <w:lang w:bidi="ar-EG"/>
        </w:rPr>
        <w:t xml:space="preserve"> و</w:t>
      </w:r>
      <w:r w:rsidR="00006614" w:rsidRPr="00006614">
        <w:rPr>
          <w:b/>
          <w:bCs/>
          <w:lang w:bidi="ar-EG"/>
        </w:rPr>
        <w:t>4.9</w:t>
      </w:r>
      <w:r>
        <w:rPr>
          <w:rFonts w:hint="cs"/>
          <w:rtl/>
          <w:lang w:bidi="ar-EG"/>
        </w:rPr>
        <w:t xml:space="preserve"> هو توفير فرص للإدارات لتعديل خصائص تخصيصات التردد الخاصة بها من أجل مراعاة التعليقات الواردة من إدارات أخرى قبل التبليغ عن هذه التخصيصات بموجب المادة </w:t>
      </w:r>
      <w:r>
        <w:rPr>
          <w:lang w:bidi="ar-EG"/>
        </w:rPr>
        <w:t>11</w:t>
      </w:r>
      <w:r>
        <w:rPr>
          <w:rFonts w:hint="cs"/>
          <w:rtl/>
          <w:lang w:bidi="ar-EG"/>
        </w:rPr>
        <w:t xml:space="preserve"> ووضعها في الخدمة، وذلك بغرض تفادي حدوث تداخل ضار أثناء التشغيل. والافتقار إلى معلومات</w:t>
      </w:r>
      <w:r w:rsidR="0074171A">
        <w:rPr>
          <w:rFonts w:hint="cs"/>
          <w:rtl/>
          <w:lang w:bidi="ar-EG"/>
        </w:rPr>
        <w:t xml:space="preserve"> محددة ضمن معلومات النشر المسبق</w:t>
      </w:r>
      <w:r w:rsidR="0074171A">
        <w:rPr>
          <w:rFonts w:hint="eastAsia"/>
          <w:rtl/>
          <w:lang w:bidi="ar-EG"/>
        </w:rPr>
        <w:t> </w:t>
      </w:r>
      <w:r w:rsidR="00006614">
        <w:rPr>
          <w:lang w:bidi="ar-EG"/>
        </w:rPr>
        <w:t>(API)</w:t>
      </w:r>
      <w:r>
        <w:rPr>
          <w:rFonts w:hint="cs"/>
          <w:rtl/>
          <w:lang w:bidi="ar-EG"/>
        </w:rPr>
        <w:t xml:space="preserve"> المنشورة بموجب </w:t>
      </w:r>
      <w:r w:rsidR="00006614" w:rsidRPr="00006614">
        <w:rPr>
          <w:b/>
          <w:bCs/>
          <w:lang w:bidi="ar-EG"/>
        </w:rPr>
        <w:t>2B.9</w:t>
      </w:r>
      <w:r>
        <w:rPr>
          <w:rFonts w:hint="cs"/>
          <w:rtl/>
          <w:lang w:bidi="ar-EG"/>
        </w:rPr>
        <w:t xml:space="preserve"> يجعل عملية التعاون هذه أطول وأصعب.</w:t>
      </w:r>
    </w:p>
    <w:p w:rsidR="0005553D" w:rsidRPr="00D01496" w:rsidRDefault="00006614" w:rsidP="00573CB6">
      <w:pPr>
        <w:rPr>
          <w:rtl/>
          <w:lang w:bidi="ar-EG"/>
        </w:rPr>
      </w:pPr>
      <w:r w:rsidRPr="00006614">
        <w:rPr>
          <w:rFonts w:hint="cs"/>
          <w:rtl/>
          <w:lang w:bidi="ar-EG"/>
        </w:rPr>
        <w:t xml:space="preserve">ولا يخضع نطاقا التردد </w:t>
      </w:r>
      <w:r w:rsidRPr="00006614">
        <w:t>MHz 2 110-2 025</w:t>
      </w:r>
      <w:r w:rsidRPr="00006614">
        <w:rPr>
          <w:rFonts w:hint="cs"/>
          <w:rtl/>
        </w:rPr>
        <w:t xml:space="preserve"> (أرض-فضاء) و</w:t>
      </w:r>
      <w:r w:rsidRPr="00006614">
        <w:t xml:space="preserve"> MHz 2 290</w:t>
      </w:r>
      <w:r w:rsidRPr="00006614">
        <w:noBreakHyphen/>
        <w:t>2 200</w:t>
      </w:r>
      <w:r w:rsidRPr="00006614">
        <w:rPr>
          <w:rFonts w:hint="cs"/>
          <w:rtl/>
          <w:lang w:bidi="ar-EG"/>
        </w:rPr>
        <w:t>(فضاء-أرض)</w:t>
      </w:r>
      <w:r>
        <w:rPr>
          <w:rFonts w:hint="cs"/>
          <w:rtl/>
          <w:lang w:bidi="ar-EG"/>
        </w:rPr>
        <w:t xml:space="preserve"> لإجراء التنسيق بموجب القسم </w:t>
      </w:r>
      <w:r w:rsidR="00D01496">
        <w:rPr>
          <w:lang w:bidi="ar-EG"/>
        </w:rPr>
        <w:t>II</w:t>
      </w:r>
      <w:r>
        <w:rPr>
          <w:rFonts w:hint="cs"/>
          <w:rtl/>
          <w:lang w:bidi="ar-EG"/>
        </w:rPr>
        <w:t xml:space="preserve"> من المادة </w:t>
      </w:r>
      <w:r w:rsidR="00D01496">
        <w:rPr>
          <w:lang w:bidi="ar-EG"/>
        </w:rPr>
        <w:t>9</w:t>
      </w:r>
      <w:r>
        <w:rPr>
          <w:rFonts w:hint="cs"/>
          <w:rtl/>
          <w:lang w:bidi="ar-EG"/>
        </w:rPr>
        <w:t xml:space="preserve"> عندما تستعملهما سواتل غير مستقرة بالنسبة إلى الأرض </w:t>
      </w:r>
      <w:r w:rsidR="00D01496">
        <w:rPr>
          <w:lang w:bidi="ar-EG"/>
        </w:rPr>
        <w:t>(non-GSO)</w:t>
      </w:r>
      <w:r>
        <w:rPr>
          <w:rFonts w:hint="cs"/>
          <w:rtl/>
          <w:lang w:bidi="ar-EG"/>
        </w:rPr>
        <w:t>. وهذان النطاقان في الواقع هما أكثر النطاقات شيوعاً فيما يتعلق بالتشغيل الفضائي لسواتل غير مستقرة بالنسبة إلى الأرض. وإذا وُضع في الاعتبار أن هذا التشغيل مدته محدودة</w:t>
      </w:r>
      <w:r w:rsidR="00D01496" w:rsidRPr="00D01496">
        <w:rPr>
          <w:rFonts w:hint="cs"/>
          <w:rtl/>
          <w:lang w:bidi="ar-EG"/>
        </w:rPr>
        <w:t xml:space="preserve"> </w:t>
      </w:r>
      <w:r w:rsidR="00D01496">
        <w:rPr>
          <w:rFonts w:hint="cs"/>
          <w:rtl/>
          <w:lang w:bidi="ar-EG"/>
        </w:rPr>
        <w:t>بصورة عامة</w:t>
      </w:r>
      <w:r>
        <w:rPr>
          <w:rFonts w:hint="cs"/>
          <w:rtl/>
          <w:lang w:bidi="ar-EG"/>
        </w:rPr>
        <w:t xml:space="preserve"> ويتطلب قدراً محدوداً من عرض النطاق (يتطلب</w:t>
      </w:r>
      <w:r w:rsidR="00D01496">
        <w:rPr>
          <w:rFonts w:hint="cs"/>
          <w:rtl/>
          <w:lang w:bidi="ar-EG"/>
        </w:rPr>
        <w:t xml:space="preserve"> نمطياً القليل من وحدات الميغاه</w:t>
      </w:r>
      <w:r>
        <w:rPr>
          <w:rFonts w:hint="cs"/>
          <w:rtl/>
          <w:lang w:bidi="ar-EG"/>
        </w:rPr>
        <w:t xml:space="preserve">رتز) وعدداً محدوداً من المحطات الأرضية، فإن العملية التي تجرى بموجب </w:t>
      </w:r>
      <w:r w:rsidR="00D01496">
        <w:rPr>
          <w:rFonts w:hint="cs"/>
          <w:rtl/>
          <w:lang w:bidi="ar-EG"/>
        </w:rPr>
        <w:t>ا</w:t>
      </w:r>
      <w:r>
        <w:rPr>
          <w:rFonts w:hint="cs"/>
          <w:rtl/>
          <w:lang w:bidi="ar-EG"/>
        </w:rPr>
        <w:t xml:space="preserve">لرقمين </w:t>
      </w:r>
      <w:r w:rsidRPr="00006614">
        <w:rPr>
          <w:b/>
          <w:bCs/>
          <w:lang w:bidi="ar-EG"/>
        </w:rPr>
        <w:t>3.9</w:t>
      </w:r>
      <w:r>
        <w:rPr>
          <w:rFonts w:hint="cs"/>
          <w:rtl/>
          <w:lang w:bidi="ar-EG"/>
        </w:rPr>
        <w:t xml:space="preserve"> و</w:t>
      </w:r>
      <w:r w:rsidRPr="00006614">
        <w:rPr>
          <w:b/>
          <w:bCs/>
          <w:lang w:bidi="ar-EG"/>
        </w:rPr>
        <w:t>4.9</w:t>
      </w:r>
      <w:r>
        <w:rPr>
          <w:rFonts w:hint="cs"/>
          <w:rtl/>
          <w:lang w:bidi="ar-EG"/>
        </w:rPr>
        <w:t xml:space="preserve"> </w:t>
      </w:r>
      <w:r w:rsidR="00D01496">
        <w:rPr>
          <w:rFonts w:hint="cs"/>
          <w:rtl/>
          <w:lang w:bidi="ar-EG"/>
        </w:rPr>
        <w:t xml:space="preserve">يمكن تسهيلها من خلال تقديم معلومات محددة في مرحلة معلومات النشر المسبق. وفي هذه الحالة، قد لا تكون التعليقات بموجب الرقم </w:t>
      </w:r>
      <w:r w:rsidR="00D01496" w:rsidRPr="00006614">
        <w:rPr>
          <w:b/>
          <w:bCs/>
          <w:lang w:bidi="ar-EG"/>
        </w:rPr>
        <w:t>3.9</w:t>
      </w:r>
      <w:r w:rsidR="00D01496">
        <w:rPr>
          <w:rFonts w:hint="cs"/>
          <w:rtl/>
          <w:lang w:bidi="ar-EG"/>
        </w:rPr>
        <w:t xml:space="preserve"> ضرورية، وحت</w:t>
      </w:r>
      <w:r w:rsidR="0074171A">
        <w:rPr>
          <w:rFonts w:hint="cs"/>
          <w:rtl/>
          <w:lang w:bidi="ar-EG"/>
        </w:rPr>
        <w:t>ى إن كان عدد السواتل العاملة في</w:t>
      </w:r>
      <w:r w:rsidR="0074171A">
        <w:rPr>
          <w:rFonts w:hint="eastAsia"/>
          <w:rtl/>
          <w:lang w:bidi="ar-EG"/>
        </w:rPr>
        <w:t> </w:t>
      </w:r>
      <w:r w:rsidR="00D01496">
        <w:rPr>
          <w:rFonts w:hint="cs"/>
          <w:rtl/>
          <w:lang w:bidi="ar-EG"/>
        </w:rPr>
        <w:t xml:space="preserve">هذين النطاقين كبيراً، يمكن الحد نسبياً من عدد التعليقات التي ترسلها الإدارات بشأن المعلومات الجديدة للنشر المسبق </w:t>
      </w:r>
      <w:r w:rsidR="003A7AB7">
        <w:rPr>
          <w:rFonts w:hint="cs"/>
          <w:rtl/>
          <w:lang w:bidi="ar-EG"/>
        </w:rPr>
        <w:t>وتركيزها</w:t>
      </w:r>
      <w:r w:rsidR="00D01496">
        <w:rPr>
          <w:rFonts w:hint="cs"/>
          <w:rtl/>
          <w:lang w:bidi="ar-EG"/>
        </w:rPr>
        <w:t xml:space="preserve"> على الحالات الحرجة. </w:t>
      </w:r>
    </w:p>
    <w:p w:rsidR="0005553D" w:rsidRDefault="003A7AB7" w:rsidP="003A7AB7">
      <w:pPr>
        <w:rPr>
          <w:rtl/>
          <w:lang w:bidi="ar-EG"/>
        </w:rPr>
      </w:pPr>
      <w:r>
        <w:rPr>
          <w:rFonts w:hint="cs"/>
          <w:rtl/>
          <w:lang w:bidi="ar-EG"/>
        </w:rPr>
        <w:t>ويقوم هذا السيناريو على افتراض أن الإدارة التي تقوم بتحليل معلومات جديدة للنشر المسبق</w:t>
      </w:r>
      <w:r w:rsidR="0063682B">
        <w:rPr>
          <w:rFonts w:hint="cs"/>
          <w:rtl/>
          <w:lang w:bidi="ar-EG"/>
        </w:rPr>
        <w:t xml:space="preserve"> قد تجد ما يكفي من المعلومات المحددة والتفصيلية. وهذا من شأنه أن يسمح في معظم الحالات باستبعاد أي مخاطر لحدوث تداخل، وبالتالي يمكن خفض الأعباء الإدارية لإعداد تعليقات على معلومات النشر المسبق والتواصل مع الإدارة المبلغة.</w:t>
      </w:r>
    </w:p>
    <w:p w:rsidR="0063682B" w:rsidRDefault="0063682B" w:rsidP="00573CB6">
      <w:pPr>
        <w:rPr>
          <w:rtl/>
          <w:lang w:bidi="ar-EG"/>
        </w:rPr>
      </w:pPr>
      <w:r>
        <w:rPr>
          <w:rFonts w:hint="cs"/>
          <w:rtl/>
          <w:lang w:bidi="ar-EG"/>
        </w:rPr>
        <w:t xml:space="preserve">ومع ذلك لا يمكن تحقيق هذا التبسيط في أنشطة التنسيق إذا كانت المعلومات الجديدة للنشر المسبق تتضمن كامل النطاق الموزع </w:t>
      </w:r>
      <w:r w:rsidR="00B95C9E">
        <w:rPr>
          <w:rFonts w:hint="cs"/>
          <w:rtl/>
          <w:lang w:bidi="ar-EG"/>
        </w:rPr>
        <w:t>للعمليات</w:t>
      </w:r>
      <w:r>
        <w:rPr>
          <w:rFonts w:hint="cs"/>
          <w:rtl/>
          <w:lang w:bidi="ar-EG"/>
        </w:rPr>
        <w:t xml:space="preserve"> الفضائي</w:t>
      </w:r>
      <w:r w:rsidR="00B95C9E">
        <w:rPr>
          <w:rFonts w:hint="cs"/>
          <w:rtl/>
          <w:lang w:bidi="ar-EG"/>
        </w:rPr>
        <w:t>ة</w:t>
      </w:r>
      <w:r>
        <w:rPr>
          <w:rFonts w:hint="cs"/>
          <w:rtl/>
          <w:lang w:bidi="ar-EG"/>
        </w:rPr>
        <w:t xml:space="preserve"> (</w:t>
      </w:r>
      <w:r w:rsidRPr="00006614">
        <w:t>MHz 2 110-2 025</w:t>
      </w:r>
      <w:r>
        <w:rPr>
          <w:rFonts w:hint="cs"/>
          <w:rtl/>
          <w:lang w:bidi="ar-EG"/>
        </w:rPr>
        <w:t xml:space="preserve"> و</w:t>
      </w:r>
      <w:r w:rsidRPr="00006614">
        <w:t>MHz 2 290</w:t>
      </w:r>
      <w:r w:rsidRPr="00006614">
        <w:noBreakHyphen/>
        <w:t>2 200</w:t>
      </w:r>
      <w:r>
        <w:rPr>
          <w:rFonts w:hint="cs"/>
          <w:rtl/>
          <w:lang w:bidi="ar-EG"/>
        </w:rPr>
        <w:t>)، وقد لاحظ المكتب هذا الاتجاه في العديد من التبليغات المقدمة حديثاً بشأن معلومات النشر المسبق.</w:t>
      </w:r>
    </w:p>
    <w:p w:rsidR="00D8083C" w:rsidRDefault="00D8083C" w:rsidP="0074171A">
      <w:pPr>
        <w:keepNext/>
        <w:rPr>
          <w:rtl/>
          <w:lang w:bidi="ar-EG"/>
        </w:rPr>
      </w:pPr>
      <w:r>
        <w:rPr>
          <w:rFonts w:hint="cs"/>
          <w:rtl/>
          <w:lang w:bidi="ar-EG"/>
        </w:rPr>
        <w:lastRenderedPageBreak/>
        <w:t>وتشمل الاتجاهات الأخرى للمعلمات العامة الواردة قي التبليغات المقدمة حديثاً بشأن معلومات النشر المسبق ما يلي:</w:t>
      </w:r>
    </w:p>
    <w:p w:rsidR="0005553D" w:rsidRDefault="0074171A" w:rsidP="0074171A">
      <w:pPr>
        <w:pStyle w:val="enumlev10"/>
      </w:pPr>
      <w:r>
        <w:rPr>
          <w:rtl/>
        </w:rPr>
        <w:t>•</w:t>
      </w:r>
      <w:r>
        <w:rPr>
          <w:rtl/>
        </w:rPr>
        <w:tab/>
      </w:r>
      <w:r w:rsidR="00D8083C">
        <w:rPr>
          <w:rFonts w:hint="cs"/>
          <w:rtl/>
        </w:rPr>
        <w:t>تشمل المعلمات المدارية مجموعة واسعة من المدارات التي يشمل كل منها عدداً كبيراً من السواتل؛</w:t>
      </w:r>
    </w:p>
    <w:p w:rsidR="0005553D" w:rsidRDefault="0074171A" w:rsidP="0074171A">
      <w:pPr>
        <w:pStyle w:val="enumlev10"/>
      </w:pPr>
      <w:r>
        <w:rPr>
          <w:rtl/>
        </w:rPr>
        <w:t>•</w:t>
      </w:r>
      <w:r>
        <w:rPr>
          <w:rtl/>
        </w:rPr>
        <w:tab/>
      </w:r>
      <w:r w:rsidR="00D8083C">
        <w:rPr>
          <w:rFonts w:hint="cs"/>
          <w:rtl/>
        </w:rPr>
        <w:t>يشمل تعريف منطقة الخدمة كامل سطح الأرض؛</w:t>
      </w:r>
    </w:p>
    <w:p w:rsidR="0005553D" w:rsidRDefault="0074171A" w:rsidP="0074171A">
      <w:pPr>
        <w:pStyle w:val="enumlev10"/>
      </w:pPr>
      <w:r>
        <w:rPr>
          <w:rtl/>
        </w:rPr>
        <w:t>•</w:t>
      </w:r>
      <w:r>
        <w:rPr>
          <w:rtl/>
        </w:rPr>
        <w:tab/>
      </w:r>
      <w:r w:rsidR="00D8083C">
        <w:rPr>
          <w:rFonts w:hint="cs"/>
          <w:rtl/>
        </w:rPr>
        <w:t>لا تُذكر محطات أرضية محددة (تُذكر محطات نمطية فقط)؛</w:t>
      </w:r>
    </w:p>
    <w:p w:rsidR="0005553D" w:rsidRDefault="0074171A" w:rsidP="0074171A">
      <w:pPr>
        <w:pStyle w:val="enumlev10"/>
      </w:pPr>
      <w:r>
        <w:rPr>
          <w:rtl/>
        </w:rPr>
        <w:t>•</w:t>
      </w:r>
      <w:r>
        <w:rPr>
          <w:rtl/>
        </w:rPr>
        <w:tab/>
      </w:r>
      <w:r w:rsidR="00D8083C">
        <w:rPr>
          <w:rFonts w:hint="cs"/>
          <w:rtl/>
        </w:rPr>
        <w:t xml:space="preserve">تغطي مستويات القدرة/القدرة المشعة المكافئة المتناحية </w:t>
      </w:r>
      <w:r w:rsidR="00D8083C">
        <w:t>(</w:t>
      </w:r>
      <w:proofErr w:type="spellStart"/>
      <w:r w:rsidR="00D8083C">
        <w:t>e.i.r.p</w:t>
      </w:r>
      <w:proofErr w:type="spellEnd"/>
      <w:r w:rsidR="00D8083C">
        <w:t>.)</w:t>
      </w:r>
      <w:r w:rsidR="00D8083C">
        <w:rPr>
          <w:rFonts w:hint="cs"/>
          <w:rtl/>
        </w:rPr>
        <w:t xml:space="preserve"> وعروض نطاقات الإشارات مديات واسعة.</w:t>
      </w:r>
    </w:p>
    <w:p w:rsidR="0005553D" w:rsidRPr="00EA7148" w:rsidRDefault="00D8083C" w:rsidP="00EA7148">
      <w:pPr>
        <w:rPr>
          <w:rtl/>
        </w:rPr>
      </w:pPr>
      <w:r>
        <w:rPr>
          <w:rFonts w:hint="cs"/>
          <w:rtl/>
        </w:rPr>
        <w:t>وفي مواجهة المعلومات العامة للنشر المسبق، يمكن للإدارات/للمشغلين الاختيار</w:t>
      </w:r>
      <w:r w:rsidR="00EA7148">
        <w:rPr>
          <w:rFonts w:hint="cs"/>
          <w:rtl/>
        </w:rPr>
        <w:t>،</w:t>
      </w:r>
      <w:r>
        <w:rPr>
          <w:rFonts w:hint="cs"/>
          <w:rtl/>
        </w:rPr>
        <w:t xml:space="preserve"> إما إبداء </w:t>
      </w:r>
      <w:r w:rsidR="00EA7148">
        <w:rPr>
          <w:rFonts w:hint="cs"/>
          <w:rtl/>
        </w:rPr>
        <w:t xml:space="preserve">تعليقات عامة أيضاً لذكر أن تداخلات غير مقبولة قد تحدث لجميع شبكاتهم الساتلية القائمة أو المخطط لها والعاملة في هذه النطاقات، وإما اعتبار أي تعليقات عديمة الفائدة بالنظر إلى نقص المعلومات الواردة ضمن معلومات النشر المسبق. وفي الحالتين، لن يتحقق الهدف  الرئيسي للرقمين </w:t>
      </w:r>
      <w:r w:rsidR="00EA7148" w:rsidRPr="00006614">
        <w:rPr>
          <w:b/>
          <w:bCs/>
          <w:lang w:bidi="ar-EG"/>
        </w:rPr>
        <w:t>3.9</w:t>
      </w:r>
      <w:r w:rsidR="00EA7148">
        <w:rPr>
          <w:rFonts w:hint="cs"/>
          <w:rtl/>
          <w:lang w:bidi="ar-EG"/>
        </w:rPr>
        <w:t xml:space="preserve"> و</w:t>
      </w:r>
      <w:r w:rsidR="00EA7148" w:rsidRPr="00006614">
        <w:rPr>
          <w:b/>
          <w:bCs/>
          <w:lang w:bidi="ar-EG"/>
        </w:rPr>
        <w:t>4.9</w:t>
      </w:r>
      <w:r w:rsidR="00EA7148">
        <w:rPr>
          <w:rFonts w:hint="cs"/>
          <w:rtl/>
          <w:lang w:bidi="ar-EG"/>
        </w:rPr>
        <w:t xml:space="preserve"> من لوائح الراديو.</w:t>
      </w:r>
    </w:p>
    <w:p w:rsidR="0005553D" w:rsidRDefault="00EA7148" w:rsidP="00EA7148">
      <w:pPr>
        <w:rPr>
          <w:rtl/>
        </w:rPr>
      </w:pPr>
      <w:r>
        <w:rPr>
          <w:rFonts w:hint="cs"/>
          <w:rtl/>
        </w:rPr>
        <w:t>ويتفهم المكتب أنه قد يكون من الضروري لبعض المشاريع التبليغ عن مجموعة واسعة من الترددات في معلومات النشر المسبق بالنظر إلى الصعوبات المتوقعة في التوصل إلى ترددات تشغيلية نهائية في مرحلة التنسيق. ومع ذلك، على نحو ما ذُكر أعلاه، فإن التبليغ عن نطاق تردد يكون أكثر واقعية فيما يتعلق بمعلومات النشر المسبق سيسهم كثيراً في تسهيل العملية.</w:t>
      </w:r>
    </w:p>
    <w:p w:rsidR="0005553D" w:rsidRDefault="002A5003" w:rsidP="002A5003">
      <w:pPr>
        <w:rPr>
          <w:rtl/>
          <w:lang w:bidi="ar-EG"/>
        </w:rPr>
      </w:pPr>
      <w:r>
        <w:rPr>
          <w:rFonts w:hint="cs"/>
          <w:rtl/>
        </w:rPr>
        <w:t xml:space="preserve">ويقترح المكتب إضافةً إلى ذلك أن يقوم المشغلون بالتبليغ عن ترددات حاملة واقعية مخطط لها ضمن معلومات النشر المسبق، مع إمكانية تعديلها ضمن نطاق التردد المبلغ عنه في عملية التعاون بموجب </w:t>
      </w:r>
      <w:r>
        <w:rPr>
          <w:rFonts w:hint="cs"/>
          <w:rtl/>
          <w:lang w:bidi="ar-EG"/>
        </w:rPr>
        <w:t xml:space="preserve">الرقمين </w:t>
      </w:r>
      <w:r w:rsidRPr="00006614">
        <w:rPr>
          <w:b/>
          <w:bCs/>
          <w:lang w:bidi="ar-EG"/>
        </w:rPr>
        <w:t>3.9</w:t>
      </w:r>
      <w:r>
        <w:rPr>
          <w:rFonts w:hint="cs"/>
          <w:rtl/>
          <w:lang w:bidi="ar-EG"/>
        </w:rPr>
        <w:t xml:space="preserve"> و</w:t>
      </w:r>
      <w:r w:rsidRPr="00006614">
        <w:rPr>
          <w:b/>
          <w:bCs/>
          <w:lang w:bidi="ar-EG"/>
        </w:rPr>
        <w:t>4.9</w:t>
      </w:r>
      <w:r>
        <w:rPr>
          <w:rFonts w:hint="cs"/>
          <w:b/>
          <w:bCs/>
          <w:rtl/>
          <w:lang w:bidi="ar-EG"/>
        </w:rPr>
        <w:t>.</w:t>
      </w:r>
      <w:r>
        <w:rPr>
          <w:rFonts w:hint="cs"/>
          <w:rtl/>
          <w:lang w:bidi="ar-EG"/>
        </w:rPr>
        <w:t xml:space="preserve"> ويمكن بعد ذلك التبليغ عن الترددات الحاملة الناتجة عن العملية بصفتها ترددات مخصصة مع عرض نطاق مخصص مقابل، وذلك</w:t>
      </w:r>
      <w:r w:rsidR="0074171A">
        <w:rPr>
          <w:rFonts w:hint="cs"/>
          <w:rtl/>
          <w:lang w:bidi="ar-EG"/>
        </w:rPr>
        <w:t xml:space="preserve"> في وقت التبليغ بغرض التسجيل في</w:t>
      </w:r>
      <w:r w:rsidR="0074171A">
        <w:rPr>
          <w:rFonts w:hint="eastAsia"/>
          <w:rtl/>
          <w:lang w:bidi="ar-EG"/>
        </w:rPr>
        <w:t> </w:t>
      </w:r>
      <w:r>
        <w:rPr>
          <w:rFonts w:hint="cs"/>
          <w:rtl/>
          <w:lang w:bidi="ar-EG"/>
        </w:rPr>
        <w:t>السجل الأساسي الدولي للترددات.</w:t>
      </w:r>
    </w:p>
    <w:p w:rsidR="002A5003" w:rsidRPr="00573CB6" w:rsidRDefault="002A5003" w:rsidP="00573CB6">
      <w:pPr>
        <w:rPr>
          <w:spacing w:val="6"/>
          <w:rtl/>
        </w:rPr>
      </w:pPr>
      <w:r w:rsidRPr="00573CB6">
        <w:rPr>
          <w:rFonts w:hint="cs"/>
          <w:spacing w:val="6"/>
          <w:rtl/>
          <w:lang w:bidi="ar-EG"/>
        </w:rPr>
        <w:t xml:space="preserve">ونظراً إلى أن الحالة المذكورة أعلاه قد تثير شواغل بشأن </w:t>
      </w:r>
      <w:r w:rsidR="00CE3933" w:rsidRPr="00573CB6">
        <w:rPr>
          <w:rFonts w:hint="cs"/>
          <w:spacing w:val="6"/>
          <w:rtl/>
          <w:lang w:bidi="ar-EG"/>
        </w:rPr>
        <w:t xml:space="preserve">نجاعة خدمة العمليات الفضائية في النطاقين </w:t>
      </w:r>
      <w:r w:rsidR="00CE3933" w:rsidRPr="00573CB6">
        <w:rPr>
          <w:spacing w:val="6"/>
        </w:rPr>
        <w:t>MHz 2 110-2 025</w:t>
      </w:r>
      <w:r w:rsidR="0074171A" w:rsidRPr="00573CB6">
        <w:rPr>
          <w:rFonts w:hint="cs"/>
          <w:spacing w:val="6"/>
          <w:rtl/>
        </w:rPr>
        <w:t xml:space="preserve"> (أرض</w:t>
      </w:r>
      <w:r w:rsidR="00573CB6" w:rsidRPr="00573CB6">
        <w:rPr>
          <w:rFonts w:hint="cs"/>
          <w:spacing w:val="6"/>
          <w:rtl/>
        </w:rPr>
        <w:t>-</w:t>
      </w:r>
      <w:r w:rsidR="00CE3933" w:rsidRPr="00573CB6">
        <w:rPr>
          <w:rFonts w:hint="cs"/>
          <w:spacing w:val="6"/>
          <w:rtl/>
        </w:rPr>
        <w:t>فضاء) و</w:t>
      </w:r>
      <w:r w:rsidR="00CE3933" w:rsidRPr="00573CB6">
        <w:rPr>
          <w:spacing w:val="6"/>
        </w:rPr>
        <w:t xml:space="preserve"> MHz 2 290</w:t>
      </w:r>
      <w:r w:rsidR="00CE3933" w:rsidRPr="00573CB6">
        <w:rPr>
          <w:spacing w:val="6"/>
        </w:rPr>
        <w:noBreakHyphen/>
        <w:t>2 200</w:t>
      </w:r>
      <w:r w:rsidR="00CE3933" w:rsidRPr="00573CB6">
        <w:rPr>
          <w:rFonts w:hint="cs"/>
          <w:spacing w:val="6"/>
          <w:rtl/>
          <w:lang w:bidi="ar-EG"/>
        </w:rPr>
        <w:t xml:space="preserve">(فضاء-أرض)، أود أن أدعو الإدارات إلى </w:t>
      </w:r>
      <w:r w:rsidR="00270CC3" w:rsidRPr="00573CB6">
        <w:rPr>
          <w:rFonts w:hint="cs"/>
          <w:spacing w:val="6"/>
          <w:rtl/>
          <w:lang w:bidi="ar-EG"/>
        </w:rPr>
        <w:t>إيلاء المزيد من ا</w:t>
      </w:r>
      <w:r w:rsidR="0074171A" w:rsidRPr="00573CB6">
        <w:rPr>
          <w:rFonts w:hint="cs"/>
          <w:spacing w:val="6"/>
          <w:rtl/>
          <w:lang w:bidi="ar-EG"/>
        </w:rPr>
        <w:t>لعناية غلى المعلومات المقدمة في</w:t>
      </w:r>
      <w:r w:rsidR="0074171A" w:rsidRPr="00573CB6">
        <w:rPr>
          <w:rFonts w:hint="eastAsia"/>
          <w:spacing w:val="6"/>
          <w:rtl/>
          <w:lang w:bidi="ar-EG"/>
        </w:rPr>
        <w:t> </w:t>
      </w:r>
      <w:r w:rsidR="00270CC3" w:rsidRPr="00573CB6">
        <w:rPr>
          <w:rFonts w:hint="cs"/>
          <w:spacing w:val="6"/>
          <w:rtl/>
          <w:lang w:bidi="ar-EG"/>
        </w:rPr>
        <w:t>مرحلة معلومات النشر المسبق المتعلق بتلك العمليات، وإلى الامتناع قدر المستطاع عن استعمال معلمات عامة في هذا السياق.</w:t>
      </w:r>
    </w:p>
    <w:p w:rsidR="00BB381F" w:rsidRDefault="00BB381F" w:rsidP="00BB381F">
      <w:pPr>
        <w:spacing w:before="144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BB381F" w:rsidRPr="00E45690" w:rsidRDefault="00BB381F" w:rsidP="00573CB6">
      <w:pPr>
        <w:tabs>
          <w:tab w:val="left" w:pos="283"/>
        </w:tabs>
        <w:spacing w:before="2040"/>
        <w:jc w:val="left"/>
        <w:rPr>
          <w:sz w:val="16"/>
          <w:szCs w:val="22"/>
          <w:rtl/>
          <w:lang w:bidi="ar-EG"/>
        </w:rPr>
      </w:pPr>
      <w:r w:rsidRPr="00E45690">
        <w:rPr>
          <w:b/>
          <w:bCs/>
          <w:sz w:val="16"/>
          <w:szCs w:val="22"/>
          <w:rtl/>
          <w:lang w:bidi="ar-EG"/>
        </w:rPr>
        <w:t>التوزيع</w:t>
      </w:r>
      <w:r w:rsidRPr="00E45690">
        <w:rPr>
          <w:sz w:val="16"/>
          <w:szCs w:val="22"/>
          <w:rtl/>
          <w:lang w:bidi="ar-EG"/>
        </w:rPr>
        <w:t>:</w:t>
      </w:r>
    </w:p>
    <w:p w:rsidR="00BB381F" w:rsidRPr="002D405C" w:rsidRDefault="00BB381F" w:rsidP="007F7C6F">
      <w:pPr>
        <w:tabs>
          <w:tab w:val="left" w:pos="283"/>
        </w:tabs>
        <w:spacing w:before="60"/>
        <w:jc w:val="left"/>
        <w:rPr>
          <w:sz w:val="16"/>
          <w:szCs w:val="22"/>
          <w:rtl/>
          <w:lang w:bidi="ar-EG"/>
        </w:rPr>
      </w:pPr>
      <w:r w:rsidRPr="002D405C">
        <w:rPr>
          <w:rFonts w:hint="cs"/>
          <w:sz w:val="16"/>
          <w:szCs w:val="22"/>
          <w:rtl/>
          <w:lang w:bidi="ar-EG"/>
        </w:rPr>
        <w:t>-</w:t>
      </w:r>
      <w:r w:rsidRPr="002D405C">
        <w:rPr>
          <w:rFonts w:hint="cs"/>
          <w:sz w:val="16"/>
          <w:szCs w:val="22"/>
          <w:rtl/>
          <w:lang w:bidi="ar-EG"/>
        </w:rPr>
        <w:tab/>
        <w:t>إدارات الدول الأعضاء في الاتحاد</w:t>
      </w:r>
    </w:p>
    <w:p w:rsidR="0005553D" w:rsidRDefault="00BB381F" w:rsidP="0005553D">
      <w:pPr>
        <w:tabs>
          <w:tab w:val="left" w:pos="283"/>
        </w:tabs>
        <w:spacing w:before="60"/>
        <w:jc w:val="left"/>
        <w:rPr>
          <w:rtl/>
        </w:rPr>
      </w:pPr>
      <w:r w:rsidRPr="002D405C">
        <w:rPr>
          <w:sz w:val="16"/>
          <w:szCs w:val="22"/>
          <w:rtl/>
          <w:lang w:bidi="ar-EG"/>
        </w:rPr>
        <w:t>-</w:t>
      </w:r>
      <w:r w:rsidRPr="002D405C">
        <w:rPr>
          <w:sz w:val="16"/>
          <w:szCs w:val="22"/>
          <w:rtl/>
          <w:lang w:bidi="ar-EG"/>
        </w:rPr>
        <w:tab/>
      </w:r>
      <w:r w:rsidRPr="002D405C">
        <w:rPr>
          <w:rFonts w:hint="cs"/>
          <w:sz w:val="16"/>
          <w:szCs w:val="22"/>
          <w:rtl/>
          <w:lang w:bidi="ar-EG"/>
        </w:rPr>
        <w:t>أعضاء لجنة لوائح الراديو</w:t>
      </w:r>
      <w:bookmarkStart w:id="0" w:name="_GoBack"/>
      <w:bookmarkEnd w:id="0"/>
    </w:p>
    <w:sectPr w:rsidR="0005553D" w:rsidSect="00573CB6">
      <w:headerReference w:type="default" r:id="rId10"/>
      <w:headerReference w:type="first" r:id="rId11"/>
      <w:footerReference w:type="first" r:id="rId12"/>
      <w:type w:val="oddPage"/>
      <w:pgSz w:w="11907" w:h="16840" w:code="9"/>
      <w:pgMar w:top="1418" w:right="1134" w:bottom="1134" w:left="1134" w:header="709" w:footer="709" w:gutter="0"/>
      <w:paperSrc w:firs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FC" w:rsidRDefault="007D61FC" w:rsidP="00E07379">
      <w:pPr>
        <w:spacing w:before="0" w:line="240" w:lineRule="auto"/>
      </w:pPr>
      <w:r>
        <w:separator/>
      </w:r>
    </w:p>
  </w:endnote>
  <w:endnote w:type="continuationSeparator" w:id="0">
    <w:p w:rsidR="007D61FC" w:rsidRDefault="007D61F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734C8">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r w:rsidR="009734C8">
      <w:rPr>
        <w:rFonts w:cs="Calibri"/>
        <w:sz w:val="18"/>
        <w:szCs w:val="18"/>
        <w:rtl/>
      </w:rPr>
      <w:br/>
    </w:r>
    <w:r w:rsidR="009734C8" w:rsidRPr="00BB381F">
      <w:rPr>
        <w:rFonts w:cs="Calibri"/>
        <w:b/>
        <w:bCs/>
        <w:color w:val="1F4E79" w:themeColor="accent1" w:themeShade="80"/>
        <w:sz w:val="18"/>
        <w:szCs w:val="18"/>
      </w:rPr>
      <w:t>90</w:t>
    </w:r>
    <w:r w:rsidR="009734C8" w:rsidRPr="00BB381F">
      <w:rPr>
        <w:rFonts w:cs="Calibri"/>
        <w:b/>
        <w:bCs/>
        <w:color w:val="1F4E79" w:themeColor="accent1" w:themeShade="80"/>
        <w:sz w:val="18"/>
        <w:szCs w:val="18"/>
        <w:vertAlign w:val="superscript"/>
      </w:rPr>
      <w:t>th</w:t>
    </w:r>
    <w:r w:rsidR="009734C8" w:rsidRPr="00BB381F">
      <w:rPr>
        <w:rFonts w:cs="Calibri"/>
        <w:b/>
        <w:bCs/>
        <w:color w:val="1F4E79" w:themeColor="accent1" w:themeShade="80"/>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FC" w:rsidRDefault="007D61FC" w:rsidP="00E07379">
      <w:pPr>
        <w:spacing w:before="0" w:line="240" w:lineRule="auto"/>
      </w:pPr>
      <w:r>
        <w:separator/>
      </w:r>
    </w:p>
  </w:footnote>
  <w:footnote w:type="continuationSeparator" w:id="0">
    <w:p w:rsidR="007D61FC" w:rsidRDefault="007D61F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933841" w:rsidRDefault="00AF70F6" w:rsidP="002D4DD1">
    <w:pPr>
      <w:bidi w:val="0"/>
      <w:spacing w:after="240" w:line="240" w:lineRule="auto"/>
      <w:jc w:val="center"/>
      <w:rPr>
        <w:rStyle w:val="PageNumber"/>
        <w:sz w:val="18"/>
        <w:szCs w:val="18"/>
        <w:rtl/>
        <w:lang w:bidi="ar-EG"/>
      </w:rPr>
    </w:pPr>
    <w:r w:rsidRPr="00933841">
      <w:rPr>
        <w:rStyle w:val="PageNumber"/>
        <w:sz w:val="18"/>
        <w:szCs w:val="18"/>
      </w:rPr>
      <w:t xml:space="preserve">- </w:t>
    </w:r>
    <w:r w:rsidR="0022345D" w:rsidRPr="00933841">
      <w:rPr>
        <w:rStyle w:val="PageNumber"/>
        <w:sz w:val="18"/>
        <w:szCs w:val="18"/>
      </w:rPr>
      <w:fldChar w:fldCharType="begin"/>
    </w:r>
    <w:r w:rsidR="0022345D" w:rsidRPr="00933841">
      <w:rPr>
        <w:rStyle w:val="PageNumber"/>
        <w:sz w:val="18"/>
        <w:szCs w:val="18"/>
      </w:rPr>
      <w:instrText xml:space="preserve"> PAGE </w:instrText>
    </w:r>
    <w:r w:rsidR="0022345D" w:rsidRPr="00933841">
      <w:rPr>
        <w:rStyle w:val="PageNumber"/>
        <w:sz w:val="18"/>
        <w:szCs w:val="18"/>
      </w:rPr>
      <w:fldChar w:fldCharType="separate"/>
    </w:r>
    <w:r w:rsidR="0097252E">
      <w:rPr>
        <w:rStyle w:val="PageNumber"/>
        <w:noProof/>
        <w:sz w:val="18"/>
        <w:szCs w:val="18"/>
      </w:rPr>
      <w:t>2</w:t>
    </w:r>
    <w:r w:rsidR="0022345D" w:rsidRPr="00933841">
      <w:rPr>
        <w:rStyle w:val="PageNumber"/>
        <w:sz w:val="18"/>
        <w:szCs w:val="18"/>
      </w:rPr>
      <w:fldChar w:fldCharType="end"/>
    </w:r>
    <w:r w:rsidRPr="0093384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33E83" w:rsidTr="00933E83">
      <w:tc>
        <w:tcPr>
          <w:tcW w:w="4814" w:type="dxa"/>
        </w:tcPr>
        <w:p w:rsidR="00933E83" w:rsidRDefault="00573CB6" w:rsidP="00933E83">
          <w:pPr>
            <w:pStyle w:val="Header"/>
            <w:spacing w:before="120"/>
            <w:jc w:val="left"/>
            <w:rPr>
              <w:rtl/>
            </w:rPr>
          </w:pPr>
          <w:r>
            <w:rPr>
              <w:b/>
              <w:bCs/>
              <w:noProof/>
              <w:lang w:eastAsia="zh-CN"/>
            </w:rPr>
            <w:drawing>
              <wp:inline distT="0" distB="0" distL="0" distR="0" wp14:anchorId="31D8958A" wp14:editId="5CEDA513">
                <wp:extent cx="579396" cy="657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933E83" w:rsidRDefault="00573CB6" w:rsidP="00933E83">
          <w:pPr>
            <w:pStyle w:val="Header"/>
            <w:jc w:val="right"/>
            <w:rPr>
              <w:rtl/>
            </w:rPr>
          </w:pPr>
          <w:r w:rsidRPr="00A03501">
            <w:rPr>
              <w:noProof/>
              <w:lang w:eastAsia="zh-CN"/>
            </w:rPr>
            <w:drawing>
              <wp:inline distT="0" distB="0" distL="0" distR="0" wp14:anchorId="188EC5EC" wp14:editId="384BB1CC">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993189"/>
    <w:multiLevelType w:val="hybridMultilevel"/>
    <w:tmpl w:val="07EA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FC"/>
    <w:rsid w:val="00006614"/>
    <w:rsid w:val="000124CC"/>
    <w:rsid w:val="00041F8B"/>
    <w:rsid w:val="00046444"/>
    <w:rsid w:val="0005553D"/>
    <w:rsid w:val="0006023B"/>
    <w:rsid w:val="0008638B"/>
    <w:rsid w:val="00090574"/>
    <w:rsid w:val="00092FC2"/>
    <w:rsid w:val="000A1677"/>
    <w:rsid w:val="000B407F"/>
    <w:rsid w:val="000C13C2"/>
    <w:rsid w:val="000E49E1"/>
    <w:rsid w:val="000F0B1C"/>
    <w:rsid w:val="000F1D42"/>
    <w:rsid w:val="000F4D07"/>
    <w:rsid w:val="00102A03"/>
    <w:rsid w:val="001040A3"/>
    <w:rsid w:val="00113772"/>
    <w:rsid w:val="001370E7"/>
    <w:rsid w:val="001633F1"/>
    <w:rsid w:val="001642B5"/>
    <w:rsid w:val="00173915"/>
    <w:rsid w:val="001A1371"/>
    <w:rsid w:val="001C22E6"/>
    <w:rsid w:val="0022345D"/>
    <w:rsid w:val="00225854"/>
    <w:rsid w:val="0023283D"/>
    <w:rsid w:val="00252E0C"/>
    <w:rsid w:val="00270CC3"/>
    <w:rsid w:val="00276881"/>
    <w:rsid w:val="002916BE"/>
    <w:rsid w:val="002978F4"/>
    <w:rsid w:val="002A5003"/>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A7AB7"/>
    <w:rsid w:val="003C475F"/>
    <w:rsid w:val="003D54BA"/>
    <w:rsid w:val="003E4132"/>
    <w:rsid w:val="003F678F"/>
    <w:rsid w:val="0042686F"/>
    <w:rsid w:val="004367CE"/>
    <w:rsid w:val="00443869"/>
    <w:rsid w:val="004508E8"/>
    <w:rsid w:val="00453953"/>
    <w:rsid w:val="004712C6"/>
    <w:rsid w:val="0048703E"/>
    <w:rsid w:val="00497703"/>
    <w:rsid w:val="004F0F06"/>
    <w:rsid w:val="00501E0E"/>
    <w:rsid w:val="005204D7"/>
    <w:rsid w:val="00527532"/>
    <w:rsid w:val="00530420"/>
    <w:rsid w:val="00541680"/>
    <w:rsid w:val="00552BC5"/>
    <w:rsid w:val="0055516A"/>
    <w:rsid w:val="0056374C"/>
    <w:rsid w:val="0056614F"/>
    <w:rsid w:val="00573CB6"/>
    <w:rsid w:val="0057656F"/>
    <w:rsid w:val="00576731"/>
    <w:rsid w:val="0059285F"/>
    <w:rsid w:val="005A24B1"/>
    <w:rsid w:val="005A7F14"/>
    <w:rsid w:val="005B7B8A"/>
    <w:rsid w:val="005D6476"/>
    <w:rsid w:val="005D6C0D"/>
    <w:rsid w:val="005E5283"/>
    <w:rsid w:val="005E58F5"/>
    <w:rsid w:val="00606660"/>
    <w:rsid w:val="00613532"/>
    <w:rsid w:val="006157A3"/>
    <w:rsid w:val="00616E43"/>
    <w:rsid w:val="00620E60"/>
    <w:rsid w:val="0063315A"/>
    <w:rsid w:val="0063682B"/>
    <w:rsid w:val="0065591D"/>
    <w:rsid w:val="00662C5A"/>
    <w:rsid w:val="00670AF5"/>
    <w:rsid w:val="006C1556"/>
    <w:rsid w:val="006C5B08"/>
    <w:rsid w:val="006F1CB5"/>
    <w:rsid w:val="006F267F"/>
    <w:rsid w:val="006F63F7"/>
    <w:rsid w:val="006F6F03"/>
    <w:rsid w:val="00706D7A"/>
    <w:rsid w:val="00726AEC"/>
    <w:rsid w:val="0074171A"/>
    <w:rsid w:val="007530CA"/>
    <w:rsid w:val="00783A16"/>
    <w:rsid w:val="0079553D"/>
    <w:rsid w:val="007B01CC"/>
    <w:rsid w:val="007D61FC"/>
    <w:rsid w:val="007E7C6C"/>
    <w:rsid w:val="007F6238"/>
    <w:rsid w:val="007F646C"/>
    <w:rsid w:val="007F7C6F"/>
    <w:rsid w:val="00801FCD"/>
    <w:rsid w:val="00803D7E"/>
    <w:rsid w:val="00803F08"/>
    <w:rsid w:val="00811BE5"/>
    <w:rsid w:val="008235CD"/>
    <w:rsid w:val="00823A07"/>
    <w:rsid w:val="00835874"/>
    <w:rsid w:val="00835FEC"/>
    <w:rsid w:val="008513CB"/>
    <w:rsid w:val="00874D9C"/>
    <w:rsid w:val="008A1810"/>
    <w:rsid w:val="008A33BC"/>
    <w:rsid w:val="008B0945"/>
    <w:rsid w:val="008B5B5D"/>
    <w:rsid w:val="00917694"/>
    <w:rsid w:val="00923199"/>
    <w:rsid w:val="009263CD"/>
    <w:rsid w:val="00930E6D"/>
    <w:rsid w:val="00933841"/>
    <w:rsid w:val="00933E83"/>
    <w:rsid w:val="0097252E"/>
    <w:rsid w:val="00972CA2"/>
    <w:rsid w:val="009734C8"/>
    <w:rsid w:val="00982B28"/>
    <w:rsid w:val="00984EA5"/>
    <w:rsid w:val="00992593"/>
    <w:rsid w:val="009C17E1"/>
    <w:rsid w:val="009C35ED"/>
    <w:rsid w:val="009D0906"/>
    <w:rsid w:val="009F1C12"/>
    <w:rsid w:val="00A124CB"/>
    <w:rsid w:val="00A2167A"/>
    <w:rsid w:val="00A25A43"/>
    <w:rsid w:val="00A3295B"/>
    <w:rsid w:val="00A42AE5"/>
    <w:rsid w:val="00A52B61"/>
    <w:rsid w:val="00A62668"/>
    <w:rsid w:val="00A64820"/>
    <w:rsid w:val="00A71DD6"/>
    <w:rsid w:val="00A723C7"/>
    <w:rsid w:val="00A80E11"/>
    <w:rsid w:val="00A97F94"/>
    <w:rsid w:val="00AB1309"/>
    <w:rsid w:val="00AC2C52"/>
    <w:rsid w:val="00AD1503"/>
    <w:rsid w:val="00AE7244"/>
    <w:rsid w:val="00AF3FEE"/>
    <w:rsid w:val="00AF70F6"/>
    <w:rsid w:val="00B02F46"/>
    <w:rsid w:val="00B2000C"/>
    <w:rsid w:val="00B20080"/>
    <w:rsid w:val="00B20ADE"/>
    <w:rsid w:val="00B66B9A"/>
    <w:rsid w:val="00B82089"/>
    <w:rsid w:val="00B95C9E"/>
    <w:rsid w:val="00B970AE"/>
    <w:rsid w:val="00BA1427"/>
    <w:rsid w:val="00BB381F"/>
    <w:rsid w:val="00BE49D0"/>
    <w:rsid w:val="00BF2C38"/>
    <w:rsid w:val="00C23331"/>
    <w:rsid w:val="00C265DA"/>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E3933"/>
    <w:rsid w:val="00CF3FFD"/>
    <w:rsid w:val="00CF5ED3"/>
    <w:rsid w:val="00D01496"/>
    <w:rsid w:val="00D0494C"/>
    <w:rsid w:val="00D14BEB"/>
    <w:rsid w:val="00D21C89"/>
    <w:rsid w:val="00D45542"/>
    <w:rsid w:val="00D77D0F"/>
    <w:rsid w:val="00D8083C"/>
    <w:rsid w:val="00D80894"/>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A7148"/>
    <w:rsid w:val="00F126F1"/>
    <w:rsid w:val="00F2106A"/>
    <w:rsid w:val="00F36D8B"/>
    <w:rsid w:val="00F401D0"/>
    <w:rsid w:val="00F45F2B"/>
    <w:rsid w:val="00F57AE4"/>
    <w:rsid w:val="00F67150"/>
    <w:rsid w:val="00F84366"/>
    <w:rsid w:val="00F85089"/>
    <w:rsid w:val="00F85564"/>
    <w:rsid w:val="00F86CFA"/>
    <w:rsid w:val="00FB0BD3"/>
    <w:rsid w:val="00FD58BD"/>
    <w:rsid w:val="00FE7A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BF58CB7-CACF-4061-B724-E05BBC62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71A"/>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BB381F"/>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BB381F"/>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BB38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BB381F"/>
    <w:pPr>
      <w:keepNext/>
      <w:keepLines/>
      <w:spacing w:before="120" w:after="360"/>
    </w:pPr>
    <w:rPr>
      <w:b/>
      <w:bCs/>
      <w:sz w:val="28"/>
      <w:szCs w:val="40"/>
    </w:rPr>
  </w:style>
  <w:style w:type="paragraph" w:customStyle="1" w:styleId="enumlev10">
    <w:name w:val="enumlev 1"/>
    <w:basedOn w:val="Normal"/>
    <w:qFormat/>
    <w:rsid w:val="0074171A"/>
    <w:pPr>
      <w:tabs>
        <w:tab w:val="clear" w:pos="1134"/>
      </w:tabs>
      <w:spacing w:before="80"/>
      <w:ind w:left="794" w:hanging="794"/>
      <w:outlineLvl w:val="0"/>
    </w:pPr>
    <w:rPr>
      <w:rFonts w:eastAsiaTheme="minorEastAsia"/>
      <w:lang w:eastAsia="zh-CN" w:bidi="ar-SY"/>
    </w:rPr>
  </w:style>
  <w:style w:type="character" w:styleId="FollowedHyperlink">
    <w:name w:val="FollowedHyperlink"/>
    <w:basedOn w:val="DefaultParagraphFont"/>
    <w:uiPriority w:val="99"/>
    <w:semiHidden/>
    <w:unhideWhenUsed/>
    <w:rsid w:val="003D54BA"/>
    <w:rPr>
      <w:color w:val="954F72" w:themeColor="followedHyperlink"/>
      <w:u w:val="single"/>
    </w:rPr>
  </w:style>
  <w:style w:type="paragraph" w:styleId="ListParagraph">
    <w:name w:val="List Paragraph"/>
    <w:basedOn w:val="Normal"/>
    <w:uiPriority w:val="34"/>
    <w:qFormat/>
    <w:rsid w:val="00055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de10a323-94a9-4e93-88b4-ea964576960d"/>
    <ds:schemaRef ds:uri="996b2e75-67fd-4955-a3b0-5ab9934cb50b"/>
  </ds:schemaRefs>
</ds:datastoreItem>
</file>

<file path=customXml/itemProps3.xml><?xml version="1.0" encoding="utf-8"?>
<ds:datastoreItem xmlns:ds="http://schemas.openxmlformats.org/officeDocument/2006/customXml" ds:itemID="{DB9EA7C4-CE7F-457A-9895-775F205E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Gimenez, Christine</cp:lastModifiedBy>
  <cp:revision>4</cp:revision>
  <cp:lastPrinted>2017-08-30T06:58:00Z</cp:lastPrinted>
  <dcterms:created xsi:type="dcterms:W3CDTF">2017-08-29T15:11:00Z</dcterms:created>
  <dcterms:modified xsi:type="dcterms:W3CDTF">2017-08-30T07:18:00Z</dcterms:modified>
  <cp:category>Conference document</cp:category>
</cp:coreProperties>
</file>