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3827"/>
        <w:gridCol w:w="4536"/>
      </w:tblGrid>
      <w:tr w:rsidR="00A86A44" w:rsidRPr="006F590F" w:rsidTr="00B330B7">
        <w:tc>
          <w:tcPr>
            <w:tcW w:w="9889" w:type="dxa"/>
            <w:gridSpan w:val="3"/>
            <w:shd w:val="clear" w:color="auto" w:fill="auto"/>
          </w:tcPr>
          <w:p w:rsidR="00A86A44" w:rsidRPr="00C14423" w:rsidRDefault="00C14423" w:rsidP="00C444B2">
            <w:pPr>
              <w:pStyle w:val="Headingb"/>
              <w:rPr>
                <w:rFonts w:cs="Times New Roman Bold"/>
              </w:rPr>
            </w:pPr>
            <w:r w:rsidRPr="00C14423">
              <w:t>Oficina de Radiocomunicaciones (BR)</w:t>
            </w:r>
          </w:p>
        </w:tc>
      </w:tr>
      <w:tr w:rsidR="00A86A44" w:rsidRPr="006F590F" w:rsidTr="00B330B7">
        <w:tc>
          <w:tcPr>
            <w:tcW w:w="9889" w:type="dxa"/>
            <w:gridSpan w:val="3"/>
            <w:shd w:val="clear" w:color="auto" w:fill="auto"/>
          </w:tcPr>
          <w:p w:rsidR="00A86A44" w:rsidRPr="006F590F" w:rsidRDefault="00A86A44" w:rsidP="00B330B7">
            <w:pPr>
              <w:jc w:val="left"/>
            </w:pPr>
          </w:p>
        </w:tc>
      </w:tr>
      <w:tr w:rsidR="00A86A44" w:rsidRPr="006F590F" w:rsidTr="00B330B7">
        <w:tc>
          <w:tcPr>
            <w:tcW w:w="5353" w:type="dxa"/>
            <w:gridSpan w:val="2"/>
            <w:shd w:val="clear" w:color="auto" w:fill="auto"/>
          </w:tcPr>
          <w:p w:rsidR="00A86A44" w:rsidRDefault="00C14423" w:rsidP="00B330B7">
            <w:pPr>
              <w:jc w:val="left"/>
            </w:pPr>
            <w:r>
              <w:t>Circular Administrativa</w:t>
            </w:r>
          </w:p>
          <w:p w:rsidR="00A86A44" w:rsidRPr="00C14423" w:rsidRDefault="00C14423" w:rsidP="00C14423">
            <w:pPr>
              <w:spacing w:before="0"/>
              <w:jc w:val="left"/>
              <w:rPr>
                <w:b/>
                <w:bCs/>
              </w:rPr>
            </w:pPr>
            <w:r>
              <w:rPr>
                <w:b/>
                <w:bCs/>
              </w:rPr>
              <w:t>CR/415</w:t>
            </w:r>
          </w:p>
        </w:tc>
        <w:tc>
          <w:tcPr>
            <w:tcW w:w="4536" w:type="dxa"/>
            <w:shd w:val="clear" w:color="auto" w:fill="auto"/>
          </w:tcPr>
          <w:p w:rsidR="00A86A44" w:rsidRPr="006F590F" w:rsidRDefault="00364FB0" w:rsidP="00CE3197">
            <w:pPr>
              <w:ind w:right="57"/>
              <w:jc w:val="right"/>
            </w:pPr>
            <w:sdt>
              <w:sdtPr>
                <w:rPr>
                  <w:rFonts w:cs="Arial"/>
                </w:rPr>
                <w:alias w:val="Date"/>
                <w:tag w:val="Date"/>
                <w:id w:val="-893127587"/>
                <w:placeholder>
                  <w:docPart w:val="5142B469FDA94BB3BA7DD20902D93185"/>
                </w:placeholder>
                <w:date>
                  <w:dateFormat w:val="d' de 'MMMM' de 'yyyy"/>
                  <w:lid w:val="es-ES_tradnl"/>
                  <w:storeMappedDataAs w:val="date"/>
                  <w:calendar w:val="gregorian"/>
                </w:date>
              </w:sdtPr>
              <w:sdtEndPr/>
              <w:sdtContent>
                <w:r w:rsidR="00CE3197">
                  <w:rPr>
                    <w:rFonts w:cs="Arial"/>
                  </w:rPr>
                  <w:t>9</w:t>
                </w:r>
                <w:r w:rsidR="00C14423">
                  <w:rPr>
                    <w:rFonts w:cs="Arial"/>
                  </w:rPr>
                  <w:t xml:space="preserve"> de diciembre de 2016</w:t>
                </w:r>
              </w:sdtContent>
            </w:sdt>
          </w:p>
        </w:tc>
      </w:tr>
      <w:tr w:rsidR="00C14423" w:rsidRPr="006F590F" w:rsidTr="00113B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Borders>
              <w:top w:val="nil"/>
              <w:left w:val="nil"/>
              <w:bottom w:val="nil"/>
              <w:right w:val="nil"/>
            </w:tcBorders>
            <w:shd w:val="clear" w:color="auto" w:fill="auto"/>
          </w:tcPr>
          <w:p w:rsidR="00C14423" w:rsidRDefault="00C14423" w:rsidP="00422C83">
            <w:pPr>
              <w:spacing w:before="360"/>
              <w:jc w:val="left"/>
              <w:rPr>
                <w:rFonts w:asciiTheme="minorHAnsi" w:hAnsiTheme="minorHAnsi"/>
                <w:b/>
                <w:bCs/>
                <w:sz w:val="24"/>
                <w:szCs w:val="24"/>
              </w:rPr>
            </w:pPr>
            <w:r w:rsidRPr="00095619">
              <w:rPr>
                <w:rFonts w:asciiTheme="minorHAnsi" w:hAnsiTheme="minorHAnsi"/>
                <w:b/>
                <w:bCs/>
                <w:sz w:val="24"/>
                <w:szCs w:val="24"/>
              </w:rPr>
              <w:t>A las Administraciones de los Estados Miembros de la UIT</w:t>
            </w:r>
          </w:p>
          <w:p w:rsidR="00C14423" w:rsidRPr="006F590F" w:rsidRDefault="00C14423" w:rsidP="00C14423">
            <w:pPr>
              <w:spacing w:before="0"/>
              <w:jc w:val="left"/>
              <w:rPr>
                <w:rFonts w:cs="Arial"/>
              </w:rPr>
            </w:pPr>
          </w:p>
        </w:tc>
      </w:tr>
      <w:tr w:rsidR="00A86A44" w:rsidRPr="006F590F" w:rsidTr="00FD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rsidR="00A86A44" w:rsidRPr="006F590F" w:rsidRDefault="00C14423" w:rsidP="004C4BA6">
            <w:pPr>
              <w:spacing w:before="0"/>
              <w:jc w:val="left"/>
              <w:rPr>
                <w:i/>
                <w:iCs/>
                <w:sz w:val="24"/>
                <w:szCs w:val="24"/>
              </w:rPr>
            </w:pPr>
            <w:r>
              <w:rPr>
                <w:iCs/>
                <w:sz w:val="24"/>
                <w:szCs w:val="24"/>
              </w:rPr>
              <w:t>Asunto</w:t>
            </w:r>
            <w:r w:rsidR="00A86A44" w:rsidRPr="006F590F">
              <w:rPr>
                <w:i/>
                <w:iCs/>
                <w:sz w:val="24"/>
                <w:szCs w:val="24"/>
              </w:rPr>
              <w:t>:</w:t>
            </w:r>
          </w:p>
        </w:tc>
        <w:tc>
          <w:tcPr>
            <w:tcW w:w="8363" w:type="dxa"/>
            <w:gridSpan w:val="2"/>
            <w:tcBorders>
              <w:top w:val="nil"/>
              <w:left w:val="nil"/>
              <w:bottom w:val="nil"/>
              <w:right w:val="nil"/>
            </w:tcBorders>
            <w:shd w:val="clear" w:color="auto" w:fill="auto"/>
          </w:tcPr>
          <w:p w:rsidR="00A86A44" w:rsidRPr="006F590F" w:rsidRDefault="00C14423" w:rsidP="00715F16">
            <w:pPr>
              <w:spacing w:before="0" w:after="360"/>
            </w:pPr>
            <w:r w:rsidRPr="00095619">
              <w:rPr>
                <w:rFonts w:asciiTheme="minorHAnsi" w:hAnsiTheme="minorHAnsi" w:cstheme="majorBidi"/>
                <w:b/>
                <w:bCs/>
                <w:sz w:val="24"/>
                <w:szCs w:val="24"/>
              </w:rPr>
              <w:t>Aplicación del número 9.1A del Reglamento de Radiocomunicaciones a la publicación de información de publicación anticipada (API) para asignaciones de frecuencias a redes y sistemas de satélite sujetos a los procedimientos de coordinación a tenor de la Sección II del Artículo 9</w:t>
            </w:r>
          </w:p>
        </w:tc>
      </w:tr>
      <w:tr w:rsidR="00811D34" w:rsidRPr="006F590F" w:rsidTr="00FD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rsidR="00811D34" w:rsidRPr="00C14423" w:rsidRDefault="00C14423" w:rsidP="004C4BA6">
            <w:pPr>
              <w:spacing w:before="0"/>
              <w:jc w:val="left"/>
              <w:rPr>
                <w:iCs/>
                <w:sz w:val="24"/>
                <w:szCs w:val="24"/>
              </w:rPr>
            </w:pPr>
            <w:r>
              <w:rPr>
                <w:iCs/>
                <w:sz w:val="24"/>
                <w:szCs w:val="24"/>
              </w:rPr>
              <w:t>Referencia:</w:t>
            </w:r>
          </w:p>
        </w:tc>
        <w:tc>
          <w:tcPr>
            <w:tcW w:w="8363" w:type="dxa"/>
            <w:gridSpan w:val="2"/>
            <w:tcBorders>
              <w:top w:val="nil"/>
              <w:left w:val="nil"/>
              <w:bottom w:val="nil"/>
              <w:right w:val="nil"/>
            </w:tcBorders>
            <w:shd w:val="clear" w:color="auto" w:fill="auto"/>
          </w:tcPr>
          <w:p w:rsidR="00C14423" w:rsidRDefault="00C14423" w:rsidP="00C14423">
            <w:pPr>
              <w:spacing w:before="0"/>
            </w:pPr>
            <w:r w:rsidRPr="00095619">
              <w:rPr>
                <w:rFonts w:asciiTheme="minorHAnsi" w:hAnsiTheme="minorHAnsi" w:cstheme="majorBidi"/>
                <w:b/>
                <w:bCs/>
                <w:sz w:val="24"/>
                <w:szCs w:val="24"/>
              </w:rPr>
              <w:t>Carta Circular CR/401 de la BR, de fecha 19 de mayo de 2016</w:t>
            </w:r>
          </w:p>
          <w:p w:rsidR="00811D34" w:rsidRPr="006F590F" w:rsidRDefault="00811D34" w:rsidP="00C14423">
            <w:pPr>
              <w:spacing w:before="0"/>
            </w:pPr>
          </w:p>
        </w:tc>
      </w:tr>
    </w:tbl>
    <w:p w:rsidR="00C14423" w:rsidRPr="00095619" w:rsidRDefault="00C14423" w:rsidP="00620B74">
      <w:pPr>
        <w:spacing w:before="360" w:after="240" w:line="240" w:lineRule="auto"/>
        <w:ind w:left="142"/>
        <w:rPr>
          <w:rFonts w:asciiTheme="minorHAnsi" w:hAnsiTheme="minorHAnsi" w:cstheme="majorBidi"/>
          <w:sz w:val="24"/>
          <w:szCs w:val="24"/>
        </w:rPr>
      </w:pPr>
      <w:r w:rsidRPr="00095619">
        <w:rPr>
          <w:rFonts w:asciiTheme="minorHAnsi" w:hAnsiTheme="minorHAnsi" w:cstheme="majorBidi"/>
          <w:sz w:val="24"/>
          <w:szCs w:val="24"/>
        </w:rPr>
        <w:t xml:space="preserve">Como se indica en la Carta circular CR/401, el 1 de julio de 2016 la Oficina </w:t>
      </w:r>
      <w:r w:rsidR="00364FB0" w:rsidRPr="00364FB0">
        <w:rPr>
          <w:sz w:val="24"/>
          <w:szCs w:val="24"/>
        </w:rPr>
        <w:t>de Radiocomunicaciones</w:t>
      </w:r>
      <w:r w:rsidR="00364FB0" w:rsidRPr="00C14423">
        <w:t xml:space="preserve"> </w:t>
      </w:r>
      <w:r w:rsidRPr="00095619">
        <w:rPr>
          <w:rFonts w:asciiTheme="minorHAnsi" w:hAnsiTheme="minorHAnsi" w:cstheme="majorBidi"/>
          <w:sz w:val="24"/>
          <w:szCs w:val="24"/>
        </w:rPr>
        <w:t xml:space="preserve">dejó de aceptar todas las nuevas notificaciones de información de publicación anticipada (API) para redes y sistemas de satélite sujetos a los procedimientos de coordinación con arreglo a la Sección II el Artículo </w:t>
      </w:r>
      <w:r w:rsidRPr="00360478">
        <w:rPr>
          <w:rFonts w:asciiTheme="minorHAnsi" w:hAnsiTheme="minorHAnsi" w:cstheme="majorBidi"/>
          <w:b/>
          <w:bCs/>
          <w:sz w:val="24"/>
          <w:szCs w:val="24"/>
        </w:rPr>
        <w:t>9</w:t>
      </w:r>
      <w:r w:rsidRPr="00095619">
        <w:rPr>
          <w:rFonts w:asciiTheme="minorHAnsi" w:hAnsiTheme="minorHAnsi" w:cstheme="majorBidi"/>
          <w:sz w:val="24"/>
          <w:szCs w:val="24"/>
        </w:rPr>
        <w:t xml:space="preserve">, de conformidad con la Resolución </w:t>
      </w:r>
      <w:r w:rsidRPr="00715F16">
        <w:rPr>
          <w:rFonts w:asciiTheme="minorHAnsi" w:hAnsiTheme="minorHAnsi" w:cstheme="majorBidi"/>
          <w:b/>
          <w:bCs/>
          <w:sz w:val="24"/>
          <w:szCs w:val="24"/>
        </w:rPr>
        <w:t>31</w:t>
      </w:r>
      <w:r w:rsidRPr="00095619">
        <w:rPr>
          <w:rFonts w:asciiTheme="minorHAnsi" w:hAnsiTheme="minorHAnsi" w:cstheme="majorBidi"/>
          <w:sz w:val="24"/>
          <w:szCs w:val="24"/>
        </w:rPr>
        <w:t xml:space="preserve"> (CMR-15).</w:t>
      </w:r>
      <w:bookmarkStart w:id="0" w:name="_GoBack"/>
      <w:bookmarkEnd w:id="0"/>
    </w:p>
    <w:p w:rsidR="00C14423" w:rsidRPr="00095619" w:rsidRDefault="00C14423" w:rsidP="00620B74">
      <w:pPr>
        <w:spacing w:after="240" w:line="240" w:lineRule="auto"/>
        <w:ind w:left="142"/>
        <w:rPr>
          <w:rFonts w:asciiTheme="minorHAnsi" w:hAnsiTheme="minorHAnsi" w:cstheme="majorBidi"/>
          <w:sz w:val="24"/>
          <w:szCs w:val="24"/>
        </w:rPr>
      </w:pPr>
      <w:r w:rsidRPr="00095619">
        <w:rPr>
          <w:rFonts w:asciiTheme="minorHAnsi" w:hAnsiTheme="minorHAnsi" w:cstheme="majorBidi"/>
          <w:sz w:val="24"/>
          <w:szCs w:val="24"/>
        </w:rPr>
        <w:t xml:space="preserve">A partir del 1 de enero de 2017, de conformidad con el número </w:t>
      </w:r>
      <w:r w:rsidRPr="00422C83">
        <w:rPr>
          <w:rFonts w:asciiTheme="minorHAnsi" w:hAnsiTheme="minorHAnsi" w:cstheme="majorBidi"/>
          <w:b/>
          <w:bCs/>
          <w:sz w:val="24"/>
          <w:szCs w:val="24"/>
        </w:rPr>
        <w:t>9.1A</w:t>
      </w:r>
      <w:r w:rsidRPr="00095619">
        <w:rPr>
          <w:rFonts w:asciiTheme="minorHAnsi" w:hAnsiTheme="minorHAnsi" w:cstheme="majorBidi"/>
          <w:sz w:val="24"/>
          <w:szCs w:val="24"/>
        </w:rPr>
        <w:t xml:space="preserve"> adoptado por la CMR-15, la Oficina de Radiocomunicaciones publicará, utilizando las características básicas de la solicitud de coordinación, una descripción general de la red o del sistema para su publicación anticipada en una Sección Especial de la BR IFIC.</w:t>
      </w:r>
    </w:p>
    <w:p w:rsidR="00C14423" w:rsidRPr="00095619" w:rsidRDefault="00C14423" w:rsidP="00255E00">
      <w:pPr>
        <w:pStyle w:val="Headingb"/>
        <w:spacing w:after="240"/>
        <w:ind w:left="142" w:firstLine="0"/>
      </w:pPr>
      <w:r w:rsidRPr="00095619">
        <w:t xml:space="preserve">Supresión </w:t>
      </w:r>
      <w:r w:rsidR="00255E00">
        <w:t>de</w:t>
      </w:r>
      <w:r w:rsidRPr="00095619">
        <w:t xml:space="preserve"> </w:t>
      </w:r>
      <w:r w:rsidRPr="00422C83">
        <w:t>API</w:t>
      </w:r>
    </w:p>
    <w:p w:rsidR="00C14423" w:rsidRPr="00095619" w:rsidRDefault="00C14423" w:rsidP="00620B74">
      <w:pPr>
        <w:spacing w:after="240" w:line="240" w:lineRule="auto"/>
        <w:ind w:left="142"/>
        <w:rPr>
          <w:rFonts w:asciiTheme="minorHAnsi" w:hAnsiTheme="minorHAnsi" w:cstheme="majorBidi"/>
          <w:sz w:val="24"/>
          <w:szCs w:val="24"/>
        </w:rPr>
      </w:pPr>
      <w:r w:rsidRPr="00095619">
        <w:rPr>
          <w:rFonts w:asciiTheme="minorHAnsi" w:hAnsiTheme="minorHAnsi" w:cstheme="majorBidi"/>
          <w:sz w:val="24"/>
          <w:szCs w:val="24"/>
        </w:rPr>
        <w:t xml:space="preserve">De conformidad con el resuelve 2 de la Resolución </w:t>
      </w:r>
      <w:r w:rsidRPr="00715F16">
        <w:rPr>
          <w:rFonts w:asciiTheme="minorHAnsi" w:hAnsiTheme="minorHAnsi" w:cstheme="majorBidi"/>
          <w:b/>
          <w:bCs/>
          <w:sz w:val="24"/>
          <w:szCs w:val="24"/>
        </w:rPr>
        <w:t>31</w:t>
      </w:r>
      <w:r w:rsidRPr="00095619">
        <w:rPr>
          <w:rFonts w:asciiTheme="minorHAnsi" w:hAnsiTheme="minorHAnsi" w:cstheme="majorBidi"/>
          <w:sz w:val="24"/>
          <w:szCs w:val="24"/>
        </w:rPr>
        <w:t xml:space="preserve"> (CMR-15), la Oficina de Radiocomunicaciones suprimirá y dejará de tomar en consideración cualquier información para publicación anticipada correspondiente a una red o un sistema de satélites sujeto a los procedimientos de coordinación de la Sección II del Artículo </w:t>
      </w:r>
      <w:r w:rsidRPr="00095619">
        <w:rPr>
          <w:rFonts w:asciiTheme="minorHAnsi" w:hAnsiTheme="minorHAnsi" w:cstheme="majorBidi"/>
          <w:b/>
          <w:bCs/>
          <w:sz w:val="24"/>
          <w:szCs w:val="24"/>
        </w:rPr>
        <w:t xml:space="preserve">9 </w:t>
      </w:r>
      <w:r w:rsidRPr="00095619">
        <w:rPr>
          <w:rFonts w:asciiTheme="minorHAnsi" w:hAnsiTheme="minorHAnsi" w:cstheme="majorBidi"/>
          <w:sz w:val="24"/>
          <w:szCs w:val="24"/>
        </w:rPr>
        <w:t xml:space="preserve">y para la que la Oficina de Radiocomunicaciones no haya recibido una solicitud de coordinación con arreglo al número </w:t>
      </w:r>
      <w:r w:rsidRPr="00095619">
        <w:rPr>
          <w:rFonts w:asciiTheme="minorHAnsi" w:hAnsiTheme="minorHAnsi" w:cstheme="majorBidi"/>
          <w:b/>
          <w:bCs/>
          <w:sz w:val="24"/>
          <w:szCs w:val="24"/>
        </w:rPr>
        <w:t xml:space="preserve">9.30 </w:t>
      </w:r>
      <w:r w:rsidRPr="00095619">
        <w:rPr>
          <w:rFonts w:asciiTheme="minorHAnsi" w:hAnsiTheme="minorHAnsi" w:cstheme="majorBidi"/>
          <w:sz w:val="24"/>
          <w:szCs w:val="24"/>
        </w:rPr>
        <w:t>al 31 de diciembre de 2016.</w:t>
      </w:r>
    </w:p>
    <w:p w:rsidR="00C14423" w:rsidRDefault="00C14423" w:rsidP="00620B74">
      <w:pPr>
        <w:spacing w:after="240" w:line="240" w:lineRule="auto"/>
        <w:ind w:left="142"/>
        <w:rPr>
          <w:rFonts w:asciiTheme="minorHAnsi" w:hAnsiTheme="minorHAnsi" w:cstheme="majorBidi"/>
          <w:sz w:val="24"/>
          <w:szCs w:val="24"/>
        </w:rPr>
      </w:pPr>
      <w:r w:rsidRPr="00095619">
        <w:rPr>
          <w:rFonts w:asciiTheme="minorHAnsi" w:hAnsiTheme="minorHAnsi" w:cstheme="majorBidi"/>
          <w:sz w:val="24"/>
          <w:szCs w:val="24"/>
        </w:rPr>
        <w:t>Por consiguiente, todas las secciones API existentes sujetas a un procedimiento de coordinación que no vayan seguidas por una solicitud de coordinación antes del 31 de diciembre de 2016, serán suprimidas durante el primer trimestre de 2017 de conformidad con los procedimientos de publicación API vigente.</w:t>
      </w:r>
    </w:p>
    <w:p w:rsidR="00620B74" w:rsidRDefault="00620B74" w:rsidP="00C14423">
      <w:pPr>
        <w:spacing w:after="120" w:line="240" w:lineRule="auto"/>
        <w:ind w:left="142"/>
        <w:rPr>
          <w:rFonts w:asciiTheme="minorHAnsi" w:hAnsiTheme="minorHAnsi" w:cstheme="majorBidi"/>
          <w:sz w:val="24"/>
          <w:szCs w:val="24"/>
        </w:rPr>
      </w:pPr>
    </w:p>
    <w:p w:rsidR="00620B74" w:rsidRDefault="00620B74" w:rsidP="00C14423">
      <w:pPr>
        <w:spacing w:after="120" w:line="240" w:lineRule="auto"/>
        <w:ind w:left="142"/>
        <w:rPr>
          <w:rFonts w:asciiTheme="minorHAnsi" w:hAnsiTheme="minorHAnsi" w:cstheme="majorBidi"/>
          <w:sz w:val="24"/>
          <w:szCs w:val="24"/>
        </w:rPr>
      </w:pPr>
    </w:p>
    <w:p w:rsidR="00620B74" w:rsidRPr="00095619" w:rsidRDefault="00620B74" w:rsidP="00C14423">
      <w:pPr>
        <w:spacing w:after="120" w:line="240" w:lineRule="auto"/>
        <w:ind w:left="142"/>
        <w:rPr>
          <w:rFonts w:asciiTheme="minorHAnsi" w:hAnsiTheme="minorHAnsi" w:cstheme="majorBidi"/>
          <w:sz w:val="24"/>
          <w:szCs w:val="24"/>
        </w:rPr>
      </w:pPr>
    </w:p>
    <w:p w:rsidR="00620B74" w:rsidRDefault="00620B74" w:rsidP="00620B74">
      <w:pPr>
        <w:pStyle w:val="Headingb"/>
        <w:spacing w:before="480"/>
      </w:pPr>
    </w:p>
    <w:p w:rsidR="00C14423" w:rsidRPr="00095619" w:rsidRDefault="00C14423" w:rsidP="00620B74">
      <w:pPr>
        <w:pStyle w:val="Headingb"/>
        <w:spacing w:before="480"/>
        <w:rPr>
          <w:rFonts w:asciiTheme="minorHAnsi" w:hAnsiTheme="minorHAnsi" w:cstheme="majorBidi"/>
          <w:b w:val="0"/>
          <w:bCs/>
          <w:szCs w:val="24"/>
        </w:rPr>
      </w:pPr>
      <w:r w:rsidRPr="00422C83">
        <w:t>Secciones Especiales</w:t>
      </w:r>
    </w:p>
    <w:p w:rsidR="00C14423" w:rsidRPr="00095619" w:rsidRDefault="00C14423" w:rsidP="00620B74">
      <w:pPr>
        <w:spacing w:before="240" w:after="120" w:line="240" w:lineRule="auto"/>
        <w:ind w:left="142"/>
        <w:rPr>
          <w:rFonts w:asciiTheme="minorHAnsi" w:hAnsiTheme="minorHAnsi" w:cstheme="majorBidi"/>
          <w:sz w:val="24"/>
          <w:szCs w:val="24"/>
        </w:rPr>
      </w:pPr>
      <w:r w:rsidRPr="00095619">
        <w:rPr>
          <w:rFonts w:asciiTheme="minorHAnsi" w:hAnsiTheme="minorHAnsi" w:cstheme="majorBidi"/>
          <w:sz w:val="24"/>
          <w:szCs w:val="24"/>
        </w:rPr>
        <w:t xml:space="preserve">De conformidad con el número </w:t>
      </w:r>
      <w:r w:rsidRPr="00095619">
        <w:rPr>
          <w:rFonts w:asciiTheme="minorHAnsi" w:hAnsiTheme="minorHAnsi" w:cstheme="majorBidi"/>
          <w:b/>
          <w:bCs/>
          <w:sz w:val="24"/>
          <w:szCs w:val="24"/>
        </w:rPr>
        <w:t>9.1A</w:t>
      </w:r>
      <w:r w:rsidRPr="00095619">
        <w:rPr>
          <w:rFonts w:asciiTheme="minorHAnsi" w:hAnsiTheme="minorHAnsi" w:cstheme="majorBidi"/>
          <w:sz w:val="24"/>
          <w:szCs w:val="24"/>
        </w:rPr>
        <w:t xml:space="preserve">, las características básicas de API, extraídas de las solicitudes de coordinación recibidas a partir del 1 de enero, serán publicadas en una nueva serie de secciones especiales “API/C” con una nueva numeración. Cualquier modificación de una solicitud de coordinación entrañe la utilización de una banda de frecuencias adicional o la modificación de la ubicación orbital de una estación espacial que utiliza la órbita de los satélites geoestacionarios, requerirá una nueva publicación de API con arreglo al número </w:t>
      </w:r>
      <w:r w:rsidRPr="00095619">
        <w:rPr>
          <w:rFonts w:asciiTheme="minorHAnsi" w:hAnsiTheme="minorHAnsi" w:cstheme="majorBidi"/>
          <w:b/>
          <w:bCs/>
          <w:sz w:val="24"/>
          <w:szCs w:val="24"/>
        </w:rPr>
        <w:t>9.1A</w:t>
      </w:r>
      <w:r w:rsidRPr="00095619">
        <w:rPr>
          <w:rFonts w:asciiTheme="minorHAnsi" w:hAnsiTheme="minorHAnsi" w:cstheme="majorBidi"/>
          <w:sz w:val="24"/>
          <w:szCs w:val="24"/>
        </w:rPr>
        <w:t>.</w:t>
      </w:r>
    </w:p>
    <w:p w:rsidR="00C14423" w:rsidRPr="00095619" w:rsidRDefault="00C14423" w:rsidP="00620B74">
      <w:pPr>
        <w:spacing w:before="240" w:after="120" w:line="240" w:lineRule="auto"/>
        <w:ind w:left="142"/>
        <w:rPr>
          <w:rFonts w:asciiTheme="minorHAnsi" w:hAnsiTheme="minorHAnsi" w:cstheme="majorBidi"/>
          <w:sz w:val="24"/>
          <w:szCs w:val="24"/>
        </w:rPr>
      </w:pPr>
      <w:r w:rsidRPr="00095619">
        <w:rPr>
          <w:rFonts w:asciiTheme="minorHAnsi" w:hAnsiTheme="minorHAnsi" w:cstheme="majorBidi"/>
          <w:sz w:val="24"/>
          <w:szCs w:val="24"/>
        </w:rPr>
        <w:t xml:space="preserve">En lo que concierne a los sistemas o redes de satélite que no están sujetos a los procedimientos de coordinación con arreglo a la Sección II del Artículo </w:t>
      </w:r>
      <w:r w:rsidRPr="00360478">
        <w:rPr>
          <w:rFonts w:asciiTheme="minorHAnsi" w:hAnsiTheme="minorHAnsi" w:cstheme="majorBidi"/>
          <w:b/>
          <w:bCs/>
          <w:sz w:val="24"/>
          <w:szCs w:val="24"/>
        </w:rPr>
        <w:t>9</w:t>
      </w:r>
      <w:r w:rsidRPr="00095619">
        <w:rPr>
          <w:rFonts w:asciiTheme="minorHAnsi" w:hAnsiTheme="minorHAnsi" w:cstheme="majorBidi"/>
          <w:sz w:val="24"/>
          <w:szCs w:val="24"/>
        </w:rPr>
        <w:t xml:space="preserve">, las API se seguirán publicando como secciones especiales API/A de conformidad con el número </w:t>
      </w:r>
      <w:r w:rsidRPr="00095619">
        <w:rPr>
          <w:rFonts w:asciiTheme="minorHAnsi" w:hAnsiTheme="minorHAnsi" w:cstheme="majorBidi"/>
          <w:b/>
          <w:bCs/>
          <w:sz w:val="24"/>
          <w:szCs w:val="24"/>
        </w:rPr>
        <w:t>9.1</w:t>
      </w:r>
      <w:r w:rsidRPr="00095619">
        <w:rPr>
          <w:rFonts w:asciiTheme="minorHAnsi" w:hAnsiTheme="minorHAnsi" w:cstheme="majorBidi"/>
          <w:sz w:val="24"/>
          <w:szCs w:val="24"/>
        </w:rPr>
        <w:t>.</w:t>
      </w:r>
    </w:p>
    <w:p w:rsidR="00C14423" w:rsidRPr="00422C83" w:rsidRDefault="00C14423" w:rsidP="00422C83">
      <w:pPr>
        <w:pStyle w:val="Headingb"/>
      </w:pPr>
      <w:r w:rsidRPr="00422C83">
        <w:t>Plazo reglamentario</w:t>
      </w:r>
    </w:p>
    <w:p w:rsidR="00C14423" w:rsidRPr="00095619" w:rsidRDefault="00C14423" w:rsidP="00620B74">
      <w:pPr>
        <w:spacing w:before="240" w:after="120" w:line="240" w:lineRule="auto"/>
        <w:ind w:left="142"/>
        <w:rPr>
          <w:rFonts w:asciiTheme="minorHAnsi" w:hAnsiTheme="minorHAnsi" w:cstheme="majorBidi"/>
          <w:sz w:val="24"/>
          <w:szCs w:val="24"/>
        </w:rPr>
      </w:pPr>
      <w:r w:rsidRPr="00095619">
        <w:rPr>
          <w:rFonts w:asciiTheme="minorHAnsi" w:hAnsiTheme="minorHAnsi" w:cstheme="majorBidi"/>
          <w:sz w:val="24"/>
          <w:szCs w:val="24"/>
        </w:rPr>
        <w:t xml:space="preserve">En lo que respecta a todas las nuevas solicitudes de coordinación completas recibidas con arreglo al número </w:t>
      </w:r>
      <w:r w:rsidRPr="00360478">
        <w:rPr>
          <w:rFonts w:asciiTheme="minorHAnsi" w:hAnsiTheme="minorHAnsi" w:cstheme="majorBidi"/>
          <w:b/>
          <w:bCs/>
          <w:sz w:val="24"/>
          <w:szCs w:val="24"/>
        </w:rPr>
        <w:t>9.30</w:t>
      </w:r>
      <w:r w:rsidRPr="00095619">
        <w:rPr>
          <w:rFonts w:asciiTheme="minorHAnsi" w:hAnsiTheme="minorHAnsi" w:cstheme="majorBidi"/>
          <w:sz w:val="24"/>
          <w:szCs w:val="24"/>
        </w:rPr>
        <w:t xml:space="preserve"> a partir del 1 de enero de 2017, la descripción general del sistema o red con las características básicas de la solicitud de coordinación se publicará para publicación anticipada con arreglo al número </w:t>
      </w:r>
      <w:r w:rsidRPr="00360478">
        <w:rPr>
          <w:rFonts w:asciiTheme="minorHAnsi" w:hAnsiTheme="minorHAnsi" w:cstheme="majorBidi"/>
          <w:b/>
          <w:bCs/>
          <w:sz w:val="24"/>
          <w:szCs w:val="24"/>
        </w:rPr>
        <w:t>9.1A</w:t>
      </w:r>
      <w:r w:rsidRPr="00095619">
        <w:rPr>
          <w:rFonts w:asciiTheme="minorHAnsi" w:hAnsiTheme="minorHAnsi" w:cstheme="majorBidi"/>
          <w:sz w:val="24"/>
          <w:szCs w:val="24"/>
        </w:rPr>
        <w:t xml:space="preserve"> con la misma fecha de recepción que la solicitud de coordinación de la red de satélite. Como se indica en la Carta Circular CR/401,</w:t>
      </w:r>
      <w:r w:rsidRPr="00095619">
        <w:rPr>
          <w:sz w:val="24"/>
          <w:szCs w:val="24"/>
          <w:lang w:eastAsia="zh-CN"/>
        </w:rPr>
        <w:t xml:space="preserve"> </w:t>
      </w:r>
      <w:r w:rsidRPr="00095619">
        <w:rPr>
          <w:rFonts w:asciiTheme="minorHAnsi" w:hAnsiTheme="minorHAnsi" w:cstheme="majorBidi"/>
          <w:sz w:val="24"/>
          <w:szCs w:val="24"/>
        </w:rPr>
        <w:t xml:space="preserve">una solicitud de coordinación que se reciba entre el 1 de julio de 2016 y el 31 de diciembre de 2016, y que no se refiera a ninguna API recibida hasta el 30 de junio de 2016, se considerará recibida por la Oficina con fecha 1 de enero de 2017, y se tramitará de la misma manera que con arreglo al número </w:t>
      </w:r>
      <w:r w:rsidRPr="00095619">
        <w:rPr>
          <w:rFonts w:asciiTheme="minorHAnsi" w:hAnsiTheme="minorHAnsi" w:cstheme="majorBidi"/>
          <w:b/>
          <w:bCs/>
          <w:sz w:val="24"/>
          <w:szCs w:val="24"/>
        </w:rPr>
        <w:t>9.1A</w:t>
      </w:r>
      <w:r w:rsidRPr="00095619">
        <w:rPr>
          <w:rFonts w:asciiTheme="minorHAnsi" w:hAnsiTheme="minorHAnsi" w:cstheme="majorBidi"/>
          <w:sz w:val="24"/>
          <w:szCs w:val="24"/>
        </w:rPr>
        <w:t>. Esa fecha de recepción se considerará la fecha de inicio reglamentario (</w:t>
      </w:r>
      <w:proofErr w:type="spellStart"/>
      <w:r w:rsidRPr="00095619">
        <w:rPr>
          <w:rFonts w:asciiTheme="minorHAnsi" w:hAnsiTheme="minorHAnsi" w:cstheme="majorBidi"/>
          <w:sz w:val="24"/>
          <w:szCs w:val="24"/>
        </w:rPr>
        <w:t>grp.d_start</w:t>
      </w:r>
      <w:proofErr w:type="spellEnd"/>
      <w:r w:rsidRPr="00095619">
        <w:rPr>
          <w:rFonts w:asciiTheme="minorHAnsi" w:hAnsiTheme="minorHAnsi" w:cstheme="majorBidi"/>
          <w:sz w:val="24"/>
          <w:szCs w:val="24"/>
        </w:rPr>
        <w:t>) a efectos de definir el plazo reglamentario (</w:t>
      </w:r>
      <w:proofErr w:type="spellStart"/>
      <w:r w:rsidRPr="00095619">
        <w:rPr>
          <w:rFonts w:asciiTheme="minorHAnsi" w:hAnsiTheme="minorHAnsi" w:cstheme="majorBidi"/>
          <w:sz w:val="24"/>
          <w:szCs w:val="24"/>
        </w:rPr>
        <w:t>grp.d_reg_limit</w:t>
      </w:r>
      <w:proofErr w:type="spellEnd"/>
      <w:r w:rsidRPr="00095619">
        <w:rPr>
          <w:rFonts w:asciiTheme="minorHAnsi" w:hAnsiTheme="minorHAnsi" w:cstheme="majorBidi"/>
          <w:sz w:val="24"/>
          <w:szCs w:val="24"/>
        </w:rPr>
        <w:t xml:space="preserve">) para la puesta en servicio de cualquier asignación de frecuencia a la estación espacial de la red de satélite conforme al número </w:t>
      </w:r>
      <w:r w:rsidRPr="00095619">
        <w:rPr>
          <w:rFonts w:asciiTheme="minorHAnsi" w:hAnsiTheme="minorHAnsi" w:cstheme="majorBidi"/>
          <w:b/>
          <w:bCs/>
          <w:sz w:val="24"/>
          <w:szCs w:val="24"/>
        </w:rPr>
        <w:t>11.44</w:t>
      </w:r>
      <w:r w:rsidRPr="00095619">
        <w:rPr>
          <w:rFonts w:asciiTheme="minorHAnsi" w:hAnsiTheme="minorHAnsi" w:cstheme="majorBidi"/>
          <w:sz w:val="24"/>
          <w:szCs w:val="24"/>
        </w:rPr>
        <w:t>. La fecha de inicio reglamentario y el plazo reglamentario de puesta en servicio darán indicados en la notificación de solicitud de coordinación para cada grupo de asignación de frecuencias.</w:t>
      </w:r>
    </w:p>
    <w:p w:rsidR="00C14423" w:rsidRPr="00422C83" w:rsidRDefault="00C14423" w:rsidP="00422C83">
      <w:pPr>
        <w:pStyle w:val="Headingb"/>
      </w:pPr>
      <w:r w:rsidRPr="00422C83">
        <w:t>“Tal y como se reciben”</w:t>
      </w:r>
    </w:p>
    <w:p w:rsidR="00C14423" w:rsidRPr="00095619" w:rsidRDefault="00C14423" w:rsidP="00620B74">
      <w:pPr>
        <w:spacing w:before="240" w:after="120" w:line="240" w:lineRule="auto"/>
        <w:ind w:left="142"/>
        <w:rPr>
          <w:rFonts w:asciiTheme="minorHAnsi" w:hAnsiTheme="minorHAnsi" w:cstheme="majorBidi"/>
          <w:sz w:val="24"/>
          <w:szCs w:val="24"/>
        </w:rPr>
      </w:pPr>
      <w:r w:rsidRPr="00095619">
        <w:rPr>
          <w:rFonts w:asciiTheme="minorHAnsi" w:hAnsiTheme="minorHAnsi" w:cstheme="majorBidi"/>
          <w:sz w:val="24"/>
          <w:szCs w:val="24"/>
        </w:rPr>
        <w:t xml:space="preserve">Cuando la CMR-15 adoptó el número </w:t>
      </w:r>
      <w:r w:rsidRPr="00360478">
        <w:rPr>
          <w:rFonts w:asciiTheme="minorHAnsi" w:hAnsiTheme="minorHAnsi" w:cstheme="majorBidi"/>
          <w:b/>
          <w:bCs/>
          <w:sz w:val="24"/>
          <w:szCs w:val="24"/>
        </w:rPr>
        <w:t>9.1A</w:t>
      </w:r>
      <w:r w:rsidRPr="00095619">
        <w:rPr>
          <w:rFonts w:asciiTheme="minorHAnsi" w:hAnsiTheme="minorHAnsi" w:cstheme="majorBidi"/>
          <w:sz w:val="24"/>
          <w:szCs w:val="24"/>
        </w:rPr>
        <w:t xml:space="preserve">, las administraciones pidieron a la Oficina que publicase un breve resumen de la solicitud de coordinación en el sitio web de la oficina lo antes posible tras haber recibido la notificación. En la Resolución </w:t>
      </w:r>
      <w:r w:rsidRPr="00715F16">
        <w:rPr>
          <w:rFonts w:asciiTheme="minorHAnsi" w:hAnsiTheme="minorHAnsi" w:cstheme="majorBidi"/>
          <w:b/>
          <w:bCs/>
          <w:sz w:val="24"/>
          <w:szCs w:val="24"/>
        </w:rPr>
        <w:t>55</w:t>
      </w:r>
      <w:r w:rsidRPr="00095619">
        <w:rPr>
          <w:rFonts w:asciiTheme="minorHAnsi" w:hAnsiTheme="minorHAnsi" w:cstheme="majorBidi"/>
          <w:sz w:val="24"/>
          <w:szCs w:val="24"/>
        </w:rPr>
        <w:t xml:space="preserve">, revisada por la CMR-15, también se encarga a la Oficina que publique las notificaciones de redes de satélite “tal y como se reciben” en un plazo de 30 días, y suprimió la obligación de publicarlas en el DVD ROM de la BR IFIC. </w:t>
      </w:r>
    </w:p>
    <w:p w:rsidR="00C14423" w:rsidRPr="00095619" w:rsidRDefault="00C14423" w:rsidP="00620B74">
      <w:pPr>
        <w:spacing w:before="240" w:line="240" w:lineRule="auto"/>
        <w:ind w:left="142"/>
        <w:rPr>
          <w:rFonts w:asciiTheme="minorHAnsi" w:hAnsiTheme="minorHAnsi" w:cstheme="majorBidi"/>
          <w:sz w:val="24"/>
          <w:szCs w:val="24"/>
        </w:rPr>
      </w:pPr>
      <w:r w:rsidRPr="00095619">
        <w:rPr>
          <w:rFonts w:asciiTheme="minorHAnsi" w:hAnsiTheme="minorHAnsi" w:cstheme="majorBidi"/>
          <w:sz w:val="24"/>
          <w:szCs w:val="24"/>
        </w:rPr>
        <w:t>A fin de obedecer a ambas exigencias, la inicial Oficina se esforzará por publicar la</w:t>
      </w:r>
      <w:r w:rsidR="00715F16">
        <w:rPr>
          <w:rFonts w:asciiTheme="minorHAnsi" w:hAnsiTheme="minorHAnsi" w:cstheme="majorBidi"/>
          <w:sz w:val="24"/>
          <w:szCs w:val="24"/>
        </w:rPr>
        <w:t>s solicitudes de coordinación “</w:t>
      </w:r>
      <w:r w:rsidRPr="00095619">
        <w:rPr>
          <w:rFonts w:asciiTheme="minorHAnsi" w:hAnsiTheme="minorHAnsi" w:cstheme="majorBidi"/>
          <w:sz w:val="24"/>
          <w:szCs w:val="24"/>
        </w:rPr>
        <w:t xml:space="preserve">tal y como se reciben”, junto con un breve resumen, en un plazo máximo de </w:t>
      </w:r>
      <w:r w:rsidR="00715F16">
        <w:rPr>
          <w:rFonts w:asciiTheme="minorHAnsi" w:hAnsiTheme="minorHAnsi" w:cstheme="majorBidi"/>
          <w:sz w:val="24"/>
          <w:szCs w:val="24"/>
        </w:rPr>
        <w:br/>
      </w:r>
      <w:r w:rsidRPr="00095619">
        <w:rPr>
          <w:rFonts w:asciiTheme="minorHAnsi" w:hAnsiTheme="minorHAnsi" w:cstheme="majorBidi"/>
          <w:sz w:val="24"/>
          <w:szCs w:val="24"/>
        </w:rPr>
        <w:t>siete días a partir de la recepción de la solicitud de coordinación completa, en la página “tal y como se reciben” de su sitio web en la dirección:</w:t>
      </w:r>
    </w:p>
    <w:p w:rsidR="00C14423" w:rsidRPr="00095619" w:rsidRDefault="00364FB0" w:rsidP="00360478">
      <w:pPr>
        <w:spacing w:before="240" w:after="120" w:line="240" w:lineRule="auto"/>
        <w:ind w:left="142"/>
        <w:jc w:val="center"/>
        <w:rPr>
          <w:rFonts w:asciiTheme="minorHAnsi" w:hAnsiTheme="minorHAnsi" w:cstheme="majorBidi"/>
          <w:sz w:val="24"/>
          <w:szCs w:val="24"/>
        </w:rPr>
      </w:pPr>
      <w:hyperlink r:id="rId7" w:history="1">
        <w:r w:rsidR="00C14423" w:rsidRPr="00095619">
          <w:rPr>
            <w:rStyle w:val="Hyperlink"/>
            <w:rFonts w:asciiTheme="minorHAnsi" w:hAnsiTheme="minorHAnsi" w:cstheme="majorBidi"/>
            <w:sz w:val="24"/>
            <w:szCs w:val="24"/>
          </w:rPr>
          <w:t>http://www.itu.int/en/ITU-R/space/snl/Pages/asreceivedCR.aspx</w:t>
        </w:r>
      </w:hyperlink>
    </w:p>
    <w:p w:rsidR="00C14423" w:rsidRPr="00095619" w:rsidRDefault="00C14423" w:rsidP="00620B74">
      <w:pPr>
        <w:spacing w:before="240" w:after="120" w:line="240" w:lineRule="auto"/>
        <w:ind w:left="142"/>
        <w:rPr>
          <w:rFonts w:asciiTheme="minorHAnsi" w:hAnsiTheme="minorHAnsi" w:cstheme="majorBidi"/>
          <w:sz w:val="24"/>
          <w:szCs w:val="24"/>
        </w:rPr>
      </w:pPr>
      <w:r w:rsidRPr="00095619">
        <w:rPr>
          <w:rFonts w:asciiTheme="minorHAnsi" w:hAnsiTheme="minorHAnsi" w:cstheme="majorBidi"/>
          <w:sz w:val="24"/>
          <w:szCs w:val="24"/>
        </w:rPr>
        <w:t>La publicación de esas notificaciones “tal y como se reciben” en el DVD ROM de la BRIFIC cesará después de la segunda BR IFIC de 2017.</w:t>
      </w:r>
    </w:p>
    <w:p w:rsidR="00C14423" w:rsidRPr="00360478" w:rsidRDefault="00C14423" w:rsidP="00360478">
      <w:pPr>
        <w:pStyle w:val="Headingb"/>
      </w:pPr>
      <w:r w:rsidRPr="00360478">
        <w:t>Comentarios con arreglo al número 9.5B</w:t>
      </w:r>
    </w:p>
    <w:p w:rsidR="00C14423" w:rsidRPr="00095619" w:rsidRDefault="00C14423" w:rsidP="00620B74">
      <w:pPr>
        <w:spacing w:before="240" w:after="120" w:line="240" w:lineRule="auto"/>
        <w:ind w:left="142"/>
        <w:rPr>
          <w:rFonts w:asciiTheme="minorHAnsi" w:hAnsiTheme="minorHAnsi" w:cstheme="majorBidi"/>
          <w:sz w:val="24"/>
          <w:szCs w:val="24"/>
        </w:rPr>
      </w:pPr>
      <w:r w:rsidRPr="00095619">
        <w:rPr>
          <w:rFonts w:asciiTheme="minorHAnsi" w:hAnsiTheme="minorHAnsi" w:cstheme="majorBidi"/>
          <w:sz w:val="24"/>
          <w:szCs w:val="24"/>
        </w:rPr>
        <w:t xml:space="preserve">La Oficina señala asimismo a la atención de las Administraciones la supresión por la CMR-15 de las disposiciones el número </w:t>
      </w:r>
      <w:r w:rsidRPr="00095619">
        <w:rPr>
          <w:rFonts w:asciiTheme="minorHAnsi" w:hAnsiTheme="minorHAnsi" w:cstheme="majorBidi"/>
          <w:b/>
          <w:bCs/>
          <w:sz w:val="24"/>
          <w:szCs w:val="24"/>
        </w:rPr>
        <w:t>9.5B</w:t>
      </w:r>
      <w:r w:rsidRPr="00095619">
        <w:rPr>
          <w:rFonts w:asciiTheme="minorHAnsi" w:hAnsiTheme="minorHAnsi" w:cstheme="majorBidi"/>
          <w:sz w:val="24"/>
          <w:szCs w:val="24"/>
        </w:rPr>
        <w:t xml:space="preserve"> relativo a los comentarios sobre la publicación anticipada de información sobre redes sujetas a un procedimiento de coordinación. Por consiguiente, la Oficina ya no tomará medidas sobre comentarios relativos a secciones especiales API relativos a redes de satélite sujetas a coordinación.</w:t>
      </w:r>
    </w:p>
    <w:p w:rsidR="00C14423" w:rsidRPr="00095619" w:rsidRDefault="00C14423" w:rsidP="00620B74">
      <w:pPr>
        <w:spacing w:before="240" w:after="120" w:line="240" w:lineRule="auto"/>
        <w:ind w:left="142"/>
        <w:rPr>
          <w:rFonts w:asciiTheme="minorHAnsi" w:hAnsiTheme="minorHAnsi" w:cstheme="majorBidi"/>
          <w:sz w:val="24"/>
          <w:szCs w:val="24"/>
        </w:rPr>
      </w:pPr>
      <w:r w:rsidRPr="00095619">
        <w:rPr>
          <w:rFonts w:asciiTheme="minorHAnsi" w:hAnsiTheme="minorHAnsi" w:cstheme="majorBidi"/>
          <w:sz w:val="24"/>
          <w:szCs w:val="24"/>
        </w:rPr>
        <w:t xml:space="preserve">No obstante, la Oficina seguirá tramitando los comentarios conforme al número </w:t>
      </w:r>
      <w:r w:rsidRPr="00095619">
        <w:rPr>
          <w:rFonts w:asciiTheme="minorHAnsi" w:hAnsiTheme="minorHAnsi" w:cstheme="majorBidi"/>
          <w:b/>
          <w:bCs/>
          <w:sz w:val="24"/>
          <w:szCs w:val="24"/>
        </w:rPr>
        <w:t>9.3</w:t>
      </w:r>
      <w:r w:rsidRPr="00095619">
        <w:rPr>
          <w:rFonts w:asciiTheme="minorHAnsi" w:hAnsiTheme="minorHAnsi" w:cstheme="majorBidi"/>
          <w:sz w:val="24"/>
          <w:szCs w:val="24"/>
        </w:rPr>
        <w:t xml:space="preserve"> sometidos por medio del software </w:t>
      </w:r>
      <w:proofErr w:type="spellStart"/>
      <w:r w:rsidRPr="00095619">
        <w:rPr>
          <w:rFonts w:asciiTheme="minorHAnsi" w:hAnsiTheme="minorHAnsi" w:cstheme="majorBidi"/>
          <w:sz w:val="24"/>
          <w:szCs w:val="24"/>
        </w:rPr>
        <w:t>SpaceCom</w:t>
      </w:r>
      <w:proofErr w:type="spellEnd"/>
      <w:r w:rsidRPr="00095619">
        <w:rPr>
          <w:rFonts w:asciiTheme="minorHAnsi" w:hAnsiTheme="minorHAnsi" w:cstheme="majorBidi"/>
          <w:sz w:val="24"/>
          <w:szCs w:val="24"/>
        </w:rPr>
        <w:t xml:space="preserve"> de la Oficina con respecto a redes de satélite no sujetas a coordinación.</w:t>
      </w:r>
    </w:p>
    <w:p w:rsidR="00C14423" w:rsidRPr="00095619" w:rsidRDefault="00C14423" w:rsidP="00B12965">
      <w:pPr>
        <w:spacing w:before="240" w:line="240" w:lineRule="auto"/>
        <w:ind w:left="142"/>
        <w:rPr>
          <w:rFonts w:asciiTheme="minorHAnsi" w:hAnsiTheme="minorHAnsi" w:cstheme="majorBidi"/>
          <w:sz w:val="24"/>
          <w:szCs w:val="24"/>
        </w:rPr>
      </w:pPr>
      <w:r w:rsidRPr="00095619">
        <w:rPr>
          <w:rFonts w:asciiTheme="minorHAnsi" w:hAnsiTheme="minorHAnsi" w:cstheme="majorBidi"/>
          <w:sz w:val="24"/>
          <w:szCs w:val="24"/>
        </w:rPr>
        <w:t xml:space="preserve">La Oficina de Radiocomunicaciones queda a la disposición de esa Administración para facilitarle cualquier aclaración que pueda necesitar respecto de los asuntos tratados en la presente </w:t>
      </w:r>
      <w:r w:rsidR="00B12965">
        <w:rPr>
          <w:rFonts w:asciiTheme="minorHAnsi" w:hAnsiTheme="minorHAnsi" w:cstheme="majorBidi"/>
          <w:sz w:val="24"/>
          <w:szCs w:val="24"/>
        </w:rPr>
        <w:t>C</w:t>
      </w:r>
      <w:r w:rsidRPr="00095619">
        <w:rPr>
          <w:rFonts w:asciiTheme="minorHAnsi" w:hAnsiTheme="minorHAnsi" w:cstheme="majorBidi"/>
          <w:sz w:val="24"/>
          <w:szCs w:val="24"/>
        </w:rPr>
        <w:t xml:space="preserve">arta circular. Las consultas de índole general relativas a reglas de presentación y validación pueden dirigirse a la persona de contacto de la UIT, Sr. </w:t>
      </w:r>
      <w:proofErr w:type="spellStart"/>
      <w:r w:rsidRPr="00095619">
        <w:rPr>
          <w:rFonts w:asciiTheme="minorHAnsi" w:hAnsiTheme="minorHAnsi" w:cstheme="majorBidi"/>
          <w:sz w:val="24"/>
          <w:szCs w:val="24"/>
        </w:rPr>
        <w:t>Attila</w:t>
      </w:r>
      <w:proofErr w:type="spellEnd"/>
      <w:r w:rsidRPr="00095619">
        <w:rPr>
          <w:rFonts w:asciiTheme="minorHAnsi" w:hAnsiTheme="minorHAnsi" w:cstheme="majorBidi"/>
          <w:sz w:val="24"/>
          <w:szCs w:val="24"/>
        </w:rPr>
        <w:t xml:space="preserve"> Matas, teléfono: +41 22 730 6105, </w:t>
      </w:r>
      <w:r w:rsidR="00715F16">
        <w:rPr>
          <w:rFonts w:asciiTheme="minorHAnsi" w:hAnsiTheme="minorHAnsi" w:cstheme="majorBidi"/>
          <w:sz w:val="24"/>
          <w:szCs w:val="24"/>
        </w:rPr>
        <w:br/>
      </w:r>
      <w:r w:rsidRPr="00095619">
        <w:rPr>
          <w:rFonts w:asciiTheme="minorHAnsi" w:hAnsiTheme="minorHAnsi" w:cstheme="majorBidi"/>
          <w:sz w:val="24"/>
          <w:szCs w:val="24"/>
        </w:rPr>
        <w:t xml:space="preserve">fax: +41 22 730 5785, correo-e: </w:t>
      </w:r>
      <w:hyperlink r:id="rId8" w:history="1">
        <w:r w:rsidRPr="00095619">
          <w:rPr>
            <w:rStyle w:val="Hyperlink"/>
            <w:rFonts w:asciiTheme="minorHAnsi" w:hAnsiTheme="minorHAnsi" w:cstheme="majorBidi"/>
            <w:sz w:val="24"/>
            <w:szCs w:val="24"/>
          </w:rPr>
          <w:t>matas@itu.int</w:t>
        </w:r>
      </w:hyperlink>
      <w:r w:rsidRPr="00095619">
        <w:rPr>
          <w:rFonts w:asciiTheme="minorHAnsi" w:hAnsiTheme="minorHAnsi" w:cstheme="majorBidi"/>
          <w:sz w:val="24"/>
          <w:szCs w:val="24"/>
        </w:rPr>
        <w:t>.</w:t>
      </w:r>
    </w:p>
    <w:p w:rsidR="00C14423" w:rsidRPr="00095619" w:rsidRDefault="00C14423" w:rsidP="00360478">
      <w:pPr>
        <w:spacing w:before="840" w:line="240" w:lineRule="auto"/>
        <w:ind w:left="142"/>
        <w:rPr>
          <w:rFonts w:asciiTheme="minorHAnsi" w:hAnsiTheme="minorHAnsi" w:cstheme="majorBidi"/>
          <w:sz w:val="24"/>
          <w:szCs w:val="24"/>
        </w:rPr>
      </w:pPr>
      <w:r w:rsidRPr="00095619">
        <w:rPr>
          <w:rFonts w:asciiTheme="minorHAnsi" w:hAnsiTheme="minorHAnsi" w:cstheme="majorBidi"/>
          <w:sz w:val="24"/>
          <w:szCs w:val="24"/>
        </w:rPr>
        <w:t>François Rancy</w:t>
      </w:r>
    </w:p>
    <w:p w:rsidR="00C14423" w:rsidRPr="00095619" w:rsidRDefault="00C14423" w:rsidP="00C14423">
      <w:pPr>
        <w:spacing w:before="0" w:line="240" w:lineRule="auto"/>
        <w:ind w:left="142"/>
        <w:jc w:val="left"/>
        <w:rPr>
          <w:rFonts w:asciiTheme="minorHAnsi" w:hAnsiTheme="minorHAnsi" w:cstheme="majorBidi"/>
          <w:sz w:val="24"/>
          <w:szCs w:val="24"/>
        </w:rPr>
      </w:pPr>
      <w:r w:rsidRPr="00095619">
        <w:rPr>
          <w:rFonts w:asciiTheme="minorHAnsi" w:hAnsiTheme="minorHAnsi" w:cstheme="majorBidi"/>
          <w:sz w:val="24"/>
          <w:szCs w:val="24"/>
        </w:rPr>
        <w:t>Director</w:t>
      </w:r>
    </w:p>
    <w:p w:rsidR="00620B74" w:rsidRDefault="00620B74" w:rsidP="00360478">
      <w:pPr>
        <w:pStyle w:val="toc0"/>
        <w:tabs>
          <w:tab w:val="left" w:pos="794"/>
          <w:tab w:val="left" w:pos="1191"/>
          <w:tab w:val="left" w:pos="1588"/>
          <w:tab w:val="left" w:pos="1985"/>
        </w:tabs>
        <w:spacing w:before="2040"/>
        <w:ind w:left="142"/>
        <w:jc w:val="both"/>
        <w:rPr>
          <w:rFonts w:asciiTheme="minorHAnsi" w:hAnsiTheme="minorHAnsi"/>
          <w:bCs/>
          <w:sz w:val="18"/>
          <w:szCs w:val="18"/>
          <w:u w:val="single"/>
        </w:rPr>
      </w:pPr>
    </w:p>
    <w:p w:rsidR="00C14423" w:rsidRPr="00095619" w:rsidRDefault="00C14423" w:rsidP="00360478">
      <w:pPr>
        <w:pStyle w:val="toc0"/>
        <w:tabs>
          <w:tab w:val="left" w:pos="794"/>
          <w:tab w:val="left" w:pos="1191"/>
          <w:tab w:val="left" w:pos="1588"/>
          <w:tab w:val="left" w:pos="1985"/>
        </w:tabs>
        <w:spacing w:before="2040"/>
        <w:ind w:left="142"/>
        <w:jc w:val="both"/>
        <w:rPr>
          <w:rFonts w:asciiTheme="minorHAnsi" w:hAnsiTheme="minorHAnsi"/>
          <w:bCs/>
          <w:sz w:val="18"/>
          <w:szCs w:val="18"/>
          <w:u w:val="single"/>
        </w:rPr>
      </w:pPr>
      <w:r w:rsidRPr="00095619">
        <w:rPr>
          <w:rFonts w:asciiTheme="minorHAnsi" w:hAnsiTheme="minorHAnsi"/>
          <w:bCs/>
          <w:sz w:val="18"/>
          <w:szCs w:val="18"/>
          <w:u w:val="single"/>
        </w:rPr>
        <w:t>Distribución:</w:t>
      </w:r>
    </w:p>
    <w:p w:rsidR="00C14423" w:rsidRPr="00095619" w:rsidRDefault="00C14423" w:rsidP="00C14423">
      <w:pPr>
        <w:tabs>
          <w:tab w:val="clear" w:pos="794"/>
          <w:tab w:val="clear" w:pos="1191"/>
          <w:tab w:val="clear" w:pos="1588"/>
          <w:tab w:val="clear" w:pos="1985"/>
        </w:tabs>
        <w:overflowPunct/>
        <w:spacing w:before="0" w:line="240" w:lineRule="auto"/>
        <w:ind w:firstLine="142"/>
        <w:jc w:val="left"/>
        <w:textAlignment w:val="auto"/>
        <w:rPr>
          <w:rFonts w:ascii="Times New Roman" w:hAnsi="Times New Roman" w:cs="Times New Roman"/>
          <w:sz w:val="18"/>
          <w:szCs w:val="18"/>
          <w:lang w:eastAsia="zh-CN"/>
        </w:rPr>
      </w:pPr>
      <w:r w:rsidRPr="00095619">
        <w:rPr>
          <w:rFonts w:ascii="Times New Roman" w:hAnsi="Times New Roman" w:cs="Times New Roman"/>
          <w:sz w:val="18"/>
          <w:szCs w:val="18"/>
          <w:lang w:eastAsia="zh-CN"/>
        </w:rPr>
        <w:t>– Administraciones de los Estados Miembros de la UIT</w:t>
      </w:r>
    </w:p>
    <w:p w:rsidR="00C14423" w:rsidRPr="00095619" w:rsidRDefault="00C14423" w:rsidP="00C14423">
      <w:pPr>
        <w:pStyle w:val="enumlev1"/>
        <w:tabs>
          <w:tab w:val="clear" w:pos="794"/>
          <w:tab w:val="left" w:pos="284"/>
        </w:tabs>
        <w:spacing w:before="0"/>
        <w:ind w:left="142" w:firstLine="0"/>
        <w:rPr>
          <w:rFonts w:asciiTheme="minorHAnsi" w:hAnsiTheme="minorHAnsi"/>
          <w:sz w:val="18"/>
          <w:szCs w:val="18"/>
        </w:rPr>
      </w:pPr>
      <w:r w:rsidRPr="00095619">
        <w:rPr>
          <w:rFonts w:ascii="Times New Roman" w:hAnsi="Times New Roman" w:cs="Times New Roman"/>
          <w:sz w:val="18"/>
          <w:szCs w:val="18"/>
          <w:lang w:eastAsia="zh-CN"/>
        </w:rPr>
        <w:t>– Miembros de la Junta del Reglamento de Radiocomunicaciones</w:t>
      </w:r>
    </w:p>
    <w:p w:rsidR="00C14423" w:rsidRPr="006F590F" w:rsidRDefault="00C14423" w:rsidP="00C14423"/>
    <w:sectPr w:rsidR="00C14423" w:rsidRPr="006F590F" w:rsidSect="00360478">
      <w:headerReference w:type="even" r:id="rId9"/>
      <w:headerReference w:type="default" r:id="rId10"/>
      <w:headerReference w:type="first" r:id="rId11"/>
      <w:footerReference w:type="first" r:id="rId12"/>
      <w:pgSz w:w="11907" w:h="16834" w:code="9"/>
      <w:pgMar w:top="1134" w:right="1134" w:bottom="1134"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423" w:rsidRDefault="00C14423">
      <w:r>
        <w:separator/>
      </w:r>
    </w:p>
  </w:endnote>
  <w:endnote w:type="continuationSeparator" w:id="0">
    <w:p w:rsidR="00C14423" w:rsidRDefault="00C1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D2E" w:rsidRPr="006F590F" w:rsidRDefault="00612D2E" w:rsidP="00422C83">
    <w:pPr>
      <w:pStyle w:val="FirstFooter"/>
      <w:spacing w:line="240" w:lineRule="auto"/>
      <w:ind w:left="-397" w:right="-397"/>
      <w:jc w:val="center"/>
      <w:rPr>
        <w:color w:val="3E8EDE"/>
        <w:sz w:val="18"/>
        <w:szCs w:val="18"/>
      </w:rPr>
    </w:pPr>
    <w:r w:rsidRPr="006F590F">
      <w:rPr>
        <w:color w:val="3E8EDE"/>
        <w:sz w:val="18"/>
        <w:szCs w:val="18"/>
      </w:rPr>
      <w:t xml:space="preserve">Unión Internacional de Telecomunicaciones • Place des </w:t>
    </w:r>
    <w:proofErr w:type="spellStart"/>
    <w:r w:rsidRPr="006F590F">
      <w:rPr>
        <w:color w:val="3E8EDE"/>
        <w:sz w:val="18"/>
        <w:szCs w:val="18"/>
      </w:rPr>
      <w:t>Nations</w:t>
    </w:r>
    <w:proofErr w:type="spellEnd"/>
    <w:r w:rsidRPr="006F590F">
      <w:rPr>
        <w:color w:val="3E8EDE"/>
        <w:sz w:val="18"/>
        <w:szCs w:val="18"/>
      </w:rPr>
      <w:t>, CH</w:t>
    </w:r>
    <w:r w:rsidRPr="006F590F">
      <w:rPr>
        <w:color w:val="3E8EDE"/>
        <w:sz w:val="18"/>
        <w:szCs w:val="18"/>
      </w:rPr>
      <w:noBreakHyphen/>
      <w:t>1211 Ginebra 20, Suiza</w:t>
    </w:r>
    <w:r w:rsidRPr="006F590F">
      <w:rPr>
        <w:color w:val="3E8EDE"/>
        <w:sz w:val="18"/>
        <w:szCs w:val="18"/>
      </w:rPr>
      <w:br/>
      <w:t xml:space="preserve">Tel: +41 22 730 5111 • Fax: +41 22 733 7256 • </w:t>
    </w:r>
    <w:r w:rsidR="00690C51">
      <w:rPr>
        <w:color w:val="3E8EDE"/>
        <w:sz w:val="18"/>
        <w:szCs w:val="18"/>
      </w:rPr>
      <w:br/>
    </w:r>
    <w:r w:rsidRPr="006F590F">
      <w:rPr>
        <w:color w:val="3E8EDE"/>
        <w:sz w:val="18"/>
        <w:szCs w:val="18"/>
      </w:rPr>
      <w:t xml:space="preserve">Correo-e: </w:t>
    </w:r>
    <w:hyperlink r:id="rId1" w:history="1">
      <w:r w:rsidR="00422C83" w:rsidRPr="00422C83">
        <w:rPr>
          <w:rStyle w:val="Hyperlink"/>
          <w:color w:val="3E8EDE"/>
          <w:sz w:val="18"/>
          <w:szCs w:val="18"/>
        </w:rPr>
        <w:t>itumail@itu.int</w:t>
      </w:r>
    </w:hyperlink>
    <w:r w:rsidRPr="006F590F">
      <w:rPr>
        <w:color w:val="3E8EDE"/>
        <w:sz w:val="18"/>
        <w:szCs w:val="18"/>
      </w:rPr>
      <w:t xml:space="preserve"> • </w:t>
    </w:r>
    <w:hyperlink r:id="rId2" w:history="1">
      <w:r w:rsidR="00422C83" w:rsidRPr="00422C83">
        <w:rPr>
          <w:rStyle w:val="Hyperlink"/>
          <w:color w:val="3E8EDE"/>
          <w:sz w:val="18"/>
          <w:szCs w:val="18"/>
        </w:rPr>
        <w:t>www.itu.int</w:t>
      </w:r>
    </w:hyperlink>
    <w:r w:rsidR="004F61B8">
      <w:rPr>
        <w:color w:val="3E8EDE"/>
        <w:sz w:val="18"/>
        <w:szCs w:val="18"/>
      </w:rPr>
      <w:t xml:space="preserve"> • </w:t>
    </w:r>
    <w:hyperlink r:id="rId3" w:history="1">
      <w:r w:rsidR="00422C83" w:rsidRPr="00422C83">
        <w:rPr>
          <w:rStyle w:val="Hyperlink"/>
          <w:color w:val="3E8EDE"/>
          <w:sz w:val="18"/>
          <w:szCs w:val="18"/>
        </w:rPr>
        <w:t>www.itu.int/go/RR110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423" w:rsidRDefault="00C14423">
      <w:r>
        <w:t>____________________</w:t>
      </w:r>
    </w:p>
  </w:footnote>
  <w:footnote w:type="continuationSeparator" w:id="0">
    <w:p w:rsidR="00C14423" w:rsidRDefault="00C14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F16" w:rsidRPr="00326492" w:rsidRDefault="00715F16" w:rsidP="00715F16">
    <w:pPr>
      <w:pStyle w:val="Header"/>
      <w:jc w:val="center"/>
      <w:rPr>
        <w:sz w:val="18"/>
        <w:szCs w:val="18"/>
      </w:rPr>
    </w:pPr>
    <w:r w:rsidRPr="00326492">
      <w:rPr>
        <w:sz w:val="18"/>
        <w:szCs w:val="18"/>
      </w:rPr>
      <w:t xml:space="preserve">– </w:t>
    </w:r>
    <w:r w:rsidRPr="00326492">
      <w:rPr>
        <w:rStyle w:val="PageNumber"/>
        <w:sz w:val="18"/>
        <w:szCs w:val="18"/>
      </w:rPr>
      <w:fldChar w:fldCharType="begin"/>
    </w:r>
    <w:r w:rsidRPr="00326492">
      <w:rPr>
        <w:rStyle w:val="PageNumber"/>
        <w:sz w:val="18"/>
        <w:szCs w:val="18"/>
      </w:rPr>
      <w:instrText xml:space="preserve"> PAGE </w:instrText>
    </w:r>
    <w:r w:rsidRPr="00326492">
      <w:rPr>
        <w:rStyle w:val="PageNumber"/>
        <w:sz w:val="18"/>
        <w:szCs w:val="18"/>
      </w:rPr>
      <w:fldChar w:fldCharType="separate"/>
    </w:r>
    <w:r w:rsidR="00364FB0">
      <w:rPr>
        <w:rStyle w:val="PageNumber"/>
        <w:noProof/>
        <w:sz w:val="18"/>
        <w:szCs w:val="18"/>
      </w:rPr>
      <w:t>2</w:t>
    </w:r>
    <w:r w:rsidRPr="00326492">
      <w:rPr>
        <w:rStyle w:val="PageNumber"/>
        <w:sz w:val="18"/>
        <w:szCs w:val="18"/>
      </w:rPr>
      <w:fldChar w:fldCharType="end"/>
    </w:r>
    <w:r w:rsidRPr="00326492">
      <w:rPr>
        <w:rStyle w:val="PageNumber"/>
        <w:sz w:val="18"/>
        <w:szCs w:val="18"/>
      </w:rPr>
      <w:t xml:space="preserve"> –</w:t>
    </w:r>
  </w:p>
  <w:p w:rsidR="00026CF8" w:rsidRPr="00360478" w:rsidRDefault="00026CF8" w:rsidP="00715F16">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F16" w:rsidRPr="00326492" w:rsidRDefault="00715F16" w:rsidP="00715F16">
    <w:pPr>
      <w:pStyle w:val="Header"/>
      <w:jc w:val="center"/>
      <w:rPr>
        <w:sz w:val="18"/>
        <w:szCs w:val="18"/>
      </w:rPr>
    </w:pPr>
    <w:r w:rsidRPr="00326492">
      <w:rPr>
        <w:sz w:val="18"/>
        <w:szCs w:val="18"/>
      </w:rPr>
      <w:t xml:space="preserve">– </w:t>
    </w:r>
    <w:r w:rsidRPr="00326492">
      <w:rPr>
        <w:rStyle w:val="PageNumber"/>
        <w:sz w:val="18"/>
        <w:szCs w:val="18"/>
      </w:rPr>
      <w:fldChar w:fldCharType="begin"/>
    </w:r>
    <w:r w:rsidRPr="00326492">
      <w:rPr>
        <w:rStyle w:val="PageNumber"/>
        <w:sz w:val="18"/>
        <w:szCs w:val="18"/>
      </w:rPr>
      <w:instrText xml:space="preserve"> PAGE </w:instrText>
    </w:r>
    <w:r w:rsidRPr="00326492">
      <w:rPr>
        <w:rStyle w:val="PageNumber"/>
        <w:sz w:val="18"/>
        <w:szCs w:val="18"/>
      </w:rPr>
      <w:fldChar w:fldCharType="separate"/>
    </w:r>
    <w:r w:rsidR="00364FB0">
      <w:rPr>
        <w:rStyle w:val="PageNumber"/>
        <w:noProof/>
        <w:sz w:val="18"/>
        <w:szCs w:val="18"/>
      </w:rPr>
      <w:t>3</w:t>
    </w:r>
    <w:r w:rsidRPr="00326492">
      <w:rPr>
        <w:rStyle w:val="PageNumber"/>
        <w:sz w:val="18"/>
        <w:szCs w:val="18"/>
      </w:rPr>
      <w:fldChar w:fldCharType="end"/>
    </w:r>
    <w:r w:rsidRPr="00326492">
      <w:rPr>
        <w:rStyle w:val="PageNumber"/>
        <w:sz w:val="18"/>
        <w:szCs w:val="18"/>
      </w:rPr>
      <w:t xml:space="preserve"> –</w:t>
    </w:r>
  </w:p>
  <w:p w:rsidR="00026CF8" w:rsidRPr="00360478" w:rsidRDefault="00026CF8" w:rsidP="00715F16">
    <w:pPr>
      <w:pStyle w:val="Header"/>
      <w:rPr>
        <w:iCs/>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892"/>
    </w:tblGrid>
    <w:tr w:rsidR="00C14423" w:rsidTr="0048394D">
      <w:tc>
        <w:tcPr>
          <w:tcW w:w="5031" w:type="dxa"/>
        </w:tcPr>
        <w:p w:rsidR="00C14423" w:rsidRDefault="00C14423" w:rsidP="00C14423">
          <w:pPr>
            <w:pStyle w:val="Header"/>
            <w:tabs>
              <w:tab w:val="clear" w:pos="794"/>
              <w:tab w:val="clear" w:pos="4820"/>
            </w:tabs>
            <w:spacing w:before="120" w:line="360" w:lineRule="auto"/>
          </w:pPr>
          <w:r>
            <w:rPr>
              <w:b/>
              <w:bCs/>
              <w:noProof/>
              <w:lang w:val="en-GB" w:eastAsia="zh-CN"/>
            </w:rPr>
            <w:drawing>
              <wp:inline distT="0" distB="0" distL="0" distR="0" wp14:anchorId="7AD26FD0" wp14:editId="76187FA9">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4892" w:type="dxa"/>
        </w:tcPr>
        <w:p w:rsidR="00C14423" w:rsidRDefault="00C14423" w:rsidP="00C14423">
          <w:pPr>
            <w:pStyle w:val="Header"/>
            <w:tabs>
              <w:tab w:val="clear" w:pos="794"/>
              <w:tab w:val="clear" w:pos="4820"/>
            </w:tabs>
            <w:spacing w:line="360" w:lineRule="auto"/>
            <w:jc w:val="right"/>
          </w:pPr>
          <w:r w:rsidRPr="00975D6F">
            <w:rPr>
              <w:rFonts w:cs="Arial"/>
              <w:noProof/>
              <w:lang w:val="en-GB" w:eastAsia="zh-CN"/>
            </w:rPr>
            <w:drawing>
              <wp:inline distT="0" distB="0" distL="0" distR="0" wp14:anchorId="24E67566" wp14:editId="38329F66">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bl>
  <w:p w:rsidR="00026CF8" w:rsidRPr="006F590F" w:rsidRDefault="00026CF8" w:rsidP="00C14423">
    <w:pPr>
      <w:pStyle w:val="Header"/>
      <w:spacing w:line="36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C14423"/>
    <w:rsid w:val="00010E30"/>
    <w:rsid w:val="000232D5"/>
    <w:rsid w:val="00023857"/>
    <w:rsid w:val="00026CF8"/>
    <w:rsid w:val="00070258"/>
    <w:rsid w:val="00072B9B"/>
    <w:rsid w:val="00072E16"/>
    <w:rsid w:val="0007323C"/>
    <w:rsid w:val="00086D03"/>
    <w:rsid w:val="000A7051"/>
    <w:rsid w:val="000C03C7"/>
    <w:rsid w:val="000D786F"/>
    <w:rsid w:val="000E3DEE"/>
    <w:rsid w:val="00103C76"/>
    <w:rsid w:val="0011265F"/>
    <w:rsid w:val="0016308F"/>
    <w:rsid w:val="00196710"/>
    <w:rsid w:val="00197324"/>
    <w:rsid w:val="001B1CE8"/>
    <w:rsid w:val="001D7070"/>
    <w:rsid w:val="001E0DF6"/>
    <w:rsid w:val="001F5A49"/>
    <w:rsid w:val="00200936"/>
    <w:rsid w:val="00201097"/>
    <w:rsid w:val="00201B6E"/>
    <w:rsid w:val="002240B2"/>
    <w:rsid w:val="00235A29"/>
    <w:rsid w:val="00243821"/>
    <w:rsid w:val="00255E00"/>
    <w:rsid w:val="002861E6"/>
    <w:rsid w:val="002A2700"/>
    <w:rsid w:val="002D5322"/>
    <w:rsid w:val="002D6688"/>
    <w:rsid w:val="002E7E4D"/>
    <w:rsid w:val="002F0890"/>
    <w:rsid w:val="003370B8"/>
    <w:rsid w:val="00360478"/>
    <w:rsid w:val="00364FB0"/>
    <w:rsid w:val="003666FF"/>
    <w:rsid w:val="003741EE"/>
    <w:rsid w:val="00376793"/>
    <w:rsid w:val="003B2BDA"/>
    <w:rsid w:val="003B55EC"/>
    <w:rsid w:val="003C4471"/>
    <w:rsid w:val="003E504F"/>
    <w:rsid w:val="00422C83"/>
    <w:rsid w:val="004326DB"/>
    <w:rsid w:val="0043682E"/>
    <w:rsid w:val="004815EB"/>
    <w:rsid w:val="00486DE0"/>
    <w:rsid w:val="00496920"/>
    <w:rsid w:val="004B1B14"/>
    <w:rsid w:val="004B7C9A"/>
    <w:rsid w:val="004C4BA6"/>
    <w:rsid w:val="004E0DC4"/>
    <w:rsid w:val="004E0FB5"/>
    <w:rsid w:val="004E43BB"/>
    <w:rsid w:val="004F178E"/>
    <w:rsid w:val="004F61B8"/>
    <w:rsid w:val="00505309"/>
    <w:rsid w:val="0050789B"/>
    <w:rsid w:val="00515771"/>
    <w:rsid w:val="005323E5"/>
    <w:rsid w:val="00542A47"/>
    <w:rsid w:val="00543DF8"/>
    <w:rsid w:val="00546101"/>
    <w:rsid w:val="00553DD7"/>
    <w:rsid w:val="0057469A"/>
    <w:rsid w:val="00580814"/>
    <w:rsid w:val="005A03A3"/>
    <w:rsid w:val="005B214C"/>
    <w:rsid w:val="005B5FF1"/>
    <w:rsid w:val="005C4551"/>
    <w:rsid w:val="005C6B83"/>
    <w:rsid w:val="00602D53"/>
    <w:rsid w:val="00612D2E"/>
    <w:rsid w:val="00620B74"/>
    <w:rsid w:val="00651777"/>
    <w:rsid w:val="00690C51"/>
    <w:rsid w:val="006A0A47"/>
    <w:rsid w:val="006B0590"/>
    <w:rsid w:val="006B49DA"/>
    <w:rsid w:val="006F590F"/>
    <w:rsid w:val="00707216"/>
    <w:rsid w:val="00715F16"/>
    <w:rsid w:val="007234B1"/>
    <w:rsid w:val="00730B9A"/>
    <w:rsid w:val="007921A7"/>
    <w:rsid w:val="007A5C27"/>
    <w:rsid w:val="007B3DB1"/>
    <w:rsid w:val="007D183E"/>
    <w:rsid w:val="007E3F13"/>
    <w:rsid w:val="007F06D0"/>
    <w:rsid w:val="007F4D15"/>
    <w:rsid w:val="00800012"/>
    <w:rsid w:val="00811D34"/>
    <w:rsid w:val="0081513E"/>
    <w:rsid w:val="00816E74"/>
    <w:rsid w:val="00823210"/>
    <w:rsid w:val="00843445"/>
    <w:rsid w:val="00847D46"/>
    <w:rsid w:val="00854131"/>
    <w:rsid w:val="0085652D"/>
    <w:rsid w:val="0087066D"/>
    <w:rsid w:val="0087694B"/>
    <w:rsid w:val="008802FB"/>
    <w:rsid w:val="008F4F21"/>
    <w:rsid w:val="00904D4A"/>
    <w:rsid w:val="009151BA"/>
    <w:rsid w:val="009277BC"/>
    <w:rsid w:val="00927D57"/>
    <w:rsid w:val="00941D23"/>
    <w:rsid w:val="0095010C"/>
    <w:rsid w:val="00963D9D"/>
    <w:rsid w:val="00965617"/>
    <w:rsid w:val="00981B54"/>
    <w:rsid w:val="009842C3"/>
    <w:rsid w:val="009A6BB6"/>
    <w:rsid w:val="009C161F"/>
    <w:rsid w:val="009E4AEC"/>
    <w:rsid w:val="009E5BD8"/>
    <w:rsid w:val="009E681E"/>
    <w:rsid w:val="00A34D6F"/>
    <w:rsid w:val="00A41F91"/>
    <w:rsid w:val="00A86A44"/>
    <w:rsid w:val="00A963DF"/>
    <w:rsid w:val="00AB7507"/>
    <w:rsid w:val="00AC3896"/>
    <w:rsid w:val="00AE6CFA"/>
    <w:rsid w:val="00AF3325"/>
    <w:rsid w:val="00B12965"/>
    <w:rsid w:val="00B34CF9"/>
    <w:rsid w:val="00B67004"/>
    <w:rsid w:val="00B90C45"/>
    <w:rsid w:val="00B933BE"/>
    <w:rsid w:val="00BB4069"/>
    <w:rsid w:val="00BD3929"/>
    <w:rsid w:val="00BD7E5E"/>
    <w:rsid w:val="00BE6574"/>
    <w:rsid w:val="00BF4AF2"/>
    <w:rsid w:val="00C14423"/>
    <w:rsid w:val="00C444B2"/>
    <w:rsid w:val="00C54AC2"/>
    <w:rsid w:val="00C57E2C"/>
    <w:rsid w:val="00C608B7"/>
    <w:rsid w:val="00C66F24"/>
    <w:rsid w:val="00C9291E"/>
    <w:rsid w:val="00CA3F44"/>
    <w:rsid w:val="00CA4E58"/>
    <w:rsid w:val="00CB3771"/>
    <w:rsid w:val="00CB5153"/>
    <w:rsid w:val="00CC0DA0"/>
    <w:rsid w:val="00CE3197"/>
    <w:rsid w:val="00CF6752"/>
    <w:rsid w:val="00D05EC2"/>
    <w:rsid w:val="00D10BA0"/>
    <w:rsid w:val="00D24EB5"/>
    <w:rsid w:val="00D41571"/>
    <w:rsid w:val="00D416A0"/>
    <w:rsid w:val="00D47672"/>
    <w:rsid w:val="00D5123C"/>
    <w:rsid w:val="00D51C9E"/>
    <w:rsid w:val="00D55560"/>
    <w:rsid w:val="00D61C5A"/>
    <w:rsid w:val="00DE66A5"/>
    <w:rsid w:val="00DF2B50"/>
    <w:rsid w:val="00E003F5"/>
    <w:rsid w:val="00E04C86"/>
    <w:rsid w:val="00E20F30"/>
    <w:rsid w:val="00E27BBA"/>
    <w:rsid w:val="00E34CD1"/>
    <w:rsid w:val="00E35E8F"/>
    <w:rsid w:val="00E438E8"/>
    <w:rsid w:val="00E520E2"/>
    <w:rsid w:val="00E64254"/>
    <w:rsid w:val="00EA15B3"/>
    <w:rsid w:val="00EB2358"/>
    <w:rsid w:val="00EB3EB8"/>
    <w:rsid w:val="00F42C8C"/>
    <w:rsid w:val="00F468C5"/>
    <w:rsid w:val="00F52F39"/>
    <w:rsid w:val="00F55EAB"/>
    <w:rsid w:val="00F914DD"/>
    <w:rsid w:val="00FA2358"/>
    <w:rsid w:val="00FB2592"/>
    <w:rsid w:val="00FB2810"/>
    <w:rsid w:val="00FC2947"/>
    <w:rsid w:val="00FD561E"/>
    <w:rsid w:val="00FE081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8AC05ED-557A-4AAC-AE09-FB010C6E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08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s-ES_tradnl"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qFormat/>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22C83"/>
    <w:pPr>
      <w:keepNext/>
      <w:tabs>
        <w:tab w:val="clear" w:pos="794"/>
        <w:tab w:val="left" w:pos="993"/>
      </w:tabs>
      <w:spacing w:before="240"/>
      <w:ind w:left="794" w:hanging="654"/>
    </w:pPr>
    <w:rPr>
      <w:b/>
      <w:sz w:val="24"/>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table" w:styleId="TableGrid">
    <w:name w:val="Table Grid"/>
    <w:basedOn w:val="TableNormal"/>
    <w:rsid w:val="005C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locked/>
    <w:rsid w:val="00C14423"/>
    <w:rPr>
      <w:sz w:val="22"/>
      <w:szCs w:val="22"/>
      <w:lang w:val="es-ES_tradnl" w:eastAsia="en-US"/>
    </w:rPr>
  </w:style>
  <w:style w:type="character" w:styleId="FollowedHyperlink">
    <w:name w:val="FollowedHyperlink"/>
    <w:basedOn w:val="DefaultParagraphFont"/>
    <w:semiHidden/>
    <w:unhideWhenUsed/>
    <w:rsid w:val="00422C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as@itu.i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tu.int/en/ITU-R/space/snl/Pages/asreceivedCR.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esfer\AppData\Roaming\Microsoft\Templates\ITU\Letter-Fax-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42B469FDA94BB3BA7DD20902D93185"/>
        <w:category>
          <w:name w:val="General"/>
          <w:gallery w:val="placeholder"/>
        </w:category>
        <w:types>
          <w:type w:val="bbPlcHdr"/>
        </w:types>
        <w:behaviors>
          <w:behavior w:val="content"/>
        </w:behaviors>
        <w:guid w:val="{1F9A0543-CFD9-4790-93EF-E61A7BEE2CFB}"/>
      </w:docPartPr>
      <w:docPartBody>
        <w:p w:rsidR="0005301E" w:rsidRDefault="0005301E">
          <w:pPr>
            <w:pStyle w:val="5142B469FDA94BB3BA7DD20902D93185"/>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1E"/>
    <w:rsid w:val="000530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142B469FDA94BB3BA7DD20902D93185">
    <w:name w:val="5142B469FDA94BB3BA7DD20902D93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Letter-Fax-S.dotm</Template>
  <TotalTime>16</TotalTime>
  <Pages>3</Pages>
  <Words>1020</Words>
  <Characters>5452</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(Spanish)</vt:lpstr>
      <vt:lpstr>ITU-T Rec. Book 1 Resolutions ITU-T Series A Recommendations:</vt:lpstr>
    </vt:vector>
  </TitlesOfParts>
  <Company>ITU</Company>
  <LinksUpToDate>false</LinksUpToDate>
  <CharactersWithSpaces>6460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(Spanish)</dc:title>
  <dc:creator>Ferrer, Jacqueline</dc:creator>
  <cp:lastModifiedBy>Anghelone, Christine</cp:lastModifiedBy>
  <cp:revision>10</cp:revision>
  <cp:lastPrinted>2016-12-06T16:55:00Z</cp:lastPrinted>
  <dcterms:created xsi:type="dcterms:W3CDTF">2016-12-06T16:49:00Z</dcterms:created>
  <dcterms:modified xsi:type="dcterms:W3CDTF">2016-12-07T16:47:00Z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