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60"/>
        <w:gridCol w:w="5494"/>
        <w:gridCol w:w="2835"/>
      </w:tblGrid>
      <w:tr w:rsidR="00E53DCE" w:rsidRPr="00BB0173" w:rsidTr="004228FA">
        <w:trPr>
          <w:jc w:val="center"/>
        </w:trPr>
        <w:tc>
          <w:tcPr>
            <w:tcW w:w="9889" w:type="dxa"/>
            <w:gridSpan w:val="3"/>
            <w:shd w:val="clear" w:color="auto" w:fill="auto"/>
          </w:tcPr>
          <w:p w:rsidR="00E53DCE" w:rsidRPr="00BB0173" w:rsidRDefault="00E53DCE" w:rsidP="006160CB">
            <w:pPr>
              <w:spacing w:before="0"/>
              <w:jc w:val="left"/>
              <w:rPr>
                <w:rFonts w:cstheme="minorHAnsi"/>
                <w:b/>
                <w:bCs/>
                <w:color w:val="808080"/>
                <w:sz w:val="28"/>
                <w:szCs w:val="28"/>
                <w:lang w:val="fr-FR"/>
              </w:rPr>
            </w:pPr>
            <w:r w:rsidRPr="00BB0173">
              <w:rPr>
                <w:rFonts w:cstheme="minorHAnsi"/>
                <w:b/>
                <w:bCs/>
                <w:color w:val="808080"/>
                <w:sz w:val="28"/>
                <w:szCs w:val="28"/>
                <w:lang w:val="fr-FR"/>
              </w:rPr>
              <w:t>Bureau des radiocommunications (BR)</w:t>
            </w:r>
          </w:p>
          <w:p w:rsidR="00E53DCE" w:rsidRPr="00BB0173" w:rsidRDefault="00E53DCE" w:rsidP="006160CB">
            <w:pPr>
              <w:spacing w:before="0"/>
              <w:jc w:val="left"/>
              <w:rPr>
                <w:rFonts w:cstheme="minorHAnsi"/>
                <w:b/>
                <w:bCs/>
                <w:color w:val="808080"/>
                <w:sz w:val="28"/>
                <w:szCs w:val="28"/>
                <w:lang w:val="fr-FR"/>
              </w:rPr>
            </w:pPr>
          </w:p>
          <w:p w:rsidR="00E53DCE" w:rsidRPr="00BB0173" w:rsidRDefault="00E53DCE" w:rsidP="006160CB">
            <w:pPr>
              <w:spacing w:before="0"/>
              <w:jc w:val="left"/>
              <w:rPr>
                <w:rFonts w:cs="Times New Roman Bold"/>
                <w:b/>
                <w:bCs/>
                <w:color w:val="808080"/>
                <w:sz w:val="28"/>
                <w:szCs w:val="28"/>
                <w:lang w:val="fr-FR"/>
              </w:rPr>
            </w:pPr>
          </w:p>
        </w:tc>
      </w:tr>
      <w:tr w:rsidR="00E53DCE" w:rsidRPr="00BB0173" w:rsidTr="004228FA">
        <w:trPr>
          <w:jc w:val="center"/>
        </w:trPr>
        <w:tc>
          <w:tcPr>
            <w:tcW w:w="7054" w:type="dxa"/>
            <w:gridSpan w:val="2"/>
            <w:shd w:val="clear" w:color="auto" w:fill="auto"/>
          </w:tcPr>
          <w:p w:rsidR="00E53DCE" w:rsidRPr="00BB0173" w:rsidRDefault="00E53DCE" w:rsidP="006160CB">
            <w:pPr>
              <w:spacing w:before="0"/>
              <w:jc w:val="left"/>
              <w:rPr>
                <w:sz w:val="28"/>
                <w:szCs w:val="28"/>
                <w:lang w:val="fr-FR"/>
              </w:rPr>
            </w:pPr>
            <w:r w:rsidRPr="00BB0173">
              <w:rPr>
                <w:szCs w:val="24"/>
                <w:lang w:val="fr-FR"/>
              </w:rPr>
              <w:t>Circulaire administrative</w:t>
            </w:r>
          </w:p>
          <w:p w:rsidR="00E53DCE" w:rsidRPr="00BB0173" w:rsidRDefault="00B21099" w:rsidP="00B21099">
            <w:pPr>
              <w:spacing w:before="0"/>
              <w:jc w:val="left"/>
              <w:rPr>
                <w:b/>
                <w:bCs/>
                <w:sz w:val="28"/>
                <w:szCs w:val="28"/>
                <w:lang w:val="fr-FR"/>
              </w:rPr>
            </w:pPr>
            <w:r w:rsidRPr="00BB0173">
              <w:rPr>
                <w:b/>
                <w:bCs/>
                <w:szCs w:val="24"/>
                <w:lang w:val="fr-FR"/>
              </w:rPr>
              <w:t>CR</w:t>
            </w:r>
            <w:r w:rsidR="00E53DCE" w:rsidRPr="00BB0173">
              <w:rPr>
                <w:b/>
                <w:bCs/>
                <w:szCs w:val="24"/>
                <w:lang w:val="fr-FR"/>
              </w:rPr>
              <w:t>/</w:t>
            </w:r>
            <w:r w:rsidRPr="00BB0173">
              <w:rPr>
                <w:b/>
                <w:bCs/>
                <w:szCs w:val="24"/>
                <w:lang w:val="fr-FR"/>
              </w:rPr>
              <w:t>415</w:t>
            </w:r>
          </w:p>
        </w:tc>
        <w:tc>
          <w:tcPr>
            <w:tcW w:w="2835" w:type="dxa"/>
            <w:shd w:val="clear" w:color="auto" w:fill="auto"/>
          </w:tcPr>
          <w:p w:rsidR="00E53DCE" w:rsidRPr="00BB0173" w:rsidRDefault="00D60175" w:rsidP="000A4113">
            <w:pPr>
              <w:spacing w:before="0"/>
              <w:jc w:val="right"/>
              <w:rPr>
                <w:sz w:val="28"/>
                <w:szCs w:val="28"/>
                <w:lang w:val="fr-FR"/>
              </w:rPr>
            </w:pPr>
            <w:r w:rsidRPr="00BB0173">
              <w:rPr>
                <w:szCs w:val="24"/>
                <w:lang w:val="fr-FR"/>
              </w:rPr>
              <w:t>L</w:t>
            </w:r>
            <w:r w:rsidR="00E53DCE" w:rsidRPr="00BB0173">
              <w:rPr>
                <w:szCs w:val="24"/>
                <w:lang w:val="fr-FR"/>
              </w:rPr>
              <w:t xml:space="preserve">e </w:t>
            </w:r>
            <w:sdt>
              <w:sdtPr>
                <w:rPr>
                  <w:rFonts w:cs="Arial"/>
                  <w:szCs w:val="24"/>
                  <w:lang w:val="fr-FR"/>
                </w:rPr>
                <w:alias w:val="Date"/>
                <w:tag w:val="Date"/>
                <w:id w:val="444659277"/>
                <w:placeholder>
                  <w:docPart w:val="228D9DF0D6474495AE0E654E30E22E88"/>
                </w:placeholder>
                <w:date>
                  <w:dateFormat w:val="d MMMM yyyy"/>
                  <w:lid w:val="fr-FR"/>
                  <w:storeMappedDataAs w:val="date"/>
                  <w:calendar w:val="gregorian"/>
                </w:date>
              </w:sdtPr>
              <w:sdtEndPr/>
              <w:sdtContent>
                <w:r w:rsidR="000A4113">
                  <w:rPr>
                    <w:rFonts w:cs="Arial"/>
                    <w:szCs w:val="24"/>
                    <w:lang w:val="fr-FR"/>
                  </w:rPr>
                  <w:t>9</w:t>
                </w:r>
                <w:r w:rsidR="00B21099" w:rsidRPr="00BB0173">
                  <w:rPr>
                    <w:rFonts w:cs="Arial"/>
                    <w:szCs w:val="24"/>
                    <w:lang w:val="fr-FR"/>
                  </w:rPr>
                  <w:t xml:space="preserve"> décembre 2016</w:t>
                </w:r>
              </w:sdtContent>
            </w:sdt>
          </w:p>
        </w:tc>
      </w:tr>
      <w:tr w:rsidR="00E53DCE" w:rsidRPr="00BB0173" w:rsidTr="004228FA">
        <w:trPr>
          <w:jc w:val="center"/>
        </w:trPr>
        <w:tc>
          <w:tcPr>
            <w:tcW w:w="9889" w:type="dxa"/>
            <w:gridSpan w:val="3"/>
            <w:shd w:val="clear" w:color="auto" w:fill="auto"/>
          </w:tcPr>
          <w:p w:rsidR="00E53DCE" w:rsidRPr="00BB0173" w:rsidRDefault="00E53DCE" w:rsidP="006160CB">
            <w:pPr>
              <w:spacing w:before="0"/>
              <w:jc w:val="left"/>
              <w:rPr>
                <w:rFonts w:cs="Arial"/>
                <w:szCs w:val="24"/>
                <w:lang w:val="fr-FR"/>
              </w:rPr>
            </w:pPr>
          </w:p>
        </w:tc>
      </w:tr>
      <w:tr w:rsidR="00E53DCE" w:rsidRPr="00BB0173" w:rsidTr="004228FA">
        <w:trPr>
          <w:jc w:val="center"/>
        </w:trPr>
        <w:tc>
          <w:tcPr>
            <w:tcW w:w="9889" w:type="dxa"/>
            <w:gridSpan w:val="3"/>
            <w:shd w:val="clear" w:color="auto" w:fill="auto"/>
          </w:tcPr>
          <w:p w:rsidR="00E53DCE" w:rsidRPr="00BB0173" w:rsidRDefault="00E53DCE" w:rsidP="006160CB">
            <w:pPr>
              <w:spacing w:before="0"/>
              <w:jc w:val="left"/>
              <w:rPr>
                <w:szCs w:val="24"/>
                <w:lang w:val="fr-FR"/>
              </w:rPr>
            </w:pPr>
          </w:p>
        </w:tc>
      </w:tr>
      <w:tr w:rsidR="00E53DCE" w:rsidRPr="00E538A6" w:rsidTr="004228FA">
        <w:trPr>
          <w:jc w:val="center"/>
        </w:trPr>
        <w:tc>
          <w:tcPr>
            <w:tcW w:w="9889" w:type="dxa"/>
            <w:gridSpan w:val="3"/>
            <w:shd w:val="clear" w:color="auto" w:fill="auto"/>
          </w:tcPr>
          <w:p w:rsidR="00E53DCE" w:rsidRPr="00BB0173" w:rsidRDefault="00EE1A57" w:rsidP="006160CB">
            <w:pPr>
              <w:spacing w:before="0"/>
              <w:jc w:val="left"/>
              <w:rPr>
                <w:b/>
                <w:bCs/>
                <w:szCs w:val="24"/>
                <w:lang w:val="fr-FR"/>
              </w:rPr>
            </w:pPr>
            <w:r w:rsidRPr="00BB0173">
              <w:rPr>
                <w:b/>
                <w:bCs/>
                <w:szCs w:val="24"/>
                <w:lang w:val="fr-FR"/>
              </w:rPr>
              <w:t>Aux Administrations des Etats Membres de l'UIT</w:t>
            </w:r>
          </w:p>
          <w:p w:rsidR="00E53DCE" w:rsidRPr="00BB0173" w:rsidRDefault="00E53DCE" w:rsidP="006160CB">
            <w:pPr>
              <w:spacing w:before="0"/>
              <w:jc w:val="left"/>
              <w:rPr>
                <w:b/>
                <w:bCs/>
                <w:szCs w:val="24"/>
                <w:lang w:val="fr-FR"/>
              </w:rPr>
            </w:pPr>
          </w:p>
        </w:tc>
      </w:tr>
      <w:tr w:rsidR="00E53DCE" w:rsidRPr="00E538A6" w:rsidTr="004228FA">
        <w:trPr>
          <w:jc w:val="center"/>
        </w:trPr>
        <w:tc>
          <w:tcPr>
            <w:tcW w:w="9889" w:type="dxa"/>
            <w:gridSpan w:val="3"/>
            <w:shd w:val="clear" w:color="auto" w:fill="auto"/>
          </w:tcPr>
          <w:p w:rsidR="00E53DCE" w:rsidRPr="00BB0173" w:rsidRDefault="00E53DCE" w:rsidP="006160CB">
            <w:pPr>
              <w:spacing w:before="0"/>
              <w:jc w:val="left"/>
              <w:rPr>
                <w:szCs w:val="24"/>
                <w:lang w:val="fr-FR"/>
              </w:rPr>
            </w:pPr>
          </w:p>
        </w:tc>
      </w:tr>
      <w:tr w:rsidR="00E53DCE" w:rsidRPr="00E538A6" w:rsidTr="003E1AC2">
        <w:trPr>
          <w:jc w:val="center"/>
        </w:trPr>
        <w:tc>
          <w:tcPr>
            <w:tcW w:w="1560" w:type="dxa"/>
            <w:shd w:val="clear" w:color="auto" w:fill="auto"/>
          </w:tcPr>
          <w:p w:rsidR="00E53DCE" w:rsidRPr="00BB0173" w:rsidRDefault="003471C9" w:rsidP="006160CB">
            <w:pPr>
              <w:tabs>
                <w:tab w:val="clear" w:pos="1588"/>
                <w:tab w:val="left" w:pos="1560"/>
              </w:tabs>
              <w:spacing w:before="0"/>
              <w:jc w:val="left"/>
              <w:rPr>
                <w:szCs w:val="24"/>
                <w:lang w:val="fr-FR"/>
              </w:rPr>
            </w:pPr>
            <w:r w:rsidRPr="00BB0173">
              <w:rPr>
                <w:lang w:val="fr-FR"/>
              </w:rPr>
              <w:t>Objet</w:t>
            </w:r>
            <w:r w:rsidR="00E53DCE" w:rsidRPr="00BB0173">
              <w:rPr>
                <w:szCs w:val="24"/>
                <w:lang w:val="fr-FR"/>
              </w:rPr>
              <w:t>:</w:t>
            </w:r>
          </w:p>
        </w:tc>
        <w:tc>
          <w:tcPr>
            <w:tcW w:w="8329" w:type="dxa"/>
            <w:gridSpan w:val="2"/>
            <w:vMerge w:val="restart"/>
            <w:shd w:val="clear" w:color="auto" w:fill="auto"/>
          </w:tcPr>
          <w:p w:rsidR="00E53DCE" w:rsidRPr="00BB0173" w:rsidRDefault="003E1AC2" w:rsidP="00CE4E65">
            <w:pPr>
              <w:tabs>
                <w:tab w:val="clear" w:pos="1588"/>
                <w:tab w:val="left" w:pos="1560"/>
              </w:tabs>
              <w:spacing w:before="0" w:after="480"/>
              <w:rPr>
                <w:b/>
                <w:bCs/>
                <w:szCs w:val="24"/>
                <w:lang w:val="fr-FR"/>
              </w:rPr>
            </w:pPr>
            <w:bookmarkStart w:id="0" w:name="lt_pId017"/>
            <w:r w:rsidRPr="00BB0173">
              <w:rPr>
                <w:rFonts w:asciiTheme="minorHAnsi" w:hAnsiTheme="minorHAnsi" w:cstheme="majorBidi"/>
                <w:b/>
                <w:bCs/>
                <w:szCs w:val="24"/>
                <w:lang w:val="fr-FR"/>
              </w:rPr>
              <w:t>Application du numéro 9.1A du Règlement des radiocommunications concernant la publication des renseignements pour la publication anticipée (API) pour les assignations de fréquence des réseaux à satellite</w:t>
            </w:r>
            <w:r w:rsidR="0095262A" w:rsidRPr="00BB0173">
              <w:rPr>
                <w:rFonts w:asciiTheme="minorHAnsi" w:hAnsiTheme="minorHAnsi" w:cstheme="majorBidi"/>
                <w:b/>
                <w:bCs/>
                <w:szCs w:val="24"/>
                <w:lang w:val="fr-FR"/>
              </w:rPr>
              <w:t xml:space="preserve"> et</w:t>
            </w:r>
            <w:r w:rsidRPr="00BB0173">
              <w:rPr>
                <w:rFonts w:asciiTheme="minorHAnsi" w:hAnsiTheme="minorHAnsi" w:cstheme="majorBidi"/>
                <w:b/>
                <w:bCs/>
                <w:szCs w:val="24"/>
                <w:lang w:val="fr-FR"/>
              </w:rPr>
              <w:t xml:space="preserve"> des systèmes à satellites assujettis aux procédures de coordination</w:t>
            </w:r>
            <w:r w:rsidRPr="00BB0173">
              <w:rPr>
                <w:lang w:val="fr-FR"/>
              </w:rPr>
              <w:t xml:space="preserve"> </w:t>
            </w:r>
            <w:r w:rsidRPr="00BB0173">
              <w:rPr>
                <w:rFonts w:asciiTheme="minorHAnsi" w:hAnsiTheme="minorHAnsi" w:cstheme="majorBidi"/>
                <w:b/>
                <w:bCs/>
                <w:szCs w:val="24"/>
                <w:lang w:val="fr-FR"/>
              </w:rPr>
              <w:t>au titre de la Section II de l'Article 9</w:t>
            </w:r>
            <w:bookmarkEnd w:id="0"/>
          </w:p>
        </w:tc>
      </w:tr>
      <w:tr w:rsidR="00E53DCE" w:rsidRPr="00E538A6" w:rsidTr="003E1AC2">
        <w:trPr>
          <w:jc w:val="center"/>
        </w:trPr>
        <w:tc>
          <w:tcPr>
            <w:tcW w:w="1560" w:type="dxa"/>
            <w:shd w:val="clear" w:color="auto" w:fill="auto"/>
          </w:tcPr>
          <w:p w:rsidR="00E53DCE" w:rsidRPr="00BB0173" w:rsidRDefault="00E53DCE" w:rsidP="006160CB">
            <w:pPr>
              <w:tabs>
                <w:tab w:val="clear" w:pos="1588"/>
                <w:tab w:val="left" w:pos="1560"/>
              </w:tabs>
              <w:spacing w:before="0"/>
              <w:jc w:val="left"/>
              <w:rPr>
                <w:b/>
                <w:bCs/>
                <w:szCs w:val="24"/>
                <w:lang w:val="fr-FR"/>
              </w:rPr>
            </w:pPr>
          </w:p>
        </w:tc>
        <w:tc>
          <w:tcPr>
            <w:tcW w:w="8329" w:type="dxa"/>
            <w:gridSpan w:val="2"/>
            <w:vMerge/>
            <w:shd w:val="clear" w:color="auto" w:fill="auto"/>
          </w:tcPr>
          <w:p w:rsidR="00E53DCE" w:rsidRPr="00BB0173" w:rsidRDefault="00E53DCE" w:rsidP="006160CB">
            <w:pPr>
              <w:tabs>
                <w:tab w:val="clear" w:pos="1588"/>
                <w:tab w:val="left" w:pos="1560"/>
              </w:tabs>
              <w:spacing w:before="0"/>
              <w:rPr>
                <w:b/>
                <w:bCs/>
                <w:szCs w:val="24"/>
                <w:lang w:val="fr-FR"/>
              </w:rPr>
            </w:pPr>
          </w:p>
        </w:tc>
      </w:tr>
      <w:tr w:rsidR="00E53DCE" w:rsidRPr="00E538A6" w:rsidTr="003E1AC2">
        <w:trPr>
          <w:jc w:val="center"/>
        </w:trPr>
        <w:tc>
          <w:tcPr>
            <w:tcW w:w="1560" w:type="dxa"/>
            <w:shd w:val="clear" w:color="auto" w:fill="auto"/>
          </w:tcPr>
          <w:p w:rsidR="00E53DCE" w:rsidRPr="00BB0173" w:rsidRDefault="00E53DCE" w:rsidP="003E1AC2">
            <w:pPr>
              <w:tabs>
                <w:tab w:val="clear" w:pos="1588"/>
                <w:tab w:val="left" w:pos="1560"/>
              </w:tabs>
              <w:spacing w:before="0" w:after="120"/>
              <w:jc w:val="left"/>
              <w:rPr>
                <w:b/>
                <w:bCs/>
                <w:szCs w:val="24"/>
                <w:lang w:val="fr-FR"/>
              </w:rPr>
            </w:pPr>
          </w:p>
        </w:tc>
        <w:tc>
          <w:tcPr>
            <w:tcW w:w="8329" w:type="dxa"/>
            <w:gridSpan w:val="2"/>
            <w:vMerge/>
            <w:shd w:val="clear" w:color="auto" w:fill="auto"/>
          </w:tcPr>
          <w:p w:rsidR="00E53DCE" w:rsidRPr="00BB0173" w:rsidRDefault="00E53DCE" w:rsidP="003E1AC2">
            <w:pPr>
              <w:tabs>
                <w:tab w:val="clear" w:pos="1588"/>
                <w:tab w:val="left" w:pos="1560"/>
              </w:tabs>
              <w:spacing w:before="0" w:after="120"/>
              <w:rPr>
                <w:b/>
                <w:bCs/>
                <w:szCs w:val="24"/>
                <w:lang w:val="fr-FR"/>
              </w:rPr>
            </w:pPr>
          </w:p>
        </w:tc>
      </w:tr>
      <w:tr w:rsidR="003E1AC2" w:rsidRPr="00E538A6" w:rsidTr="003E1AC2">
        <w:trPr>
          <w:jc w:val="center"/>
        </w:trPr>
        <w:tc>
          <w:tcPr>
            <w:tcW w:w="1560" w:type="dxa"/>
            <w:shd w:val="clear" w:color="auto" w:fill="auto"/>
          </w:tcPr>
          <w:p w:rsidR="003E1AC2" w:rsidRPr="00BB0173" w:rsidRDefault="003E1AC2" w:rsidP="00E53DCE">
            <w:pPr>
              <w:tabs>
                <w:tab w:val="clear" w:pos="1588"/>
                <w:tab w:val="left" w:pos="1560"/>
              </w:tabs>
              <w:spacing w:before="0"/>
              <w:jc w:val="left"/>
              <w:rPr>
                <w:szCs w:val="24"/>
                <w:lang w:val="fr-FR"/>
              </w:rPr>
            </w:pPr>
            <w:r w:rsidRPr="00BB0173">
              <w:rPr>
                <w:szCs w:val="24"/>
                <w:lang w:val="fr-FR"/>
              </w:rPr>
              <w:t>Référence:</w:t>
            </w:r>
          </w:p>
        </w:tc>
        <w:tc>
          <w:tcPr>
            <w:tcW w:w="8329" w:type="dxa"/>
            <w:gridSpan w:val="2"/>
            <w:shd w:val="clear" w:color="auto" w:fill="auto"/>
          </w:tcPr>
          <w:p w:rsidR="003E1AC2" w:rsidRPr="00BB0173" w:rsidRDefault="003E1AC2" w:rsidP="00E53DCE">
            <w:pPr>
              <w:tabs>
                <w:tab w:val="clear" w:pos="1588"/>
                <w:tab w:val="left" w:pos="1560"/>
              </w:tabs>
              <w:spacing w:before="0"/>
              <w:jc w:val="left"/>
              <w:rPr>
                <w:szCs w:val="24"/>
                <w:lang w:val="fr-FR"/>
              </w:rPr>
            </w:pPr>
            <w:bookmarkStart w:id="1" w:name="lt_pId019"/>
            <w:r w:rsidRPr="00BB0173">
              <w:rPr>
                <w:rFonts w:asciiTheme="minorHAnsi" w:hAnsiTheme="minorHAnsi" w:cstheme="majorBidi"/>
                <w:b/>
                <w:bCs/>
                <w:szCs w:val="24"/>
                <w:lang w:val="fr-FR"/>
              </w:rPr>
              <w:t>Lettre circulaire du BR CR/401 en date du 19 mai 2016</w:t>
            </w:r>
            <w:bookmarkEnd w:id="1"/>
          </w:p>
        </w:tc>
      </w:tr>
      <w:tr w:rsidR="00E53DCE" w:rsidRPr="00E538A6" w:rsidTr="004228FA">
        <w:trPr>
          <w:jc w:val="center"/>
        </w:trPr>
        <w:tc>
          <w:tcPr>
            <w:tcW w:w="9889" w:type="dxa"/>
            <w:gridSpan w:val="3"/>
            <w:shd w:val="clear" w:color="auto" w:fill="auto"/>
          </w:tcPr>
          <w:p w:rsidR="00E53DCE" w:rsidRPr="00BB0173" w:rsidRDefault="00E53DCE" w:rsidP="006160CB">
            <w:pPr>
              <w:spacing w:before="0"/>
              <w:jc w:val="left"/>
              <w:rPr>
                <w:b/>
                <w:bCs/>
                <w:szCs w:val="24"/>
                <w:lang w:val="fr-FR"/>
              </w:rPr>
            </w:pPr>
          </w:p>
        </w:tc>
      </w:tr>
    </w:tbl>
    <w:p w:rsidR="003E1AC2" w:rsidRPr="00BB0173" w:rsidRDefault="003E1AC2" w:rsidP="00F74996">
      <w:pPr>
        <w:spacing w:before="480"/>
        <w:rPr>
          <w:szCs w:val="24"/>
          <w:lang w:val="fr-FR"/>
        </w:rPr>
      </w:pPr>
      <w:r w:rsidRPr="00BB0173">
        <w:rPr>
          <w:rFonts w:asciiTheme="minorHAnsi" w:hAnsiTheme="minorHAnsi" w:cstheme="majorBidi"/>
          <w:szCs w:val="24"/>
          <w:lang w:val="fr-FR"/>
        </w:rPr>
        <w:t xml:space="preserve">Comme indiqué dans </w:t>
      </w:r>
      <w:r w:rsidRPr="00BB0173">
        <w:rPr>
          <w:szCs w:val="24"/>
          <w:lang w:val="fr-FR"/>
        </w:rPr>
        <w:t xml:space="preserve">la Lettre circulaire CR/401, le Bureau </w:t>
      </w:r>
      <w:r w:rsidR="00E538A6">
        <w:rPr>
          <w:szCs w:val="24"/>
          <w:lang w:val="fr-FR"/>
        </w:rPr>
        <w:t xml:space="preserve">des radiocommunications </w:t>
      </w:r>
      <w:bookmarkStart w:id="2" w:name="_GoBack"/>
      <w:bookmarkEnd w:id="2"/>
      <w:r w:rsidRPr="00BB0173">
        <w:rPr>
          <w:szCs w:val="24"/>
          <w:lang w:val="fr-FR"/>
        </w:rPr>
        <w:t>a cessé d</w:t>
      </w:r>
      <w:r w:rsidR="001A4A1F" w:rsidRPr="00BB0173">
        <w:rPr>
          <w:szCs w:val="24"/>
          <w:lang w:val="fr-FR"/>
        </w:rPr>
        <w:t>'</w:t>
      </w:r>
      <w:r w:rsidRPr="00BB0173">
        <w:rPr>
          <w:szCs w:val="24"/>
          <w:lang w:val="fr-FR"/>
        </w:rPr>
        <w:t xml:space="preserve">accepter les nouvelles fiches de notification pour la publication anticipée (API) concernant les réseaux à satellite ou </w:t>
      </w:r>
      <w:r w:rsidR="0095262A" w:rsidRPr="00BB0173">
        <w:rPr>
          <w:szCs w:val="24"/>
          <w:lang w:val="fr-FR"/>
        </w:rPr>
        <w:t>l</w:t>
      </w:r>
      <w:r w:rsidRPr="00BB0173">
        <w:rPr>
          <w:szCs w:val="24"/>
          <w:lang w:val="fr-FR"/>
        </w:rPr>
        <w:t xml:space="preserve">es systèmes à satellites assujettis aux procédures de coordination prévues dans la Section II de l'Article </w:t>
      </w:r>
      <w:r w:rsidRPr="00103EBF">
        <w:rPr>
          <w:b/>
          <w:bCs/>
          <w:szCs w:val="24"/>
          <w:lang w:val="fr-FR"/>
        </w:rPr>
        <w:t>9</w:t>
      </w:r>
      <w:r w:rsidRPr="00BB0173">
        <w:rPr>
          <w:szCs w:val="24"/>
          <w:lang w:val="fr-FR"/>
        </w:rPr>
        <w:t xml:space="preserve"> à compter du 1er juillet 2016, conformément à la Résolution </w:t>
      </w:r>
      <w:r w:rsidRPr="00F74996">
        <w:rPr>
          <w:b/>
          <w:bCs/>
          <w:szCs w:val="24"/>
          <w:lang w:val="fr-FR"/>
        </w:rPr>
        <w:t>31</w:t>
      </w:r>
      <w:r w:rsidRPr="00BB0173">
        <w:rPr>
          <w:szCs w:val="24"/>
          <w:lang w:val="fr-FR"/>
        </w:rPr>
        <w:t xml:space="preserve"> (CMR</w:t>
      </w:r>
      <w:r w:rsidR="001A4A1F" w:rsidRPr="00BB0173">
        <w:rPr>
          <w:szCs w:val="24"/>
          <w:lang w:val="fr-FR"/>
        </w:rPr>
        <w:noBreakHyphen/>
      </w:r>
      <w:r w:rsidRPr="00BB0173">
        <w:rPr>
          <w:szCs w:val="24"/>
          <w:lang w:val="fr-FR"/>
        </w:rPr>
        <w:t xml:space="preserve">15). </w:t>
      </w:r>
    </w:p>
    <w:p w:rsidR="003E1AC2" w:rsidRPr="00BB0173" w:rsidRDefault="003E1AC2" w:rsidP="00F74996">
      <w:pPr>
        <w:spacing w:before="240"/>
        <w:rPr>
          <w:rFonts w:asciiTheme="minorHAnsi" w:hAnsiTheme="minorHAnsi" w:cstheme="majorBidi"/>
          <w:szCs w:val="24"/>
          <w:lang w:val="fr-FR"/>
        </w:rPr>
      </w:pPr>
      <w:r w:rsidRPr="00BB0173">
        <w:rPr>
          <w:szCs w:val="24"/>
          <w:lang w:val="fr-FR"/>
        </w:rPr>
        <w:t>A compter du 1er janvier 2017</w:t>
      </w:r>
      <w:r w:rsidR="0095262A" w:rsidRPr="00BB0173">
        <w:rPr>
          <w:szCs w:val="24"/>
          <w:lang w:val="fr-FR"/>
        </w:rPr>
        <w:t>,</w:t>
      </w:r>
      <w:r w:rsidRPr="00BB0173">
        <w:rPr>
          <w:szCs w:val="24"/>
          <w:lang w:val="fr-FR"/>
        </w:rPr>
        <w:t xml:space="preserve"> et conformément au numéro </w:t>
      </w:r>
      <w:r w:rsidRPr="00BB0173">
        <w:rPr>
          <w:b/>
          <w:bCs/>
          <w:szCs w:val="24"/>
          <w:lang w:val="fr-FR"/>
        </w:rPr>
        <w:t>9.1A</w:t>
      </w:r>
      <w:r w:rsidRPr="00BB0173">
        <w:rPr>
          <w:szCs w:val="24"/>
          <w:lang w:val="fr-FR"/>
        </w:rPr>
        <w:t xml:space="preserve"> tel qu'il a été adopté par la CMR</w:t>
      </w:r>
      <w:r w:rsidR="001A4A1F" w:rsidRPr="00BB0173">
        <w:rPr>
          <w:szCs w:val="24"/>
          <w:lang w:val="fr-FR"/>
        </w:rPr>
        <w:noBreakHyphen/>
      </w:r>
      <w:r w:rsidRPr="00BB0173">
        <w:rPr>
          <w:szCs w:val="24"/>
          <w:lang w:val="fr-FR"/>
        </w:rPr>
        <w:t>15, le Bureau des radiocommunications</w:t>
      </w:r>
      <w:r w:rsidRPr="00BB0173">
        <w:rPr>
          <w:rFonts w:asciiTheme="minorHAnsi" w:hAnsiTheme="minorHAnsi" w:cstheme="majorBidi"/>
          <w:szCs w:val="24"/>
          <w:lang w:val="fr-FR"/>
        </w:rPr>
        <w:t xml:space="preserve"> publiera, à partir des caractéristiques de base de la demande de coordination, une description générale du réseau ou du système en vue de sa publication anticipée dans une </w:t>
      </w:r>
      <w:r w:rsidR="00D60175" w:rsidRPr="00BB0173">
        <w:rPr>
          <w:rFonts w:asciiTheme="minorHAnsi" w:hAnsiTheme="minorHAnsi" w:cstheme="majorBidi"/>
          <w:szCs w:val="24"/>
          <w:lang w:val="fr-FR"/>
        </w:rPr>
        <w:t>S</w:t>
      </w:r>
      <w:r w:rsidRPr="00BB0173">
        <w:rPr>
          <w:rFonts w:asciiTheme="minorHAnsi" w:hAnsiTheme="minorHAnsi" w:cstheme="majorBidi"/>
          <w:szCs w:val="24"/>
          <w:lang w:val="fr-FR"/>
        </w:rPr>
        <w:t xml:space="preserve">ection spéciale de la BR IFIC. </w:t>
      </w:r>
    </w:p>
    <w:p w:rsidR="003E1AC2" w:rsidRPr="00BB0173" w:rsidRDefault="003E1AC2" w:rsidP="00421E69">
      <w:pPr>
        <w:pStyle w:val="Headingb"/>
        <w:rPr>
          <w:lang w:val="fr-FR"/>
        </w:rPr>
      </w:pPr>
      <w:r w:rsidRPr="00BB0173">
        <w:rPr>
          <w:lang w:val="fr-FR"/>
        </w:rPr>
        <w:t>Suppression des renseignements pour la publication anticipée (API)</w:t>
      </w:r>
    </w:p>
    <w:p w:rsidR="003E1AC2" w:rsidRPr="00BB0173" w:rsidRDefault="003E1AC2" w:rsidP="00421E69">
      <w:pPr>
        <w:spacing w:before="240"/>
        <w:rPr>
          <w:lang w:val="fr-FR"/>
        </w:rPr>
      </w:pPr>
      <w:r w:rsidRPr="00BB0173">
        <w:rPr>
          <w:rFonts w:asciiTheme="minorHAnsi" w:hAnsiTheme="minorHAnsi" w:cstheme="majorBidi"/>
          <w:lang w:val="fr-FR"/>
        </w:rPr>
        <w:t xml:space="preserve">Conformément au point 2 </w:t>
      </w:r>
      <w:r w:rsidRPr="00BB0173">
        <w:rPr>
          <w:lang w:val="fr-FR"/>
        </w:rPr>
        <w:t xml:space="preserve">du </w:t>
      </w:r>
      <w:r w:rsidRPr="00D60175">
        <w:rPr>
          <w:i/>
          <w:iCs/>
          <w:lang w:val="fr-FR"/>
        </w:rPr>
        <w:t>décide</w:t>
      </w:r>
      <w:r w:rsidRPr="00BB0173">
        <w:rPr>
          <w:lang w:val="fr-FR"/>
        </w:rPr>
        <w:t xml:space="preserve"> de la Résolution </w:t>
      </w:r>
      <w:r w:rsidRPr="00F74996">
        <w:rPr>
          <w:b/>
          <w:bCs/>
          <w:lang w:val="fr-FR"/>
        </w:rPr>
        <w:t>31</w:t>
      </w:r>
      <w:r w:rsidRPr="00BB0173">
        <w:rPr>
          <w:lang w:val="fr-FR"/>
        </w:rPr>
        <w:t xml:space="preserve"> (</w:t>
      </w:r>
      <w:r w:rsidR="001A4A1F" w:rsidRPr="00BB0173">
        <w:rPr>
          <w:lang w:val="fr-FR"/>
        </w:rPr>
        <w:t>CMR</w:t>
      </w:r>
      <w:r w:rsidRPr="00BB0173">
        <w:rPr>
          <w:lang w:val="fr-FR"/>
        </w:rPr>
        <w:t>-15), les renseignements API concernant un réseau à satellite ou un système à satellites assujetti aux procédures de coordination prévues dans la Section II de l</w:t>
      </w:r>
      <w:r w:rsidR="001A4A1F" w:rsidRPr="00BB0173">
        <w:rPr>
          <w:lang w:val="fr-FR"/>
        </w:rPr>
        <w:t>'</w:t>
      </w:r>
      <w:r w:rsidRPr="00BB0173">
        <w:rPr>
          <w:lang w:val="fr-FR"/>
        </w:rPr>
        <w:t xml:space="preserve">Article </w:t>
      </w:r>
      <w:r w:rsidRPr="00BB0173">
        <w:rPr>
          <w:b/>
          <w:bCs/>
          <w:lang w:val="fr-FR"/>
        </w:rPr>
        <w:t>9</w:t>
      </w:r>
      <w:r w:rsidRPr="00BB0173">
        <w:rPr>
          <w:lang w:val="fr-FR"/>
        </w:rPr>
        <w:t>, pour lequel le Bureau des radiocommunications n</w:t>
      </w:r>
      <w:r w:rsidR="001A4A1F" w:rsidRPr="00BB0173">
        <w:rPr>
          <w:lang w:val="fr-FR"/>
        </w:rPr>
        <w:t>'</w:t>
      </w:r>
      <w:r w:rsidRPr="00BB0173">
        <w:rPr>
          <w:lang w:val="fr-FR"/>
        </w:rPr>
        <w:t xml:space="preserve">aura pas reçu de demande de coordination au titre du numéro </w:t>
      </w:r>
      <w:r w:rsidRPr="00BB0173">
        <w:rPr>
          <w:b/>
          <w:bCs/>
          <w:lang w:val="fr-FR"/>
        </w:rPr>
        <w:t>9.30</w:t>
      </w:r>
      <w:r w:rsidRPr="00BB0173">
        <w:rPr>
          <w:lang w:val="fr-FR"/>
        </w:rPr>
        <w:t xml:space="preserve"> au 31 décembre 2016, seront supprimés par le Bureau et ne seront plus pris en considération</w:t>
      </w:r>
      <w:r w:rsidR="0095262A" w:rsidRPr="00BB0173">
        <w:rPr>
          <w:lang w:val="fr-FR"/>
        </w:rPr>
        <w:t>.</w:t>
      </w:r>
    </w:p>
    <w:p w:rsidR="003E1AC2" w:rsidRPr="00BB0173" w:rsidRDefault="0095262A" w:rsidP="00421E69">
      <w:pPr>
        <w:spacing w:before="240"/>
        <w:rPr>
          <w:rFonts w:asciiTheme="minorHAnsi" w:hAnsiTheme="minorHAnsi" w:cstheme="majorBidi"/>
          <w:lang w:val="fr-FR"/>
        </w:rPr>
      </w:pPr>
      <w:r w:rsidRPr="00BB0173">
        <w:rPr>
          <w:lang w:val="fr-FR"/>
        </w:rPr>
        <w:t>Tou</w:t>
      </w:r>
      <w:r w:rsidR="003E1AC2" w:rsidRPr="00BB0173">
        <w:rPr>
          <w:lang w:val="fr-FR"/>
        </w:rPr>
        <w:t xml:space="preserve">s les </w:t>
      </w:r>
      <w:r w:rsidRPr="00BB0173">
        <w:rPr>
          <w:lang w:val="fr-FR"/>
        </w:rPr>
        <w:t xml:space="preserve">renseignements API figurant dans des </w:t>
      </w:r>
      <w:r w:rsidR="003E1AC2" w:rsidRPr="00BB0173">
        <w:rPr>
          <w:lang w:val="fr-FR"/>
        </w:rPr>
        <w:t xml:space="preserve">sections spéciales existantes </w:t>
      </w:r>
      <w:r w:rsidRPr="00BB0173">
        <w:rPr>
          <w:lang w:val="fr-FR"/>
        </w:rPr>
        <w:t xml:space="preserve">et </w:t>
      </w:r>
      <w:r w:rsidR="003E1AC2" w:rsidRPr="00BB0173">
        <w:rPr>
          <w:lang w:val="fr-FR"/>
        </w:rPr>
        <w:t>assujettis à une procédure de coordination qui n</w:t>
      </w:r>
      <w:r w:rsidR="001A4A1F" w:rsidRPr="00BB0173">
        <w:rPr>
          <w:lang w:val="fr-FR"/>
        </w:rPr>
        <w:t>'</w:t>
      </w:r>
      <w:r w:rsidRPr="00BB0173">
        <w:rPr>
          <w:lang w:val="fr-FR"/>
        </w:rPr>
        <w:t>auront pas été suivis</w:t>
      </w:r>
      <w:r w:rsidR="003E1AC2" w:rsidRPr="00BB0173">
        <w:rPr>
          <w:lang w:val="fr-FR"/>
        </w:rPr>
        <w:t xml:space="preserve"> de la soumission d</w:t>
      </w:r>
      <w:r w:rsidR="001A4A1F" w:rsidRPr="00BB0173">
        <w:rPr>
          <w:lang w:val="fr-FR"/>
        </w:rPr>
        <w:t>'</w:t>
      </w:r>
      <w:r w:rsidR="003E1AC2" w:rsidRPr="00BB0173">
        <w:rPr>
          <w:lang w:val="fr-FR"/>
        </w:rPr>
        <w:t xml:space="preserve">une demande de coordination </w:t>
      </w:r>
      <w:r w:rsidRPr="00BB0173">
        <w:rPr>
          <w:lang w:val="fr-FR"/>
        </w:rPr>
        <w:t>au</w:t>
      </w:r>
      <w:r w:rsidR="003E1AC2" w:rsidRPr="00BB0173">
        <w:rPr>
          <w:lang w:val="fr-FR"/>
        </w:rPr>
        <w:t xml:space="preserve"> 31 décembre 2016 seront en conséquence supprimé</w:t>
      </w:r>
      <w:r w:rsidRPr="00BB0173">
        <w:rPr>
          <w:lang w:val="fr-FR"/>
        </w:rPr>
        <w:t>s</w:t>
      </w:r>
      <w:r w:rsidR="003E1AC2" w:rsidRPr="00BB0173">
        <w:rPr>
          <w:rFonts w:asciiTheme="minorHAnsi" w:hAnsiTheme="minorHAnsi" w:cstheme="majorBidi"/>
          <w:lang w:val="fr-FR"/>
        </w:rPr>
        <w:t xml:space="preserve"> au premier trimestre de 2017, conformément aux procédures de publication des renseignements API</w:t>
      </w:r>
      <w:r w:rsidRPr="00BB0173">
        <w:rPr>
          <w:rFonts w:asciiTheme="minorHAnsi" w:hAnsiTheme="minorHAnsi" w:cstheme="majorBidi"/>
          <w:lang w:val="fr-FR"/>
        </w:rPr>
        <w:t xml:space="preserve"> actuellement en vigueur.</w:t>
      </w:r>
    </w:p>
    <w:p w:rsidR="00F74996" w:rsidRDefault="00F74996" w:rsidP="00F74996">
      <w:pPr>
        <w:pStyle w:val="Headingb"/>
        <w:spacing w:before="360"/>
        <w:rPr>
          <w:lang w:val="fr-FR"/>
        </w:rPr>
      </w:pPr>
    </w:p>
    <w:p w:rsidR="00F74996" w:rsidRDefault="00F74996" w:rsidP="00F74996">
      <w:pPr>
        <w:rPr>
          <w:lang w:val="fr-FR"/>
        </w:rPr>
      </w:pPr>
    </w:p>
    <w:p w:rsidR="00F74996" w:rsidRDefault="00F74996" w:rsidP="00F74996">
      <w:pPr>
        <w:rPr>
          <w:lang w:val="fr-FR"/>
        </w:rPr>
      </w:pPr>
    </w:p>
    <w:p w:rsidR="00F74996" w:rsidRDefault="00F74996" w:rsidP="00F74996">
      <w:pPr>
        <w:rPr>
          <w:lang w:val="fr-FR"/>
        </w:rPr>
      </w:pPr>
    </w:p>
    <w:p w:rsidR="003E1AC2" w:rsidRPr="00BB0173" w:rsidRDefault="003E1AC2" w:rsidP="00DD7B57">
      <w:pPr>
        <w:pStyle w:val="Headingb"/>
        <w:rPr>
          <w:lang w:val="fr-FR"/>
        </w:rPr>
      </w:pPr>
      <w:r w:rsidRPr="00BB0173">
        <w:rPr>
          <w:lang w:val="fr-FR"/>
        </w:rPr>
        <w:t>Sections spéciales</w:t>
      </w:r>
    </w:p>
    <w:p w:rsidR="003E1AC2" w:rsidRPr="00BB0173" w:rsidRDefault="003E1AC2" w:rsidP="00421E69">
      <w:pPr>
        <w:spacing w:before="240"/>
        <w:rPr>
          <w:lang w:val="fr-FR"/>
        </w:rPr>
      </w:pPr>
      <w:r w:rsidRPr="00BB0173">
        <w:rPr>
          <w:lang w:val="fr-FR"/>
        </w:rPr>
        <w:t xml:space="preserve">Conformément au numéro </w:t>
      </w:r>
      <w:r w:rsidRPr="00BB0173">
        <w:rPr>
          <w:b/>
          <w:bCs/>
          <w:lang w:val="fr-FR"/>
        </w:rPr>
        <w:t>9.1A</w:t>
      </w:r>
      <w:r w:rsidRPr="00BB0173">
        <w:rPr>
          <w:lang w:val="fr-FR"/>
        </w:rPr>
        <w:t xml:space="preserve">, les caractéristiques de base des renseignements </w:t>
      </w:r>
      <w:r w:rsidR="00BB0173" w:rsidRPr="00BB0173">
        <w:rPr>
          <w:lang w:val="fr-FR"/>
        </w:rPr>
        <w:t>API,</w:t>
      </w:r>
      <w:r w:rsidRPr="00BB0173">
        <w:rPr>
          <w:lang w:val="fr-FR"/>
        </w:rPr>
        <w:t xml:space="preserve"> obtenues à partir des demandes de coordination reçues le 1er janvier ou après cette date, seront publiées dans une nouvelle </w:t>
      </w:r>
      <w:r w:rsidR="00D60175" w:rsidRPr="00BB0173">
        <w:rPr>
          <w:lang w:val="fr-FR"/>
        </w:rPr>
        <w:t>S</w:t>
      </w:r>
      <w:r w:rsidRPr="00BB0173">
        <w:rPr>
          <w:lang w:val="fr-FR"/>
        </w:rPr>
        <w:t xml:space="preserve">ection spéciale de la série </w:t>
      </w:r>
      <w:r w:rsidR="00D60175">
        <w:rPr>
          <w:lang w:val="fr-FR"/>
        </w:rPr>
        <w:t>«</w:t>
      </w:r>
      <w:r w:rsidRPr="00BB0173">
        <w:rPr>
          <w:lang w:val="fr-FR"/>
        </w:rPr>
        <w:t>API/C</w:t>
      </w:r>
      <w:r w:rsidR="00D60175">
        <w:rPr>
          <w:lang w:val="fr-FR"/>
        </w:rPr>
        <w:t>»</w:t>
      </w:r>
      <w:r w:rsidRPr="00BB0173">
        <w:rPr>
          <w:lang w:val="fr-FR"/>
        </w:rPr>
        <w:t xml:space="preserve"> avec une nouvelle série de numéro</w:t>
      </w:r>
      <w:r w:rsidR="0095262A" w:rsidRPr="00BB0173">
        <w:rPr>
          <w:lang w:val="fr-FR"/>
        </w:rPr>
        <w:t>s</w:t>
      </w:r>
      <w:r w:rsidRPr="00BB0173">
        <w:rPr>
          <w:lang w:val="fr-FR"/>
        </w:rPr>
        <w:t xml:space="preserve">. Toute modification apportée à une demande de coordination </w:t>
      </w:r>
      <w:r w:rsidR="0095262A" w:rsidRPr="00BB0173">
        <w:rPr>
          <w:lang w:val="fr-FR"/>
        </w:rPr>
        <w:t xml:space="preserve">qui suppose </w:t>
      </w:r>
      <w:r w:rsidRPr="00BB0173">
        <w:rPr>
          <w:lang w:val="fr-FR"/>
        </w:rPr>
        <w:t>l</w:t>
      </w:r>
      <w:r w:rsidR="001A4A1F" w:rsidRPr="00BB0173">
        <w:rPr>
          <w:lang w:val="fr-FR"/>
        </w:rPr>
        <w:t>'</w:t>
      </w:r>
      <w:r w:rsidRPr="00BB0173">
        <w:rPr>
          <w:lang w:val="fr-FR"/>
        </w:rPr>
        <w:t>utilisation d</w:t>
      </w:r>
      <w:r w:rsidR="001A4A1F" w:rsidRPr="00BB0173">
        <w:rPr>
          <w:lang w:val="fr-FR"/>
        </w:rPr>
        <w:t>'</w:t>
      </w:r>
      <w:r w:rsidRPr="00BB0173">
        <w:rPr>
          <w:lang w:val="fr-FR"/>
        </w:rPr>
        <w:t>une bande de fréquences additionnelle ou la modification de la position orbitale d</w:t>
      </w:r>
      <w:r w:rsidR="001A4A1F" w:rsidRPr="00BB0173">
        <w:rPr>
          <w:lang w:val="fr-FR"/>
        </w:rPr>
        <w:t>'</w:t>
      </w:r>
      <w:r w:rsidRPr="00BB0173">
        <w:rPr>
          <w:lang w:val="fr-FR"/>
        </w:rPr>
        <w:t>une station spatiale utilisant l</w:t>
      </w:r>
      <w:r w:rsidR="001A4A1F" w:rsidRPr="00BB0173">
        <w:rPr>
          <w:lang w:val="fr-FR"/>
        </w:rPr>
        <w:t>'</w:t>
      </w:r>
      <w:r w:rsidRPr="00BB0173">
        <w:rPr>
          <w:lang w:val="fr-FR"/>
        </w:rPr>
        <w:t>orbite des satellites géostationnaires devra faire l</w:t>
      </w:r>
      <w:r w:rsidR="001A4A1F" w:rsidRPr="00BB0173">
        <w:rPr>
          <w:lang w:val="fr-FR"/>
        </w:rPr>
        <w:t>'</w:t>
      </w:r>
      <w:r w:rsidRPr="00BB0173">
        <w:rPr>
          <w:lang w:val="fr-FR"/>
        </w:rPr>
        <w:t>objet d</w:t>
      </w:r>
      <w:r w:rsidR="001A4A1F" w:rsidRPr="00BB0173">
        <w:rPr>
          <w:lang w:val="fr-FR"/>
        </w:rPr>
        <w:t>'</w:t>
      </w:r>
      <w:r w:rsidRPr="00BB0173">
        <w:rPr>
          <w:lang w:val="fr-FR"/>
        </w:rPr>
        <w:t xml:space="preserve">une nouvelle publication API conformément au numéro </w:t>
      </w:r>
      <w:r w:rsidRPr="00BB0173">
        <w:rPr>
          <w:b/>
          <w:bCs/>
          <w:lang w:val="fr-FR"/>
        </w:rPr>
        <w:t>9.1A</w:t>
      </w:r>
      <w:r w:rsidRPr="00BB0173">
        <w:rPr>
          <w:lang w:val="fr-FR"/>
        </w:rPr>
        <w:t>.</w:t>
      </w:r>
    </w:p>
    <w:p w:rsidR="003E1AC2" w:rsidRPr="00BB0173" w:rsidRDefault="003E1AC2" w:rsidP="00421E69">
      <w:pPr>
        <w:spacing w:before="240"/>
        <w:rPr>
          <w:lang w:val="fr-FR"/>
        </w:rPr>
      </w:pPr>
      <w:r w:rsidRPr="00BB0173">
        <w:rPr>
          <w:lang w:val="fr-FR"/>
        </w:rPr>
        <w:t>Dans le cas des réseaux à satellite ou des systèmes à satellites</w:t>
      </w:r>
      <w:r w:rsidR="001A4A1F" w:rsidRPr="00BB0173">
        <w:rPr>
          <w:lang w:val="fr-FR"/>
        </w:rPr>
        <w:t xml:space="preserve"> qui ne sont pas assujettis aux </w:t>
      </w:r>
      <w:r w:rsidRPr="00BB0173">
        <w:rPr>
          <w:lang w:val="fr-FR"/>
        </w:rPr>
        <w:t xml:space="preserve">procédures de coordination prévues dans la Section II de l'Article </w:t>
      </w:r>
      <w:r w:rsidRPr="00D60175">
        <w:rPr>
          <w:b/>
          <w:bCs/>
          <w:lang w:val="fr-FR"/>
        </w:rPr>
        <w:t>9</w:t>
      </w:r>
      <w:r w:rsidRPr="00BB0173">
        <w:rPr>
          <w:lang w:val="fr-FR"/>
        </w:rPr>
        <w:t>, les renseignements API continueront d</w:t>
      </w:r>
      <w:r w:rsidR="001A4A1F" w:rsidRPr="00BB0173">
        <w:rPr>
          <w:lang w:val="fr-FR"/>
        </w:rPr>
        <w:t>'</w:t>
      </w:r>
      <w:r w:rsidRPr="00BB0173">
        <w:rPr>
          <w:lang w:val="fr-FR"/>
        </w:rPr>
        <w:t xml:space="preserve">être publiés dans des </w:t>
      </w:r>
      <w:r w:rsidR="00D60175" w:rsidRPr="00BB0173">
        <w:rPr>
          <w:lang w:val="fr-FR"/>
        </w:rPr>
        <w:t>S</w:t>
      </w:r>
      <w:r w:rsidRPr="00BB0173">
        <w:rPr>
          <w:lang w:val="fr-FR"/>
        </w:rPr>
        <w:t>ections spéciales API/A, conformément au numéro</w:t>
      </w:r>
      <w:r w:rsidR="001A4A1F" w:rsidRPr="00BB0173">
        <w:rPr>
          <w:lang w:val="fr-FR"/>
        </w:rPr>
        <w:t> </w:t>
      </w:r>
      <w:r w:rsidRPr="00BB0173">
        <w:rPr>
          <w:b/>
          <w:bCs/>
          <w:lang w:val="fr-FR"/>
        </w:rPr>
        <w:t>9.1</w:t>
      </w:r>
      <w:r w:rsidRPr="00BB0173">
        <w:rPr>
          <w:lang w:val="fr-FR"/>
        </w:rPr>
        <w:t xml:space="preserve">. </w:t>
      </w:r>
    </w:p>
    <w:p w:rsidR="003E1AC2" w:rsidRPr="00BB0173" w:rsidRDefault="003E1AC2" w:rsidP="003E1AC2">
      <w:pPr>
        <w:pStyle w:val="Headingb"/>
        <w:rPr>
          <w:bCs/>
          <w:lang w:val="fr-FR"/>
        </w:rPr>
      </w:pPr>
      <w:r w:rsidRPr="00BB0173">
        <w:rPr>
          <w:bCs/>
          <w:lang w:val="fr-FR"/>
        </w:rPr>
        <w:t xml:space="preserve">Délais </w:t>
      </w:r>
      <w:r w:rsidRPr="00BB0173">
        <w:rPr>
          <w:lang w:val="fr-FR"/>
        </w:rPr>
        <w:t>réglementaires</w:t>
      </w:r>
      <w:r w:rsidRPr="00BB0173">
        <w:rPr>
          <w:bCs/>
          <w:lang w:val="fr-FR"/>
        </w:rPr>
        <w:t xml:space="preserve"> </w:t>
      </w:r>
    </w:p>
    <w:p w:rsidR="003E1AC2" w:rsidRPr="00BB0173" w:rsidRDefault="00BB0173" w:rsidP="00421E69">
      <w:pPr>
        <w:spacing w:before="240"/>
        <w:rPr>
          <w:lang w:val="fr-FR"/>
        </w:rPr>
      </w:pPr>
      <w:r w:rsidRPr="00BB0173">
        <w:rPr>
          <w:lang w:val="fr-FR"/>
        </w:rPr>
        <w:t>Pour toutes</w:t>
      </w:r>
      <w:r w:rsidR="003E1AC2" w:rsidRPr="00BB0173">
        <w:rPr>
          <w:lang w:val="fr-FR"/>
        </w:rPr>
        <w:t xml:space="preserve"> les nouvelles demandes de coordination complètes reçues au titre du numéro </w:t>
      </w:r>
      <w:r w:rsidR="003E1AC2" w:rsidRPr="00BB0173">
        <w:rPr>
          <w:b/>
          <w:bCs/>
          <w:lang w:val="fr-FR"/>
        </w:rPr>
        <w:t xml:space="preserve">9.30 </w:t>
      </w:r>
      <w:r w:rsidR="003E1AC2" w:rsidRPr="00BB0173">
        <w:rPr>
          <w:lang w:val="fr-FR"/>
        </w:rPr>
        <w:t xml:space="preserve">le 1er janvier 2017 </w:t>
      </w:r>
      <w:r w:rsidR="00036337" w:rsidRPr="00BB0173">
        <w:rPr>
          <w:lang w:val="fr-FR"/>
        </w:rPr>
        <w:t xml:space="preserve">ou </w:t>
      </w:r>
      <w:r w:rsidR="003E1AC2" w:rsidRPr="00BB0173">
        <w:rPr>
          <w:lang w:val="fr-FR"/>
        </w:rPr>
        <w:t>après cette date</w:t>
      </w:r>
      <w:r w:rsidR="003E1AC2" w:rsidRPr="00D60175">
        <w:rPr>
          <w:lang w:val="fr-FR"/>
        </w:rPr>
        <w:t>,</w:t>
      </w:r>
      <w:r w:rsidR="003E1AC2" w:rsidRPr="00BB0173">
        <w:rPr>
          <w:lang w:val="fr-FR"/>
        </w:rPr>
        <w:t xml:space="preserve"> la description générale du réseau ou du système à partir des caractéristiques de base de la demande de coordination sera publiée en vue de sa publication anticipée conformément au numéro </w:t>
      </w:r>
      <w:r w:rsidR="003E1AC2" w:rsidRPr="00BB0173">
        <w:rPr>
          <w:b/>
          <w:bCs/>
          <w:lang w:val="fr-FR"/>
        </w:rPr>
        <w:t>9.1A</w:t>
      </w:r>
      <w:r w:rsidR="00036337" w:rsidRPr="00BB0173">
        <w:rPr>
          <w:lang w:val="fr-FR"/>
        </w:rPr>
        <w:t xml:space="preserve"> avec </w:t>
      </w:r>
      <w:r w:rsidR="003E1AC2" w:rsidRPr="00BB0173">
        <w:rPr>
          <w:lang w:val="fr-FR"/>
        </w:rPr>
        <w:t xml:space="preserve">la même date de réception que la demande de coordination du réseau à satellite. Comme indiqué dans la Lettre circulaire CR/401, toute demande de coordination reçue entre le 1er juillet 2016 et le 31 décembre 2016 qui ne concerne pas des renseignements API reçus avant le 30 juin 2016 sera considérée comme ayant été reçue par le Bureau le 1er janvier 2017 et sera traitée de la même manière au titre du numéro </w:t>
      </w:r>
      <w:r w:rsidR="003E1AC2" w:rsidRPr="00BB0173">
        <w:rPr>
          <w:b/>
          <w:bCs/>
          <w:lang w:val="fr-FR"/>
        </w:rPr>
        <w:t>9.1A</w:t>
      </w:r>
      <w:r w:rsidR="003E1AC2" w:rsidRPr="00BB0173">
        <w:rPr>
          <w:lang w:val="fr-FR"/>
        </w:rPr>
        <w:t xml:space="preserve">. Cette date de réception constituera la date de début réglementaire (grp.d_start) permettant de définir le délai réglementaire (grp.d_reg_limit) applicable à la mise en service des assignations de fréquence aux stations spatiales des réseaux à satellite conformément au numéro </w:t>
      </w:r>
      <w:r w:rsidR="003E1AC2" w:rsidRPr="00BB0173">
        <w:rPr>
          <w:b/>
          <w:bCs/>
          <w:lang w:val="fr-FR"/>
        </w:rPr>
        <w:t>11.44</w:t>
      </w:r>
      <w:r w:rsidR="003E1AC2" w:rsidRPr="00BB0173">
        <w:rPr>
          <w:lang w:val="fr-FR"/>
        </w:rPr>
        <w:t xml:space="preserve">. La date de début réglementaire et le délai réglementaire </w:t>
      </w:r>
      <w:r w:rsidR="00036337" w:rsidRPr="00BB0173">
        <w:rPr>
          <w:lang w:val="fr-FR"/>
        </w:rPr>
        <w:t>applicable à la</w:t>
      </w:r>
      <w:r w:rsidR="003E1AC2" w:rsidRPr="00BB0173">
        <w:rPr>
          <w:lang w:val="fr-FR"/>
        </w:rPr>
        <w:t xml:space="preserve"> mise en service </w:t>
      </w:r>
      <w:r w:rsidR="001A4A1F" w:rsidRPr="00BB0173">
        <w:rPr>
          <w:lang w:val="fr-FR"/>
        </w:rPr>
        <w:t>seront indiqué</w:t>
      </w:r>
      <w:r w:rsidR="003E1AC2" w:rsidRPr="00BB0173">
        <w:rPr>
          <w:lang w:val="fr-FR"/>
        </w:rPr>
        <w:t>s dans la fiche de notification contenant la demande de coordination pour chaque groupe d</w:t>
      </w:r>
      <w:r w:rsidR="001A4A1F" w:rsidRPr="00BB0173">
        <w:rPr>
          <w:lang w:val="fr-FR"/>
        </w:rPr>
        <w:t>'</w:t>
      </w:r>
      <w:r w:rsidR="003E1AC2" w:rsidRPr="00BB0173">
        <w:rPr>
          <w:lang w:val="fr-FR"/>
        </w:rPr>
        <w:t>assignations de fréquence</w:t>
      </w:r>
      <w:r w:rsidR="001A4A1F" w:rsidRPr="00BB0173">
        <w:rPr>
          <w:lang w:val="fr-FR"/>
        </w:rPr>
        <w:t>.</w:t>
      </w:r>
    </w:p>
    <w:p w:rsidR="003E1AC2" w:rsidRPr="00BB0173" w:rsidRDefault="003E1AC2" w:rsidP="001A4A1F">
      <w:pPr>
        <w:pStyle w:val="Headingb"/>
        <w:rPr>
          <w:lang w:val="fr-FR"/>
        </w:rPr>
      </w:pPr>
      <w:r w:rsidRPr="00BB0173">
        <w:rPr>
          <w:lang w:val="fr-FR"/>
        </w:rPr>
        <w:t xml:space="preserve">Fiches de notification </w:t>
      </w:r>
      <w:r w:rsidR="001A4A1F" w:rsidRPr="00BB0173">
        <w:rPr>
          <w:lang w:val="fr-FR"/>
        </w:rPr>
        <w:t>«</w:t>
      </w:r>
      <w:r w:rsidRPr="00BB0173">
        <w:rPr>
          <w:lang w:val="fr-FR"/>
        </w:rPr>
        <w:t>telles qu</w:t>
      </w:r>
      <w:r w:rsidR="001A4A1F" w:rsidRPr="00BB0173">
        <w:rPr>
          <w:lang w:val="fr-FR"/>
        </w:rPr>
        <w:t>'</w:t>
      </w:r>
      <w:r w:rsidRPr="00BB0173">
        <w:rPr>
          <w:lang w:val="fr-FR"/>
        </w:rPr>
        <w:t>elles ont été reçues</w:t>
      </w:r>
      <w:r w:rsidR="001A4A1F" w:rsidRPr="00BB0173">
        <w:rPr>
          <w:lang w:val="fr-FR"/>
        </w:rPr>
        <w:t>»</w:t>
      </w:r>
    </w:p>
    <w:p w:rsidR="003E1AC2" w:rsidRPr="00BB0173" w:rsidRDefault="003E1AC2" w:rsidP="00421E69">
      <w:pPr>
        <w:spacing w:before="240"/>
        <w:rPr>
          <w:lang w:val="fr-FR"/>
        </w:rPr>
      </w:pPr>
      <w:r w:rsidRPr="00BB0173">
        <w:rPr>
          <w:lang w:val="fr-FR"/>
        </w:rPr>
        <w:t>Dans le cadre de l</w:t>
      </w:r>
      <w:r w:rsidR="001A4A1F" w:rsidRPr="00BB0173">
        <w:rPr>
          <w:lang w:val="fr-FR"/>
        </w:rPr>
        <w:t>'</w:t>
      </w:r>
      <w:r w:rsidRPr="00BB0173">
        <w:rPr>
          <w:lang w:val="fr-FR"/>
        </w:rPr>
        <w:t xml:space="preserve">adoption du numéro </w:t>
      </w:r>
      <w:r w:rsidRPr="00BB0173">
        <w:rPr>
          <w:b/>
          <w:bCs/>
          <w:lang w:val="fr-FR"/>
        </w:rPr>
        <w:t>9.1A</w:t>
      </w:r>
      <w:r w:rsidRPr="00BB0173">
        <w:rPr>
          <w:lang w:val="fr-FR"/>
        </w:rPr>
        <w:t xml:space="preserve"> par la </w:t>
      </w:r>
      <w:r w:rsidR="001A4A1F" w:rsidRPr="00BB0173">
        <w:rPr>
          <w:lang w:val="fr-FR"/>
        </w:rPr>
        <w:t>CMR</w:t>
      </w:r>
      <w:r w:rsidR="001A4A1F" w:rsidRPr="00BB0173">
        <w:rPr>
          <w:lang w:val="fr-FR"/>
        </w:rPr>
        <w:noBreakHyphen/>
      </w:r>
      <w:r w:rsidRPr="00BB0173">
        <w:rPr>
          <w:lang w:val="fr-FR"/>
        </w:rPr>
        <w:t xml:space="preserve">15, les administrations ont demandé au Bureau de mettre à disposition sur son site web, dès que possible après réception de la soumission, une brève description de la demande de coordination. En outre, en vertu de la </w:t>
      </w:r>
      <w:r w:rsidR="00BB0173" w:rsidRPr="00BB0173">
        <w:rPr>
          <w:lang w:val="fr-FR"/>
        </w:rPr>
        <w:t>Résolution</w:t>
      </w:r>
      <w:r w:rsidRPr="00BB0173">
        <w:rPr>
          <w:lang w:val="fr-FR"/>
        </w:rPr>
        <w:t xml:space="preserve"> </w:t>
      </w:r>
      <w:r w:rsidRPr="00F74996">
        <w:rPr>
          <w:b/>
          <w:bCs/>
          <w:lang w:val="fr-FR"/>
        </w:rPr>
        <w:t>55</w:t>
      </w:r>
      <w:r w:rsidRPr="00BB0173">
        <w:rPr>
          <w:lang w:val="fr-FR"/>
        </w:rPr>
        <w:t>, telle que révisée par la CMR -15, le Bureau doit publier sur son site web, dans un délai de 30 jours, les fiches de notification de réseaux à satellite «telles qu</w:t>
      </w:r>
      <w:r w:rsidR="001A4A1F" w:rsidRPr="00BB0173">
        <w:rPr>
          <w:lang w:val="fr-FR"/>
        </w:rPr>
        <w:t>'</w:t>
      </w:r>
      <w:r w:rsidRPr="00BB0173">
        <w:rPr>
          <w:lang w:val="fr-FR"/>
        </w:rPr>
        <w:t>elles ont été reçues» et il n</w:t>
      </w:r>
      <w:r w:rsidR="001A4A1F" w:rsidRPr="00BB0173">
        <w:rPr>
          <w:lang w:val="fr-FR"/>
        </w:rPr>
        <w:t>'</w:t>
      </w:r>
      <w:r w:rsidRPr="00BB0173">
        <w:rPr>
          <w:lang w:val="fr-FR"/>
        </w:rPr>
        <w:t>est plus nécessaire que celles-ci soient mises à disposition dans la BR IFIC sur DVD-ROM.</w:t>
      </w:r>
    </w:p>
    <w:p w:rsidR="003E1AC2" w:rsidRPr="00BB0173" w:rsidRDefault="003E1AC2" w:rsidP="00421E69">
      <w:pPr>
        <w:spacing w:before="240"/>
        <w:rPr>
          <w:lang w:val="fr-FR"/>
        </w:rPr>
      </w:pPr>
      <w:r w:rsidRPr="00BB0173">
        <w:rPr>
          <w:lang w:val="fr-FR"/>
        </w:rPr>
        <w:t xml:space="preserve">Pour </w:t>
      </w:r>
      <w:r w:rsidR="00036337" w:rsidRPr="00BB0173">
        <w:rPr>
          <w:lang w:val="fr-FR"/>
        </w:rPr>
        <w:t xml:space="preserve">satisfaire </w:t>
      </w:r>
      <w:r w:rsidRPr="00BB0173">
        <w:rPr>
          <w:lang w:val="fr-FR"/>
        </w:rPr>
        <w:t>ces deux exigences, le Bureau s</w:t>
      </w:r>
      <w:r w:rsidR="001A4A1F" w:rsidRPr="00BB0173">
        <w:rPr>
          <w:lang w:val="fr-FR"/>
        </w:rPr>
        <w:t>'</w:t>
      </w:r>
      <w:r w:rsidRPr="00BB0173">
        <w:rPr>
          <w:lang w:val="fr-FR"/>
        </w:rPr>
        <w:t>efforcera de mettre à disposition les demandes de coordination «telles qu</w:t>
      </w:r>
      <w:r w:rsidR="001A4A1F" w:rsidRPr="00BB0173">
        <w:rPr>
          <w:lang w:val="fr-FR"/>
        </w:rPr>
        <w:t>'</w:t>
      </w:r>
      <w:r w:rsidRPr="00BB0173">
        <w:rPr>
          <w:lang w:val="fr-FR"/>
        </w:rPr>
        <w:t>elles ont été reçues», assorties d</w:t>
      </w:r>
      <w:r w:rsidR="001A4A1F" w:rsidRPr="00BB0173">
        <w:rPr>
          <w:lang w:val="fr-FR"/>
        </w:rPr>
        <w:t>'</w:t>
      </w:r>
      <w:r w:rsidRPr="00BB0173">
        <w:rPr>
          <w:lang w:val="fr-FR"/>
        </w:rPr>
        <w:t>une brève description, dans un délai maximal de sept jours à compter de la réception de la demande de coordination complète, sur la page de son site web consacrée aux fiches de notification «telles qu</w:t>
      </w:r>
      <w:r w:rsidR="001A4A1F" w:rsidRPr="00BB0173">
        <w:rPr>
          <w:lang w:val="fr-FR"/>
        </w:rPr>
        <w:t>'</w:t>
      </w:r>
      <w:r w:rsidRPr="00BB0173">
        <w:rPr>
          <w:lang w:val="fr-FR"/>
        </w:rPr>
        <w:t>elles ont été reçues», à l</w:t>
      </w:r>
      <w:r w:rsidR="001A4A1F" w:rsidRPr="00BB0173">
        <w:rPr>
          <w:lang w:val="fr-FR"/>
        </w:rPr>
        <w:t>'</w:t>
      </w:r>
      <w:r w:rsidRPr="00BB0173">
        <w:rPr>
          <w:lang w:val="fr-FR"/>
        </w:rPr>
        <w:t>adresse:</w:t>
      </w:r>
    </w:p>
    <w:p w:rsidR="003E1AC2" w:rsidRPr="00BB0173" w:rsidRDefault="00E538A6" w:rsidP="00421E69">
      <w:pPr>
        <w:spacing w:before="240" w:after="120" w:line="240" w:lineRule="auto"/>
        <w:ind w:left="142"/>
        <w:jc w:val="center"/>
        <w:rPr>
          <w:rFonts w:asciiTheme="minorHAnsi" w:hAnsiTheme="minorHAnsi" w:cstheme="majorBidi"/>
          <w:szCs w:val="24"/>
          <w:lang w:val="fr-FR"/>
        </w:rPr>
      </w:pPr>
      <w:hyperlink r:id="rId8" w:history="1">
        <w:r w:rsidR="003E1AC2" w:rsidRPr="00BB0173">
          <w:rPr>
            <w:rStyle w:val="Hyperlink"/>
            <w:rFonts w:asciiTheme="minorHAnsi" w:hAnsiTheme="minorHAnsi" w:cstheme="majorBidi"/>
            <w:szCs w:val="24"/>
            <w:lang w:val="fr-FR"/>
          </w:rPr>
          <w:t>http://www.itu.int/en/ITU-R/space/snl/Pages/asreceivedCR.aspx</w:t>
        </w:r>
      </w:hyperlink>
    </w:p>
    <w:p w:rsidR="003E1AC2" w:rsidRDefault="003E1AC2" w:rsidP="00421E69">
      <w:pPr>
        <w:spacing w:before="240"/>
        <w:rPr>
          <w:lang w:val="fr-FR"/>
        </w:rPr>
      </w:pPr>
      <w:r w:rsidRPr="00BB0173">
        <w:rPr>
          <w:lang w:val="fr-FR"/>
        </w:rPr>
        <w:t>La diffusion de ces fiches de notification «telles qu</w:t>
      </w:r>
      <w:r w:rsidR="001A4A1F" w:rsidRPr="00BB0173">
        <w:rPr>
          <w:lang w:val="fr-FR"/>
        </w:rPr>
        <w:t>'</w:t>
      </w:r>
      <w:r w:rsidRPr="00BB0173">
        <w:rPr>
          <w:lang w:val="fr-FR"/>
        </w:rPr>
        <w:t>elles ont été reçues</w:t>
      </w:r>
      <w:r w:rsidR="006F52AC">
        <w:rPr>
          <w:lang w:val="fr-FR"/>
        </w:rPr>
        <w:t>» dans la BR IFIC sur DVD</w:t>
      </w:r>
      <w:r w:rsidR="006F52AC">
        <w:rPr>
          <w:lang w:val="fr-FR"/>
        </w:rPr>
        <w:noBreakHyphen/>
      </w:r>
      <w:r w:rsidRPr="00BB0173">
        <w:rPr>
          <w:lang w:val="fr-FR"/>
        </w:rPr>
        <w:t>ROM prendra fin à compter de la parution du deuxième numéro de la BR IFIC de 2017.</w:t>
      </w:r>
    </w:p>
    <w:p w:rsidR="00F74996" w:rsidRDefault="00F74996" w:rsidP="00421E69">
      <w:pPr>
        <w:spacing w:before="240"/>
        <w:rPr>
          <w:lang w:val="fr-FR"/>
        </w:rPr>
      </w:pPr>
    </w:p>
    <w:p w:rsidR="00F74996" w:rsidRDefault="00F74996" w:rsidP="003F6E56">
      <w:pPr>
        <w:rPr>
          <w:lang w:val="fr-FR"/>
        </w:rPr>
      </w:pPr>
    </w:p>
    <w:p w:rsidR="003E1AC2" w:rsidRPr="00BB0173" w:rsidRDefault="003E1AC2" w:rsidP="00F74996">
      <w:pPr>
        <w:pStyle w:val="Headingb"/>
        <w:rPr>
          <w:lang w:val="fr-FR"/>
        </w:rPr>
      </w:pPr>
      <w:r w:rsidRPr="00BB0173">
        <w:rPr>
          <w:lang w:val="fr-FR"/>
        </w:rPr>
        <w:t>Commentaires au titre du numéro 9.5B</w:t>
      </w:r>
    </w:p>
    <w:p w:rsidR="003E1AC2" w:rsidRPr="00BB0173" w:rsidRDefault="003E1AC2" w:rsidP="00421E69">
      <w:pPr>
        <w:spacing w:before="240"/>
        <w:ind w:right="567"/>
        <w:rPr>
          <w:lang w:val="fr-FR"/>
        </w:rPr>
      </w:pPr>
      <w:r w:rsidRPr="00BB0173">
        <w:rPr>
          <w:lang w:val="fr-FR"/>
        </w:rPr>
        <w:t xml:space="preserve">Le </w:t>
      </w:r>
      <w:r w:rsidR="00036337" w:rsidRPr="00BB0173">
        <w:rPr>
          <w:lang w:val="fr-FR"/>
        </w:rPr>
        <w:t>B</w:t>
      </w:r>
      <w:r w:rsidRPr="00BB0173">
        <w:rPr>
          <w:lang w:val="fr-FR"/>
        </w:rPr>
        <w:t xml:space="preserve">ureau souhaite </w:t>
      </w:r>
      <w:r w:rsidR="00036337" w:rsidRPr="00BB0173">
        <w:rPr>
          <w:lang w:val="fr-FR"/>
        </w:rPr>
        <w:t xml:space="preserve">également </w:t>
      </w:r>
      <w:r w:rsidRPr="00BB0173">
        <w:rPr>
          <w:lang w:val="fr-FR"/>
        </w:rPr>
        <w:t>attirer l</w:t>
      </w:r>
      <w:r w:rsidR="001A4A1F" w:rsidRPr="00BB0173">
        <w:rPr>
          <w:lang w:val="fr-FR"/>
        </w:rPr>
        <w:t>'</w:t>
      </w:r>
      <w:r w:rsidRPr="00BB0173">
        <w:rPr>
          <w:lang w:val="fr-FR"/>
        </w:rPr>
        <w:t>attention des administrations sur la suppression, par la CMR</w:t>
      </w:r>
      <w:r w:rsidRPr="00BB0173">
        <w:rPr>
          <w:lang w:val="fr-FR"/>
        </w:rPr>
        <w:noBreakHyphen/>
        <w:t xml:space="preserve">15, des dispositions du numéro </w:t>
      </w:r>
      <w:r w:rsidRPr="00BB0173">
        <w:rPr>
          <w:b/>
          <w:bCs/>
          <w:lang w:val="fr-FR"/>
        </w:rPr>
        <w:t>9.5B</w:t>
      </w:r>
      <w:r w:rsidRPr="00BB0173">
        <w:rPr>
          <w:lang w:val="fr-FR"/>
        </w:rPr>
        <w:t xml:space="preserve"> relatives aux commentaires concernant la publication anticipée </w:t>
      </w:r>
      <w:r w:rsidR="00036337" w:rsidRPr="00BB0173">
        <w:rPr>
          <w:lang w:val="fr-FR"/>
        </w:rPr>
        <w:t xml:space="preserve">des renseignements relatifs aux </w:t>
      </w:r>
      <w:r w:rsidRPr="00BB0173">
        <w:rPr>
          <w:lang w:val="fr-FR"/>
        </w:rPr>
        <w:t xml:space="preserve">réseaux assujettis à une procédure de coordination. En conséquence, le Bureau ne donnera plus suite aux commentaires relatifs aux </w:t>
      </w:r>
      <w:r w:rsidR="00D60175" w:rsidRPr="00BB0173">
        <w:rPr>
          <w:lang w:val="fr-FR"/>
        </w:rPr>
        <w:t>S</w:t>
      </w:r>
      <w:r w:rsidRPr="00BB0173">
        <w:rPr>
          <w:lang w:val="fr-FR"/>
        </w:rPr>
        <w:t>ections spéciales API concernant les réseaux à satellite assujettis à la coordination.</w:t>
      </w:r>
    </w:p>
    <w:p w:rsidR="003E1AC2" w:rsidRPr="00BB0173" w:rsidRDefault="003E1AC2" w:rsidP="00421E69">
      <w:pPr>
        <w:spacing w:before="240"/>
        <w:ind w:right="567"/>
        <w:rPr>
          <w:lang w:val="fr-FR"/>
        </w:rPr>
      </w:pPr>
      <w:r w:rsidRPr="00BB0173">
        <w:rPr>
          <w:lang w:val="fr-FR"/>
        </w:rPr>
        <w:t xml:space="preserve">Toutefois, le Bureau continuera de traiter les commentaires au titre du numéro </w:t>
      </w:r>
      <w:r w:rsidRPr="00BB0173">
        <w:rPr>
          <w:b/>
          <w:bCs/>
          <w:lang w:val="fr-FR"/>
        </w:rPr>
        <w:t>9.3</w:t>
      </w:r>
      <w:r w:rsidRPr="00BB0173">
        <w:rPr>
          <w:lang w:val="fr-FR"/>
        </w:rPr>
        <w:t xml:space="preserve"> soumis au moyen du logiciel SpaceCom du Bureau concernant les réseaux à satellite non assujettis à la coordination.</w:t>
      </w:r>
    </w:p>
    <w:p w:rsidR="002A5DD7" w:rsidRPr="00BB0173" w:rsidRDefault="003E1AC2" w:rsidP="00421E69">
      <w:pPr>
        <w:spacing w:before="240"/>
        <w:ind w:right="567"/>
        <w:rPr>
          <w:rFonts w:cstheme="minorHAnsi"/>
          <w:lang w:val="fr-FR"/>
        </w:rPr>
      </w:pPr>
      <w:r w:rsidRPr="00BB0173">
        <w:rPr>
          <w:lang w:val="fr-FR"/>
        </w:rPr>
        <w:t xml:space="preserve">Le Bureau des radiocommunications reste à la disposition de votre </w:t>
      </w:r>
      <w:r w:rsidR="00D60175" w:rsidRPr="00BB0173">
        <w:rPr>
          <w:lang w:val="fr-FR"/>
        </w:rPr>
        <w:t>A</w:t>
      </w:r>
      <w:r w:rsidRPr="00BB0173">
        <w:rPr>
          <w:lang w:val="fr-FR"/>
        </w:rPr>
        <w:t xml:space="preserve">dministration pour toute précision dont elle pourrait avoir besoin en ce qui concerne les sujets traités dans la présente Lettre circulaire. Les questions à caractère général concernant la soumission de données peuvent être adressées au contact de l'UIT, M. Attila Matas, </w:t>
      </w:r>
      <w:r w:rsidR="00103EBF">
        <w:rPr>
          <w:lang w:val="fr-FR"/>
        </w:rPr>
        <w:t>téléphone</w:t>
      </w:r>
      <w:r w:rsidR="00BB0173" w:rsidRPr="00BB0173">
        <w:rPr>
          <w:lang w:val="fr-FR"/>
        </w:rPr>
        <w:t>:</w:t>
      </w:r>
      <w:r w:rsidRPr="00BB0173">
        <w:rPr>
          <w:lang w:val="fr-FR"/>
        </w:rPr>
        <w:t xml:space="preserve"> +41 22 730 6105, </w:t>
      </w:r>
      <w:r w:rsidR="00F74996">
        <w:rPr>
          <w:lang w:val="fr-FR"/>
        </w:rPr>
        <w:br/>
      </w:r>
      <w:r w:rsidR="00BB0173" w:rsidRPr="00BB0173">
        <w:rPr>
          <w:lang w:val="fr-FR"/>
        </w:rPr>
        <w:t>télécopie:</w:t>
      </w:r>
      <w:r w:rsidRPr="00BB0173">
        <w:rPr>
          <w:lang w:val="fr-FR"/>
        </w:rPr>
        <w:t xml:space="preserve"> +41 22 730 5785, courriel: </w:t>
      </w:r>
      <w:hyperlink r:id="rId9" w:history="1">
        <w:r w:rsidRPr="00BB0173">
          <w:rPr>
            <w:rStyle w:val="Hyperlink"/>
            <w:rFonts w:asciiTheme="minorHAnsi" w:hAnsiTheme="minorHAnsi" w:cstheme="majorBidi"/>
            <w:szCs w:val="24"/>
            <w:lang w:val="fr-FR"/>
          </w:rPr>
          <w:t>matas@itu.int</w:t>
        </w:r>
      </w:hyperlink>
      <w:r w:rsidRPr="00BB0173">
        <w:rPr>
          <w:lang w:val="fr-FR"/>
        </w:rPr>
        <w:t>.</w:t>
      </w:r>
    </w:p>
    <w:p w:rsidR="00C3556B" w:rsidRDefault="00E53DCE" w:rsidP="00D60175">
      <w:pPr>
        <w:spacing w:before="840" w:line="240" w:lineRule="auto"/>
        <w:jc w:val="left"/>
        <w:rPr>
          <w:szCs w:val="24"/>
          <w:lang w:val="fr-FR"/>
        </w:rPr>
      </w:pPr>
      <w:r w:rsidRPr="00BB0173">
        <w:rPr>
          <w:szCs w:val="24"/>
          <w:lang w:val="fr-FR"/>
        </w:rPr>
        <w:t>François Rancy</w:t>
      </w:r>
      <w:r w:rsidRPr="00BB0173">
        <w:rPr>
          <w:szCs w:val="24"/>
          <w:lang w:val="fr-FR"/>
        </w:rPr>
        <w:br/>
        <w:t>Directeur</w:t>
      </w:r>
    </w:p>
    <w:p w:rsidR="00F74996" w:rsidRDefault="00F74996" w:rsidP="00D60175">
      <w:pPr>
        <w:spacing w:before="840" w:line="240" w:lineRule="auto"/>
        <w:jc w:val="left"/>
        <w:rPr>
          <w:szCs w:val="24"/>
          <w:lang w:val="fr-FR"/>
        </w:rPr>
      </w:pPr>
    </w:p>
    <w:p w:rsidR="00F74996" w:rsidRDefault="00F74996" w:rsidP="00D60175">
      <w:pPr>
        <w:spacing w:before="840" w:line="240" w:lineRule="auto"/>
        <w:jc w:val="left"/>
        <w:rPr>
          <w:szCs w:val="24"/>
          <w:lang w:val="fr-FR"/>
        </w:rPr>
      </w:pPr>
    </w:p>
    <w:p w:rsidR="00F74996" w:rsidRDefault="00F74996" w:rsidP="00D60175">
      <w:pPr>
        <w:spacing w:before="840" w:line="240" w:lineRule="auto"/>
        <w:jc w:val="left"/>
        <w:rPr>
          <w:szCs w:val="24"/>
          <w:lang w:val="fr-FR"/>
        </w:rPr>
      </w:pPr>
    </w:p>
    <w:p w:rsidR="00F74996" w:rsidRPr="00BB0173" w:rsidRDefault="00F74996" w:rsidP="00D60175">
      <w:pPr>
        <w:spacing w:before="840" w:line="240" w:lineRule="auto"/>
        <w:jc w:val="left"/>
        <w:rPr>
          <w:szCs w:val="24"/>
          <w:lang w:val="fr-FR"/>
        </w:rPr>
      </w:pPr>
    </w:p>
    <w:p w:rsidR="00F03408" w:rsidRPr="00BB0173" w:rsidRDefault="00F03408" w:rsidP="00F03408">
      <w:pPr>
        <w:pStyle w:val="toc0"/>
        <w:tabs>
          <w:tab w:val="left" w:pos="794"/>
          <w:tab w:val="left" w:pos="1191"/>
          <w:tab w:val="left" w:pos="1588"/>
          <w:tab w:val="left" w:pos="1985"/>
        </w:tabs>
        <w:spacing w:before="1440"/>
        <w:jc w:val="both"/>
        <w:rPr>
          <w:rFonts w:asciiTheme="minorHAnsi" w:hAnsiTheme="minorHAnsi"/>
          <w:bCs/>
          <w:sz w:val="18"/>
          <w:szCs w:val="18"/>
          <w:u w:val="single"/>
          <w:lang w:val="fr-FR"/>
        </w:rPr>
      </w:pPr>
      <w:r w:rsidRPr="00BB0173">
        <w:rPr>
          <w:rFonts w:asciiTheme="minorHAnsi" w:hAnsiTheme="minorHAnsi"/>
          <w:bCs/>
          <w:sz w:val="18"/>
          <w:szCs w:val="18"/>
          <w:u w:val="single"/>
          <w:lang w:val="fr-FR"/>
        </w:rPr>
        <w:t>Distribution</w:t>
      </w:r>
      <w:r w:rsidRPr="00D60175">
        <w:rPr>
          <w:rFonts w:asciiTheme="minorHAnsi" w:hAnsiTheme="minorHAnsi"/>
          <w:bCs/>
          <w:sz w:val="18"/>
          <w:szCs w:val="18"/>
          <w:lang w:val="fr-FR"/>
        </w:rPr>
        <w:t>:</w:t>
      </w:r>
    </w:p>
    <w:p w:rsidR="00F03408" w:rsidRPr="00BB0173" w:rsidRDefault="00F03408" w:rsidP="00D60175">
      <w:pPr>
        <w:pStyle w:val="enumlev1"/>
        <w:tabs>
          <w:tab w:val="clear" w:pos="794"/>
          <w:tab w:val="left" w:pos="284"/>
        </w:tabs>
        <w:spacing w:before="0" w:line="240" w:lineRule="auto"/>
        <w:ind w:left="0" w:firstLine="0"/>
        <w:rPr>
          <w:rFonts w:asciiTheme="minorHAnsi" w:hAnsiTheme="minorHAnsi"/>
          <w:sz w:val="18"/>
          <w:szCs w:val="18"/>
          <w:lang w:val="fr-FR"/>
        </w:rPr>
      </w:pPr>
      <w:r w:rsidRPr="00BB0173">
        <w:rPr>
          <w:rFonts w:asciiTheme="minorHAnsi" w:hAnsiTheme="minorHAnsi"/>
          <w:sz w:val="18"/>
          <w:szCs w:val="18"/>
          <w:lang w:val="fr-FR"/>
        </w:rPr>
        <w:t>-</w:t>
      </w:r>
      <w:r w:rsidRPr="00BB0173">
        <w:rPr>
          <w:rFonts w:asciiTheme="minorHAnsi" w:hAnsiTheme="minorHAnsi"/>
          <w:sz w:val="18"/>
          <w:szCs w:val="18"/>
          <w:lang w:val="fr-FR"/>
        </w:rPr>
        <w:tab/>
        <w:t>Administrations des Etats Membres de l'UIT</w:t>
      </w:r>
    </w:p>
    <w:p w:rsidR="00F03408" w:rsidRPr="00BB0173" w:rsidRDefault="00F03408" w:rsidP="00D60175">
      <w:pPr>
        <w:pStyle w:val="enumlev1"/>
        <w:tabs>
          <w:tab w:val="clear" w:pos="794"/>
          <w:tab w:val="left" w:pos="284"/>
        </w:tabs>
        <w:spacing w:before="0" w:line="240" w:lineRule="auto"/>
        <w:ind w:left="0" w:firstLine="0"/>
        <w:rPr>
          <w:rFonts w:asciiTheme="minorHAnsi" w:hAnsiTheme="minorHAnsi"/>
          <w:sz w:val="18"/>
          <w:szCs w:val="18"/>
          <w:lang w:val="fr-FR"/>
        </w:rPr>
      </w:pPr>
      <w:r w:rsidRPr="00BB0173">
        <w:rPr>
          <w:rFonts w:asciiTheme="minorHAnsi" w:hAnsiTheme="minorHAnsi"/>
          <w:sz w:val="18"/>
          <w:szCs w:val="18"/>
          <w:lang w:val="fr-FR"/>
        </w:rPr>
        <w:t>-</w:t>
      </w:r>
      <w:r w:rsidRPr="00BB0173">
        <w:rPr>
          <w:rFonts w:asciiTheme="minorHAnsi" w:hAnsiTheme="minorHAnsi"/>
          <w:sz w:val="18"/>
          <w:szCs w:val="18"/>
          <w:lang w:val="fr-FR"/>
        </w:rPr>
        <w:tab/>
        <w:t>Membres du Comité du Règlement des radiocommunications</w:t>
      </w:r>
    </w:p>
    <w:p w:rsidR="00F03408" w:rsidRPr="00BB0173" w:rsidRDefault="00F03408" w:rsidP="003E1AC2">
      <w:pPr>
        <w:spacing w:before="840" w:line="240" w:lineRule="auto"/>
        <w:jc w:val="left"/>
        <w:rPr>
          <w:szCs w:val="24"/>
          <w:lang w:val="fr-FR"/>
        </w:rPr>
      </w:pPr>
    </w:p>
    <w:sectPr w:rsidR="00F03408" w:rsidRPr="00BB0173" w:rsidSect="00031E64">
      <w:headerReference w:type="even" r:id="rId10"/>
      <w:headerReference w:type="default" r:id="rId11"/>
      <w:footerReference w:type="even" r:id="rId12"/>
      <w:foot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3AB" w:rsidRDefault="000B33AB">
      <w:r>
        <w:separator/>
      </w:r>
    </w:p>
  </w:endnote>
  <w:endnote w:type="continuationSeparator" w:id="0">
    <w:p w:rsidR="000B33AB" w:rsidRDefault="000B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0CC" w:rsidRDefault="00691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0CC" w:rsidRDefault="006910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83" w:rsidRPr="002F5AA5" w:rsidRDefault="002F5AA5" w:rsidP="0088443B">
    <w:pPr>
      <w:pStyle w:val="FirstFooter"/>
      <w:spacing w:line="240" w:lineRule="auto"/>
      <w:ind w:left="-397" w:right="-397"/>
      <w:jc w:val="center"/>
      <w:rPr>
        <w:sz w:val="18"/>
        <w:szCs w:val="18"/>
        <w:lang w:val="fr-CH"/>
      </w:rPr>
    </w:pPr>
    <w:r w:rsidRPr="00B21099">
      <w:rPr>
        <w:color w:val="3E8EDE"/>
        <w:sz w:val="18"/>
        <w:szCs w:val="18"/>
        <w:lang w:val="fr-CH"/>
      </w:rPr>
      <w:t>Union internationale des télécommunications • Place des Nations • CH</w:t>
    </w:r>
    <w:r w:rsidRPr="00B21099">
      <w:rPr>
        <w:color w:val="3E8EDE"/>
        <w:sz w:val="18"/>
        <w:szCs w:val="18"/>
        <w:lang w:val="fr-CH"/>
      </w:rPr>
      <w:noBreakHyphen/>
      <w:t xml:space="preserve">1211 Genève 20 • Suisse </w:t>
    </w:r>
    <w:r w:rsidRPr="00B21099">
      <w:rPr>
        <w:color w:val="3E8EDE"/>
        <w:sz w:val="18"/>
        <w:szCs w:val="18"/>
        <w:lang w:val="fr-CH"/>
      </w:rPr>
      <w:br/>
      <w:t>Tél</w:t>
    </w:r>
    <w:r w:rsidR="00D60175">
      <w:rPr>
        <w:color w:val="3E8EDE"/>
        <w:sz w:val="18"/>
        <w:szCs w:val="18"/>
        <w:lang w:val="fr-CH"/>
      </w:rPr>
      <w:t>.</w:t>
    </w:r>
    <w:r w:rsidRPr="00B21099">
      <w:rPr>
        <w:color w:val="3E8EDE"/>
        <w:sz w:val="18"/>
        <w:szCs w:val="18"/>
        <w:lang w:val="fr-CH"/>
      </w:rPr>
      <w:t xml:space="preserve">: +41 22 730 5111 • Fax: +41 22 733 7256 • </w:t>
    </w:r>
    <w:r w:rsidR="0088443B" w:rsidRPr="00B21099">
      <w:rPr>
        <w:color w:val="3E8EDE"/>
        <w:sz w:val="18"/>
        <w:szCs w:val="18"/>
        <w:lang w:val="fr-CH"/>
      </w:rPr>
      <w:br/>
    </w:r>
    <w:r w:rsidRPr="00B21099">
      <w:rPr>
        <w:color w:val="3E8EDE"/>
        <w:sz w:val="18"/>
        <w:szCs w:val="18"/>
        <w:lang w:val="fr-CH"/>
      </w:rPr>
      <w:t>Courriel:</w:t>
    </w:r>
    <w:r w:rsidRPr="00E53DCE">
      <w:rPr>
        <w:sz w:val="18"/>
        <w:szCs w:val="18"/>
        <w:lang w:val="fr-FR"/>
      </w:rPr>
      <w:t xml:space="preserve"> </w:t>
    </w:r>
    <w:hyperlink r:id="rId1" w:history="1">
      <w:r w:rsidR="00C236AF" w:rsidRPr="00B21099">
        <w:rPr>
          <w:rStyle w:val="Hyperlink"/>
          <w:color w:val="3E8EDE"/>
          <w:sz w:val="18"/>
          <w:szCs w:val="18"/>
          <w:lang w:val="fr-CH"/>
        </w:rPr>
        <w:t>itumail@itu.int</w:t>
      </w:r>
    </w:hyperlink>
    <w:r w:rsidR="00C236AF" w:rsidRPr="00B21099">
      <w:rPr>
        <w:color w:val="3E8EDE"/>
        <w:sz w:val="18"/>
        <w:szCs w:val="18"/>
        <w:lang w:val="fr-CH"/>
      </w:rPr>
      <w:t xml:space="preserve"> • </w:t>
    </w:r>
    <w:r w:rsidR="00E538A6">
      <w:fldChar w:fldCharType="begin"/>
    </w:r>
    <w:r w:rsidR="00E538A6" w:rsidRPr="00E538A6">
      <w:rPr>
        <w:lang w:val="fr-CH"/>
      </w:rPr>
      <w:instrText xml:space="preserve"> HYPERLINK "http://www.itu.int" </w:instrText>
    </w:r>
    <w:r w:rsidR="00E538A6">
      <w:fldChar w:fldCharType="separate"/>
    </w:r>
    <w:r w:rsidR="00C236AF" w:rsidRPr="00B21099">
      <w:rPr>
        <w:rStyle w:val="Hyperlink"/>
        <w:color w:val="3E8EDE"/>
        <w:sz w:val="18"/>
        <w:szCs w:val="18"/>
        <w:lang w:val="fr-CH"/>
      </w:rPr>
      <w:t>www.itu.int</w:t>
    </w:r>
    <w:r w:rsidR="00E538A6">
      <w:rPr>
        <w:rStyle w:val="Hyperlink"/>
        <w:color w:val="3E8EDE"/>
        <w:sz w:val="18"/>
        <w:szCs w:val="18"/>
        <w:lang w:val="fr-CH"/>
      </w:rPr>
      <w:fldChar w:fldCharType="end"/>
    </w:r>
    <w:r w:rsidR="00C236AF" w:rsidRPr="00B21099">
      <w:rPr>
        <w:color w:val="3E8EDE"/>
        <w:sz w:val="18"/>
        <w:szCs w:val="18"/>
        <w:lang w:val="fr-CH"/>
      </w:rPr>
      <w:t xml:space="preserve"> • </w:t>
    </w:r>
    <w:hyperlink r:id="rId2" w:history="1">
      <w:r w:rsidR="00C236AF" w:rsidRPr="00B21099">
        <w:rPr>
          <w:rStyle w:val="Hyperlink"/>
          <w:color w:val="3E8EDE"/>
          <w:sz w:val="18"/>
          <w:szCs w:val="18"/>
          <w:lang w:val="fr-CH"/>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3AB" w:rsidRDefault="000B33AB">
      <w:r>
        <w:t>____________________</w:t>
      </w:r>
    </w:p>
  </w:footnote>
  <w:footnote w:type="continuationSeparator" w:id="0">
    <w:p w:rsidR="000B33AB" w:rsidRDefault="000B3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57" w:rsidRPr="00326492" w:rsidRDefault="00DD7B57" w:rsidP="00DD7B57">
    <w:pPr>
      <w:pStyle w:val="Header"/>
      <w:jc w:val="center"/>
      <w:rPr>
        <w:sz w:val="18"/>
        <w:szCs w:val="18"/>
      </w:rPr>
    </w:pPr>
    <w:r w:rsidRPr="00326492">
      <w:rPr>
        <w:sz w:val="18"/>
        <w:szCs w:val="18"/>
      </w:rPr>
      <w:t xml:space="preserve">– </w:t>
    </w:r>
    <w:r w:rsidRPr="00326492">
      <w:rPr>
        <w:rStyle w:val="PageNumber"/>
        <w:sz w:val="18"/>
        <w:szCs w:val="18"/>
      </w:rPr>
      <w:fldChar w:fldCharType="begin"/>
    </w:r>
    <w:r w:rsidRPr="00326492">
      <w:rPr>
        <w:rStyle w:val="PageNumber"/>
        <w:sz w:val="18"/>
        <w:szCs w:val="18"/>
      </w:rPr>
      <w:instrText xml:space="preserve"> PAGE </w:instrText>
    </w:r>
    <w:r w:rsidRPr="00326492">
      <w:rPr>
        <w:rStyle w:val="PageNumber"/>
        <w:sz w:val="18"/>
        <w:szCs w:val="18"/>
      </w:rPr>
      <w:fldChar w:fldCharType="separate"/>
    </w:r>
    <w:r w:rsidR="00E538A6">
      <w:rPr>
        <w:rStyle w:val="PageNumber"/>
        <w:noProof/>
        <w:sz w:val="18"/>
        <w:szCs w:val="18"/>
      </w:rPr>
      <w:t>2</w:t>
    </w:r>
    <w:r w:rsidRPr="00326492">
      <w:rPr>
        <w:rStyle w:val="PageNumber"/>
        <w:sz w:val="18"/>
        <w:szCs w:val="18"/>
      </w:rPr>
      <w:fldChar w:fldCharType="end"/>
    </w:r>
    <w:r w:rsidRPr="00326492">
      <w:rPr>
        <w:rStyle w:val="PageNumber"/>
        <w:sz w:val="18"/>
        <w:szCs w:val="18"/>
      </w:rPr>
      <w:t xml:space="preserve"> –</w:t>
    </w:r>
  </w:p>
  <w:p w:rsidR="006910CC" w:rsidRDefault="006910C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57" w:rsidRPr="00326492" w:rsidRDefault="00DD7B57" w:rsidP="00DD7B57">
    <w:pPr>
      <w:pStyle w:val="Header"/>
      <w:jc w:val="center"/>
      <w:rPr>
        <w:sz w:val="18"/>
        <w:szCs w:val="18"/>
      </w:rPr>
    </w:pPr>
    <w:r w:rsidRPr="00326492">
      <w:rPr>
        <w:sz w:val="18"/>
        <w:szCs w:val="18"/>
      </w:rPr>
      <w:t xml:space="preserve">– </w:t>
    </w:r>
    <w:r w:rsidRPr="00326492">
      <w:rPr>
        <w:rStyle w:val="PageNumber"/>
        <w:sz w:val="18"/>
        <w:szCs w:val="18"/>
      </w:rPr>
      <w:fldChar w:fldCharType="begin"/>
    </w:r>
    <w:r w:rsidRPr="00326492">
      <w:rPr>
        <w:rStyle w:val="PageNumber"/>
        <w:sz w:val="18"/>
        <w:szCs w:val="18"/>
      </w:rPr>
      <w:instrText xml:space="preserve"> PAGE </w:instrText>
    </w:r>
    <w:r w:rsidRPr="00326492">
      <w:rPr>
        <w:rStyle w:val="PageNumber"/>
        <w:sz w:val="18"/>
        <w:szCs w:val="18"/>
      </w:rPr>
      <w:fldChar w:fldCharType="separate"/>
    </w:r>
    <w:r w:rsidR="00E538A6">
      <w:rPr>
        <w:rStyle w:val="PageNumber"/>
        <w:noProof/>
        <w:sz w:val="18"/>
        <w:szCs w:val="18"/>
      </w:rPr>
      <w:t>3</w:t>
    </w:r>
    <w:r w:rsidRPr="00326492">
      <w:rPr>
        <w:rStyle w:val="PageNumber"/>
        <w:sz w:val="18"/>
        <w:szCs w:val="18"/>
      </w:rPr>
      <w:fldChar w:fldCharType="end"/>
    </w:r>
    <w:r w:rsidRPr="00326492">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C236AF" w:rsidTr="00C236AF">
      <w:tc>
        <w:tcPr>
          <w:tcW w:w="5031" w:type="dxa"/>
        </w:tcPr>
        <w:p w:rsidR="00C236AF" w:rsidRDefault="00C236AF" w:rsidP="00C236AF">
          <w:pPr>
            <w:pStyle w:val="Header"/>
            <w:tabs>
              <w:tab w:val="clear" w:pos="794"/>
              <w:tab w:val="clear" w:pos="4820"/>
            </w:tabs>
            <w:spacing w:before="120" w:line="360" w:lineRule="auto"/>
          </w:pPr>
          <w:r>
            <w:rPr>
              <w:b/>
              <w:bCs/>
              <w:noProof/>
              <w:lang w:val="en-GB" w:eastAsia="zh-CN"/>
            </w:rPr>
            <w:drawing>
              <wp:inline distT="0" distB="0" distL="0" distR="0" wp14:anchorId="30E84A83" wp14:editId="5A7F434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C236AF" w:rsidRDefault="00C236AF" w:rsidP="00C236AF">
          <w:pPr>
            <w:pStyle w:val="Header"/>
            <w:tabs>
              <w:tab w:val="clear" w:pos="794"/>
              <w:tab w:val="clear" w:pos="4820"/>
            </w:tabs>
            <w:spacing w:line="360" w:lineRule="auto"/>
            <w:jc w:val="right"/>
          </w:pPr>
          <w:r w:rsidRPr="00975D6F">
            <w:rPr>
              <w:rFonts w:cs="Arial"/>
              <w:noProof/>
              <w:lang w:val="en-GB" w:eastAsia="zh-CN"/>
            </w:rPr>
            <w:drawing>
              <wp:inline distT="0" distB="0" distL="0" distR="0" wp14:anchorId="5F44E3C4" wp14:editId="70E2C266">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C236AF" w:rsidRDefault="00E915AF" w:rsidP="00C23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0B33AB"/>
    <w:rsid w:val="00006A31"/>
    <w:rsid w:val="00006C82"/>
    <w:rsid w:val="00010E30"/>
    <w:rsid w:val="00015C76"/>
    <w:rsid w:val="00026CF8"/>
    <w:rsid w:val="00030BD7"/>
    <w:rsid w:val="00031E64"/>
    <w:rsid w:val="00034340"/>
    <w:rsid w:val="00035CB3"/>
    <w:rsid w:val="00036337"/>
    <w:rsid w:val="00045A8D"/>
    <w:rsid w:val="0005167A"/>
    <w:rsid w:val="00054E5D"/>
    <w:rsid w:val="00070258"/>
    <w:rsid w:val="0007323C"/>
    <w:rsid w:val="00086D03"/>
    <w:rsid w:val="000A096A"/>
    <w:rsid w:val="000A375E"/>
    <w:rsid w:val="000A4113"/>
    <w:rsid w:val="000A7051"/>
    <w:rsid w:val="000B0AF6"/>
    <w:rsid w:val="000B0E9B"/>
    <w:rsid w:val="000B2CAE"/>
    <w:rsid w:val="000B33AB"/>
    <w:rsid w:val="000C03C7"/>
    <w:rsid w:val="000C2AD0"/>
    <w:rsid w:val="000E3DEE"/>
    <w:rsid w:val="00100B72"/>
    <w:rsid w:val="00101F7D"/>
    <w:rsid w:val="00103C76"/>
    <w:rsid w:val="00103EBF"/>
    <w:rsid w:val="0011265F"/>
    <w:rsid w:val="00117282"/>
    <w:rsid w:val="00117389"/>
    <w:rsid w:val="00121C2D"/>
    <w:rsid w:val="00134404"/>
    <w:rsid w:val="00144DFB"/>
    <w:rsid w:val="00187CA3"/>
    <w:rsid w:val="00196710"/>
    <w:rsid w:val="00196770"/>
    <w:rsid w:val="00197324"/>
    <w:rsid w:val="001A4A1F"/>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1AC2"/>
    <w:rsid w:val="003E504F"/>
    <w:rsid w:val="003E78D6"/>
    <w:rsid w:val="003F6E56"/>
    <w:rsid w:val="00400573"/>
    <w:rsid w:val="004007A3"/>
    <w:rsid w:val="00406D71"/>
    <w:rsid w:val="00411CB3"/>
    <w:rsid w:val="00421E69"/>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57BB"/>
    <w:rsid w:val="00505309"/>
    <w:rsid w:val="0050789B"/>
    <w:rsid w:val="005224A1"/>
    <w:rsid w:val="00534372"/>
    <w:rsid w:val="00543DF8"/>
    <w:rsid w:val="00546101"/>
    <w:rsid w:val="00553DD7"/>
    <w:rsid w:val="005618DC"/>
    <w:rsid w:val="005638CF"/>
    <w:rsid w:val="0056741E"/>
    <w:rsid w:val="0057325A"/>
    <w:rsid w:val="0057469A"/>
    <w:rsid w:val="00580814"/>
    <w:rsid w:val="00583A0B"/>
    <w:rsid w:val="005978DB"/>
    <w:rsid w:val="005A03A3"/>
    <w:rsid w:val="005A2B92"/>
    <w:rsid w:val="005A3F66"/>
    <w:rsid w:val="005A79E9"/>
    <w:rsid w:val="005B214C"/>
    <w:rsid w:val="005B3AD3"/>
    <w:rsid w:val="005B4CDA"/>
    <w:rsid w:val="005B62F0"/>
    <w:rsid w:val="005D3669"/>
    <w:rsid w:val="005E5EB3"/>
    <w:rsid w:val="005F3CB6"/>
    <w:rsid w:val="005F657C"/>
    <w:rsid w:val="00602D53"/>
    <w:rsid w:val="006047E5"/>
    <w:rsid w:val="00640E8C"/>
    <w:rsid w:val="00642050"/>
    <w:rsid w:val="0064371D"/>
    <w:rsid w:val="00650543"/>
    <w:rsid w:val="00650B2A"/>
    <w:rsid w:val="00651777"/>
    <w:rsid w:val="006550F8"/>
    <w:rsid w:val="006829F3"/>
    <w:rsid w:val="006910CC"/>
    <w:rsid w:val="006A518B"/>
    <w:rsid w:val="006B0590"/>
    <w:rsid w:val="006B49DA"/>
    <w:rsid w:val="006C53F8"/>
    <w:rsid w:val="006C7CDE"/>
    <w:rsid w:val="006F52AC"/>
    <w:rsid w:val="007234B1"/>
    <w:rsid w:val="00723D08"/>
    <w:rsid w:val="00725FDA"/>
    <w:rsid w:val="00727816"/>
    <w:rsid w:val="00730B9A"/>
    <w:rsid w:val="00750CFA"/>
    <w:rsid w:val="007553DA"/>
    <w:rsid w:val="00773F7E"/>
    <w:rsid w:val="00775DB8"/>
    <w:rsid w:val="00782354"/>
    <w:rsid w:val="007921A7"/>
    <w:rsid w:val="007A179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5E"/>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62A"/>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231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21099"/>
    <w:rsid w:val="00B24F0D"/>
    <w:rsid w:val="00B34CF9"/>
    <w:rsid w:val="00B36F45"/>
    <w:rsid w:val="00B37559"/>
    <w:rsid w:val="00B4054B"/>
    <w:rsid w:val="00B579B0"/>
    <w:rsid w:val="00B57D11"/>
    <w:rsid w:val="00B649D7"/>
    <w:rsid w:val="00B81C2F"/>
    <w:rsid w:val="00B90743"/>
    <w:rsid w:val="00B90C45"/>
    <w:rsid w:val="00B933BE"/>
    <w:rsid w:val="00BB0173"/>
    <w:rsid w:val="00BD6738"/>
    <w:rsid w:val="00BD7E5E"/>
    <w:rsid w:val="00BE63DB"/>
    <w:rsid w:val="00BE6574"/>
    <w:rsid w:val="00C07319"/>
    <w:rsid w:val="00C16FD2"/>
    <w:rsid w:val="00C236AF"/>
    <w:rsid w:val="00C3556B"/>
    <w:rsid w:val="00C41C7A"/>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E4E65"/>
    <w:rsid w:val="00D10BA0"/>
    <w:rsid w:val="00D21694"/>
    <w:rsid w:val="00D24EB5"/>
    <w:rsid w:val="00D35AB9"/>
    <w:rsid w:val="00D41571"/>
    <w:rsid w:val="00D416A0"/>
    <w:rsid w:val="00D47672"/>
    <w:rsid w:val="00D5123C"/>
    <w:rsid w:val="00D55560"/>
    <w:rsid w:val="00D60175"/>
    <w:rsid w:val="00D61C5A"/>
    <w:rsid w:val="00D6790C"/>
    <w:rsid w:val="00D73277"/>
    <w:rsid w:val="00D76586"/>
    <w:rsid w:val="00D82657"/>
    <w:rsid w:val="00D87E20"/>
    <w:rsid w:val="00DA4037"/>
    <w:rsid w:val="00DD7B5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8A6"/>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03408"/>
    <w:rsid w:val="00F424BF"/>
    <w:rsid w:val="00F44FC3"/>
    <w:rsid w:val="00F46107"/>
    <w:rsid w:val="00F468C5"/>
    <w:rsid w:val="00F52F39"/>
    <w:rsid w:val="00F6184F"/>
    <w:rsid w:val="00F73DBD"/>
    <w:rsid w:val="00F74996"/>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887129D-BF2B-4A45-9CFA-06384CB9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F03408"/>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R/space/snl/Pages/asreceivedCR.asp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as@itu.in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go/RR110"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8D9DF0D6474495AE0E654E30E22E88"/>
        <w:category>
          <w:name w:val="General"/>
          <w:gallery w:val="placeholder"/>
        </w:category>
        <w:types>
          <w:type w:val="bbPlcHdr"/>
        </w:types>
        <w:behaviors>
          <w:behavior w:val="content"/>
        </w:behaviors>
        <w:guid w:val="{DDF10B99-49E4-4155-B880-A9D26ACAB586}"/>
      </w:docPartPr>
      <w:docPartBody>
        <w:p w:rsidR="00D94A3D" w:rsidRDefault="00D94A3D">
          <w:pPr>
            <w:pStyle w:val="228D9DF0D6474495AE0E654E30E22E88"/>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3D"/>
    <w:rsid w:val="00D94A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8D9DF0D6474495AE0E654E30E22E88">
    <w:name w:val="228D9DF0D6474495AE0E654E30E22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19CB-81E5-49E2-9CEB-FD8B435E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24</TotalTime>
  <Pages>3</Pages>
  <Words>1043</Words>
  <Characters>5922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6952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Anghelone, Christine</cp:lastModifiedBy>
  <cp:revision>13</cp:revision>
  <cp:lastPrinted>2016-12-06T16:26:00Z</cp:lastPrinted>
  <dcterms:created xsi:type="dcterms:W3CDTF">2016-12-06T15:54:00Z</dcterms:created>
  <dcterms:modified xsi:type="dcterms:W3CDTF">2016-12-07T16:47:00Z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