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27638" w:rsidRDefault="00E27638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029C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3029C" w:rsidRDefault="00E52BB1" w:rsidP="006160CB">
            <w:pPr>
              <w:spacing w:before="0"/>
              <w:jc w:val="left"/>
              <w:rPr>
                <w:szCs w:val="24"/>
                <w:lang w:val="fr-CH"/>
              </w:rPr>
            </w:pPr>
            <w:r>
              <w:rPr>
                <w:szCs w:val="24"/>
              </w:rPr>
              <w:t>Carta</w:t>
            </w:r>
            <w:r w:rsidR="00A96D3A" w:rsidRPr="0033029C">
              <w:rPr>
                <w:szCs w:val="24"/>
              </w:rPr>
              <w:t xml:space="preserve"> </w:t>
            </w:r>
            <w:r w:rsidR="00401F6B" w:rsidRPr="00401F6B">
              <w:rPr>
                <w:szCs w:val="24"/>
              </w:rPr>
              <w:t>Circular</w:t>
            </w:r>
          </w:p>
          <w:p w:rsidR="00E53DCE" w:rsidRPr="0033029C" w:rsidRDefault="00E53DCE" w:rsidP="00E52BB1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33029C">
              <w:rPr>
                <w:b/>
                <w:bCs/>
                <w:szCs w:val="24"/>
                <w:lang w:val="fr-CH"/>
              </w:rPr>
              <w:t>C</w:t>
            </w:r>
            <w:r w:rsidR="00E52BB1">
              <w:rPr>
                <w:b/>
                <w:bCs/>
                <w:szCs w:val="24"/>
                <w:lang w:val="fr-CH"/>
              </w:rPr>
              <w:t>R</w:t>
            </w:r>
            <w:r w:rsidRPr="0033029C">
              <w:rPr>
                <w:b/>
                <w:bCs/>
                <w:szCs w:val="24"/>
                <w:lang w:val="fr-CH"/>
              </w:rPr>
              <w:t>/</w:t>
            </w:r>
            <w:r w:rsidR="00401F6B">
              <w:rPr>
                <w:b/>
                <w:bCs/>
                <w:szCs w:val="24"/>
                <w:lang w:val="fr-CH"/>
              </w:rPr>
              <w:t>414</w:t>
            </w:r>
          </w:p>
        </w:tc>
        <w:tc>
          <w:tcPr>
            <w:tcW w:w="2835" w:type="dxa"/>
            <w:shd w:val="clear" w:color="auto" w:fill="auto"/>
          </w:tcPr>
          <w:p w:rsidR="00E53DCE" w:rsidRPr="0033029C" w:rsidRDefault="00F86458" w:rsidP="006D4EF9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bCs/>
                <w:szCs w:val="24"/>
              </w:rPr>
              <w:t>6</w:t>
            </w:r>
            <w:r w:rsidR="00401F6B" w:rsidRPr="00401F6B">
              <w:rPr>
                <w:bCs/>
                <w:szCs w:val="24"/>
              </w:rPr>
              <w:t xml:space="preserve"> de </w:t>
            </w:r>
            <w:r w:rsidR="006D4EF9">
              <w:rPr>
                <w:bCs/>
                <w:szCs w:val="24"/>
              </w:rPr>
              <w:t>diciembre</w:t>
            </w:r>
            <w:bookmarkStart w:id="0" w:name="_GoBack"/>
            <w:bookmarkEnd w:id="0"/>
            <w:r w:rsidR="00401F6B" w:rsidRPr="00401F6B">
              <w:rPr>
                <w:bCs/>
                <w:szCs w:val="24"/>
              </w:rPr>
              <w:t xml:space="preserve"> </w:t>
            </w:r>
            <w:r w:rsidR="00A96D3A" w:rsidRPr="0033029C">
              <w:rPr>
                <w:bCs/>
                <w:szCs w:val="24"/>
              </w:rPr>
              <w:t>de 201</w:t>
            </w:r>
            <w:r w:rsidR="00401F6B">
              <w:rPr>
                <w:bCs/>
                <w:szCs w:val="24"/>
              </w:rPr>
              <w:t>6</w:t>
            </w:r>
          </w:p>
        </w:tc>
      </w:tr>
      <w:tr w:rsidR="00E53DCE" w:rsidRPr="0033029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029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F86458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FE4822" w:rsidP="00E27638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33029C">
              <w:rPr>
                <w:b/>
                <w:szCs w:val="24"/>
                <w:lang w:val="es-ES"/>
              </w:rPr>
              <w:t>A las Administraciones de los Estados Miembros de la UIT</w:t>
            </w:r>
          </w:p>
        </w:tc>
      </w:tr>
      <w:tr w:rsidR="00E53DCE" w:rsidRPr="00F86458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F86458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F86458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029C" w:rsidRDefault="00311970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r>
              <w:rPr>
                <w:szCs w:val="24"/>
              </w:rPr>
              <w:t>Asunto</w:t>
            </w:r>
            <w:r w:rsidRPr="0033029C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401F6B" w:rsidRDefault="00401F6B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  <w:r w:rsidRPr="00401F6B">
              <w:rPr>
                <w:b/>
                <w:bCs/>
                <w:szCs w:val="24"/>
                <w:lang w:val="es-ES_tradnl"/>
              </w:rPr>
              <w:t>Examen con arreglo a la Resolución 85 (CMR-03)</w:t>
            </w:r>
          </w:p>
        </w:tc>
      </w:tr>
      <w:tr w:rsidR="00E53DCE" w:rsidRPr="00F86458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401F6B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401F6B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F86458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401F6B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401F6B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</w:tbl>
    <w:p w:rsidR="00401F6B" w:rsidRPr="00401F6B" w:rsidRDefault="00401F6B" w:rsidP="004724AB">
      <w:pPr>
        <w:rPr>
          <w:lang w:val="es-ES_tradnl"/>
        </w:rPr>
      </w:pPr>
      <w:r w:rsidRPr="00401F6B">
        <w:rPr>
          <w:lang w:val="es-ES_tradnl"/>
        </w:rPr>
        <w:t xml:space="preserve">En la Resolución </w:t>
      </w:r>
      <w:r w:rsidRPr="00401F6B">
        <w:rPr>
          <w:b/>
          <w:bCs/>
          <w:lang w:val="es-ES_tradnl"/>
        </w:rPr>
        <w:t>85 (CMR-03)</w:t>
      </w:r>
      <w:r w:rsidRPr="00401F6B">
        <w:rPr>
          <w:lang w:val="es-ES_tradnl"/>
        </w:rPr>
        <w:t xml:space="preserve"> se encarga a la Oficina de Radiocomunicaciones que, una vez disponga de los programas informáticos de validación de la </w:t>
      </w:r>
      <w:r w:rsidR="004724AB">
        <w:rPr>
          <w:lang w:val="es-ES_tradnl"/>
        </w:rPr>
        <w:t>densidad de flujo de potencia equivalente (</w:t>
      </w:r>
      <w:r w:rsidR="004724AB" w:rsidRPr="00401F6B">
        <w:rPr>
          <w:lang w:val="es-ES_tradnl"/>
        </w:rPr>
        <w:t>DFPE</w:t>
      </w:r>
      <w:r w:rsidR="004724AB">
        <w:rPr>
          <w:lang w:val="es-ES_tradnl"/>
        </w:rPr>
        <w:t>)</w:t>
      </w:r>
      <w:r w:rsidRPr="00401F6B">
        <w:rPr>
          <w:lang w:val="es-ES_tradnl"/>
        </w:rPr>
        <w:t xml:space="preserve">, </w:t>
      </w:r>
      <w:r w:rsidR="004724AB" w:rsidRPr="00401F6B">
        <w:rPr>
          <w:lang w:val="es-ES_tradnl"/>
        </w:rPr>
        <w:t xml:space="preserve">examine </w:t>
      </w:r>
      <w:r w:rsidRPr="00401F6B">
        <w:rPr>
          <w:lang w:val="es-ES_tradnl"/>
        </w:rPr>
        <w:t xml:space="preserve">sus conclusiones formuladas conforme a los números </w:t>
      </w:r>
      <w:r w:rsidRPr="00A645CF">
        <w:rPr>
          <w:b/>
          <w:bCs/>
          <w:lang w:val="es-ES_tradnl"/>
        </w:rPr>
        <w:t>9.35</w:t>
      </w:r>
      <w:r w:rsidRPr="00401F6B">
        <w:rPr>
          <w:lang w:val="es-ES_tradnl"/>
        </w:rPr>
        <w:t xml:space="preserve"> y </w:t>
      </w:r>
      <w:r w:rsidRPr="00A645CF">
        <w:rPr>
          <w:b/>
          <w:bCs/>
          <w:lang w:val="es-ES_tradnl"/>
        </w:rPr>
        <w:t>11.31</w:t>
      </w:r>
      <w:r w:rsidRPr="00401F6B">
        <w:rPr>
          <w:lang w:val="es-ES_tradnl"/>
        </w:rPr>
        <w:t xml:space="preserve"> para asignaciones de frecuencias </w:t>
      </w:r>
      <w:r w:rsidR="004724AB">
        <w:rPr>
          <w:lang w:val="es-ES_tradnl"/>
        </w:rPr>
        <w:t>a</w:t>
      </w:r>
      <w:r w:rsidRPr="00401F6B">
        <w:rPr>
          <w:lang w:val="es-ES_tradnl"/>
        </w:rPr>
        <w:t xml:space="preserve"> sistemas de satélites no OSG del SFS respecto de los límites </w:t>
      </w:r>
      <w:r w:rsidR="004724AB">
        <w:rPr>
          <w:lang w:val="es-ES_tradnl"/>
        </w:rPr>
        <w:t xml:space="preserve">de </w:t>
      </w:r>
      <w:r w:rsidR="004724AB" w:rsidRPr="00401F6B">
        <w:rPr>
          <w:lang w:val="es-ES_tradnl"/>
        </w:rPr>
        <w:t>DFPE</w:t>
      </w:r>
      <w:r w:rsidRPr="00401F6B">
        <w:rPr>
          <w:lang w:val="es-ES_tradnl"/>
        </w:rPr>
        <w:t xml:space="preserve"> de una sola fuente estipulados en los Cuadros 22-1A, 22-1B, 22-1C, 22-1D, 22-1E, 22-2 y 22-3 del Artículo </w:t>
      </w:r>
      <w:r w:rsidRPr="00A645CF">
        <w:rPr>
          <w:b/>
          <w:bCs/>
          <w:lang w:val="es-ES_tradnl"/>
        </w:rPr>
        <w:t>22</w:t>
      </w:r>
      <w:r w:rsidRPr="00401F6B">
        <w:rPr>
          <w:lang w:val="es-ES_tradnl"/>
        </w:rPr>
        <w:t xml:space="preserve"> del Reglamento de Radiocomunicaciones y que determine los requisitos de coordinación con arreglo a los números</w:t>
      </w:r>
      <w:r w:rsidR="00A645CF">
        <w:rPr>
          <w:lang w:val="es-ES_tradnl"/>
        </w:rPr>
        <w:t> </w:t>
      </w:r>
      <w:r w:rsidRPr="00A645CF">
        <w:rPr>
          <w:b/>
          <w:bCs/>
          <w:lang w:val="es-ES_tradnl"/>
        </w:rPr>
        <w:t>9.7A</w:t>
      </w:r>
      <w:r w:rsidRPr="00401F6B">
        <w:rPr>
          <w:lang w:val="es-ES_tradnl"/>
        </w:rPr>
        <w:t xml:space="preserve"> y </w:t>
      </w:r>
      <w:r w:rsidRPr="00A645CF">
        <w:rPr>
          <w:b/>
          <w:bCs/>
          <w:lang w:val="es-ES_tradnl"/>
        </w:rPr>
        <w:t>9.7B</w:t>
      </w:r>
      <w:r w:rsidRPr="00401F6B">
        <w:rPr>
          <w:lang w:val="es-ES_tradnl"/>
        </w:rPr>
        <w:t>.</w:t>
      </w:r>
    </w:p>
    <w:p w:rsidR="00401F6B" w:rsidRPr="00401F6B" w:rsidRDefault="00401F6B" w:rsidP="00401F6B">
      <w:pPr>
        <w:rPr>
          <w:lang w:val="es-ES_tradnl"/>
        </w:rPr>
      </w:pPr>
      <w:r w:rsidRPr="00401F6B">
        <w:rPr>
          <w:lang w:val="es-ES_tradnl"/>
        </w:rPr>
        <w:t xml:space="preserve">En la Carta Circular CR/405 (3 de junio de 2016), la Oficina informó a las administraciones de la disponibilidad de la versión beta del software de validación de la </w:t>
      </w:r>
      <w:r w:rsidR="004724AB" w:rsidRPr="00401F6B">
        <w:rPr>
          <w:lang w:val="es-ES_tradnl"/>
        </w:rPr>
        <w:t xml:space="preserve">DFPE </w:t>
      </w:r>
      <w:r w:rsidRPr="00401F6B">
        <w:rPr>
          <w:lang w:val="es-ES_tradnl"/>
        </w:rPr>
        <w:t>a efectos de prueba y evaluación.</w:t>
      </w:r>
    </w:p>
    <w:p w:rsidR="00401F6B" w:rsidRPr="00401F6B" w:rsidRDefault="00401F6B" w:rsidP="004724AB">
      <w:pPr>
        <w:rPr>
          <w:lang w:val="es-ES_tradnl"/>
        </w:rPr>
      </w:pPr>
      <w:r w:rsidRPr="00401F6B">
        <w:rPr>
          <w:lang w:val="es-ES_tradnl"/>
        </w:rPr>
        <w:t xml:space="preserve">Desde la publicación de la versión beta del software, la Oficina ha recabado comentarios y sugerencias sobre posibles mejoras del software. Esos comentarios se </w:t>
      </w:r>
      <w:r w:rsidR="004724AB">
        <w:rPr>
          <w:lang w:val="es-ES_tradnl"/>
        </w:rPr>
        <w:t>tomaron</w:t>
      </w:r>
      <w:r w:rsidRPr="00401F6B">
        <w:rPr>
          <w:lang w:val="es-ES_tradnl"/>
        </w:rPr>
        <w:t xml:space="preserve"> en consideración al preparar </w:t>
      </w:r>
      <w:r w:rsidR="00A645CF">
        <w:rPr>
          <w:lang w:val="es-ES_tradnl"/>
        </w:rPr>
        <w:t>la última versión del software.</w:t>
      </w:r>
    </w:p>
    <w:p w:rsidR="00401F6B" w:rsidRPr="00401F6B" w:rsidRDefault="00401F6B" w:rsidP="00E52BB1">
      <w:pPr>
        <w:rPr>
          <w:lang w:val="es-ES_tradnl"/>
        </w:rPr>
      </w:pPr>
      <w:r w:rsidRPr="00401F6B">
        <w:rPr>
          <w:lang w:val="es-ES_tradnl"/>
        </w:rPr>
        <w:t>La Oficina se complace en informar a su Administración de que la última versión del software que</w:t>
      </w:r>
      <w:r w:rsidR="005601DB">
        <w:rPr>
          <w:lang w:val="es-ES_tradnl"/>
        </w:rPr>
        <w:t xml:space="preserve"> aplica la Recomendación UIT</w:t>
      </w:r>
      <w:r w:rsidR="00E52BB1">
        <w:rPr>
          <w:lang w:val="es-ES_tradnl"/>
        </w:rPr>
        <w:t>-</w:t>
      </w:r>
      <w:r w:rsidR="005601DB">
        <w:rPr>
          <w:lang w:val="es-ES_tradnl"/>
        </w:rPr>
        <w:t xml:space="preserve">R </w:t>
      </w:r>
      <w:r w:rsidRPr="00401F6B">
        <w:rPr>
          <w:lang w:val="es-ES_tradnl"/>
        </w:rPr>
        <w:t xml:space="preserve">S.1503-2 está disponible en el sitio web de la UIT </w:t>
      </w:r>
      <w:hyperlink r:id="rId8" w:history="1">
        <w:r w:rsidR="00A645CF" w:rsidRPr="00195F83">
          <w:rPr>
            <w:rStyle w:val="Hyperlink"/>
            <w:lang w:val="es-ES_tradnl"/>
          </w:rPr>
          <w:t>www.itu.int/ITU-R/go/space-epfd/en</w:t>
        </w:r>
      </w:hyperlink>
      <w:r w:rsidRPr="00401F6B">
        <w:rPr>
          <w:lang w:val="es-ES_tradnl"/>
        </w:rPr>
        <w:t xml:space="preserve"> y </w:t>
      </w:r>
      <w:r w:rsidR="004724AB">
        <w:rPr>
          <w:lang w:val="es-ES_tradnl"/>
        </w:rPr>
        <w:t xml:space="preserve">se incluirán </w:t>
      </w:r>
      <w:r w:rsidRPr="00401F6B">
        <w:rPr>
          <w:lang w:val="es-ES_tradnl"/>
        </w:rPr>
        <w:t xml:space="preserve">en </w:t>
      </w:r>
      <w:r w:rsidR="004724AB">
        <w:rPr>
          <w:lang w:val="es-ES_tradnl"/>
        </w:rPr>
        <w:t xml:space="preserve">la </w:t>
      </w:r>
      <w:r w:rsidRPr="00401F6B">
        <w:rPr>
          <w:lang w:val="es-ES_tradnl"/>
        </w:rPr>
        <w:t>versión DVD de la BR IFIC (</w:t>
      </w:r>
      <w:r w:rsidR="008F58BF" w:rsidRPr="00401F6B">
        <w:rPr>
          <w:lang w:val="es-ES_tradnl"/>
        </w:rPr>
        <w:t xml:space="preserve">Servicios </w:t>
      </w:r>
      <w:r w:rsidRPr="00401F6B">
        <w:rPr>
          <w:lang w:val="es-ES_tradnl"/>
        </w:rPr>
        <w:t>espaciales) 2384/06.12.2016 y ediciones ulteriores.</w:t>
      </w:r>
    </w:p>
    <w:p w:rsidR="00401F6B" w:rsidRPr="00401F6B" w:rsidRDefault="00401F6B" w:rsidP="004724AB">
      <w:pPr>
        <w:rPr>
          <w:lang w:val="es-ES_tradnl"/>
        </w:rPr>
      </w:pPr>
      <w:r w:rsidRPr="00401F6B">
        <w:rPr>
          <w:lang w:val="es-ES_tradnl"/>
        </w:rPr>
        <w:t xml:space="preserve">El paquete de validación </w:t>
      </w:r>
      <w:r w:rsidR="008F58BF" w:rsidRPr="00401F6B">
        <w:rPr>
          <w:lang w:val="es-ES_tradnl"/>
        </w:rPr>
        <w:t xml:space="preserve">DFPE </w:t>
      </w:r>
      <w:r w:rsidRPr="00401F6B">
        <w:rPr>
          <w:lang w:val="es-ES_tradnl"/>
        </w:rPr>
        <w:t>incluye el módulo interfaz gráfica para cálculos por lotes</w:t>
      </w:r>
      <w:r w:rsidR="004724AB" w:rsidRPr="004724AB">
        <w:rPr>
          <w:lang w:val="es-ES_tradnl"/>
        </w:rPr>
        <w:t xml:space="preserve"> </w:t>
      </w:r>
      <w:r w:rsidR="004724AB">
        <w:rPr>
          <w:lang w:val="es-ES_tradnl"/>
        </w:rPr>
        <w:t>(</w:t>
      </w:r>
      <w:r w:rsidR="004724AB" w:rsidRPr="00401F6B">
        <w:rPr>
          <w:lang w:val="es-ES_tradnl"/>
        </w:rPr>
        <w:t>GIBC</w:t>
      </w:r>
      <w:r w:rsidRPr="00401F6B">
        <w:rPr>
          <w:lang w:val="es-ES_tradnl"/>
        </w:rPr>
        <w:t xml:space="preserve">) que sirve de interfaz para lanzar la validación </w:t>
      </w:r>
      <w:r w:rsidR="008F58BF" w:rsidRPr="00401F6B">
        <w:rPr>
          <w:lang w:val="es-ES_tradnl"/>
        </w:rPr>
        <w:t>DFPE</w:t>
      </w:r>
      <w:r w:rsidRPr="00401F6B">
        <w:rPr>
          <w:lang w:val="es-ES_tradnl"/>
        </w:rPr>
        <w:t xml:space="preserve">, dos herramientas de validación de la </w:t>
      </w:r>
      <w:r w:rsidR="008F58BF" w:rsidRPr="00401F6B">
        <w:rPr>
          <w:lang w:val="es-ES_tradnl"/>
        </w:rPr>
        <w:t>DFPE</w:t>
      </w:r>
      <w:r w:rsidRPr="00401F6B">
        <w:rPr>
          <w:lang w:val="es-ES_tradnl"/>
        </w:rPr>
        <w:t>, dos casos de</w:t>
      </w:r>
      <w:r w:rsidR="00E52BB1">
        <w:rPr>
          <w:lang w:val="es-ES_tradnl"/>
        </w:rPr>
        <w:t xml:space="preserve"> prueba y una guía del usuario.</w:t>
      </w:r>
    </w:p>
    <w:p w:rsidR="00401F6B" w:rsidRPr="00401F6B" w:rsidRDefault="00401F6B" w:rsidP="00401F6B">
      <w:pPr>
        <w:rPr>
          <w:lang w:val="es-ES_tradnl"/>
        </w:rPr>
      </w:pPr>
      <w:r w:rsidRPr="00401F6B">
        <w:rPr>
          <w:lang w:val="es-ES_tradnl"/>
        </w:rPr>
        <w:t xml:space="preserve">El objeto de esta Carta Circular es ofrecer a las administraciones y otros usuarios información y orientación sobre el software de validación de la </w:t>
      </w:r>
      <w:r w:rsidR="008F58BF" w:rsidRPr="00401F6B">
        <w:rPr>
          <w:lang w:val="es-ES_tradnl"/>
        </w:rPr>
        <w:t xml:space="preserve">DFPE </w:t>
      </w:r>
      <w:r w:rsidRPr="00401F6B">
        <w:rPr>
          <w:lang w:val="es-ES_tradnl"/>
        </w:rPr>
        <w:t xml:space="preserve">y la aplicación del </w:t>
      </w:r>
      <w:r w:rsidRPr="00A645CF">
        <w:rPr>
          <w:i/>
          <w:iCs/>
          <w:lang w:val="es-ES_tradnl"/>
        </w:rPr>
        <w:t>encarga al Director de la Oficina de Radiocomunicaciones</w:t>
      </w:r>
      <w:r w:rsidRPr="00401F6B">
        <w:rPr>
          <w:lang w:val="es-ES_tradnl"/>
        </w:rPr>
        <w:t xml:space="preserve"> de la Resolución </w:t>
      </w:r>
      <w:r w:rsidRPr="00A645CF">
        <w:rPr>
          <w:b/>
          <w:bCs/>
          <w:lang w:val="es-ES_tradnl"/>
        </w:rPr>
        <w:t>85</w:t>
      </w:r>
      <w:r w:rsidRPr="005601DB">
        <w:rPr>
          <w:b/>
          <w:bCs/>
          <w:lang w:val="es-ES_tradnl"/>
        </w:rPr>
        <w:t xml:space="preserve"> (CMR-03)</w:t>
      </w:r>
      <w:r w:rsidRPr="00401F6B">
        <w:rPr>
          <w:lang w:val="es-ES_tradnl"/>
        </w:rPr>
        <w:t>.</w:t>
      </w:r>
    </w:p>
    <w:p w:rsidR="00401F6B" w:rsidRPr="00401F6B" w:rsidRDefault="00401F6B" w:rsidP="008F58BF">
      <w:pPr>
        <w:rPr>
          <w:lang w:val="es-ES_tradnl"/>
        </w:rPr>
      </w:pPr>
      <w:r w:rsidRPr="00401F6B">
        <w:rPr>
          <w:lang w:val="es-ES_tradnl"/>
        </w:rPr>
        <w:t xml:space="preserve">De conformidad con el </w:t>
      </w:r>
      <w:r w:rsidRPr="00A645CF">
        <w:rPr>
          <w:i/>
          <w:iCs/>
          <w:lang w:val="es-ES_tradnl"/>
        </w:rPr>
        <w:t>encarga al Director de la Oficina de Radiocomunicaciones</w:t>
      </w:r>
      <w:r w:rsidRPr="00401F6B">
        <w:rPr>
          <w:lang w:val="es-ES_tradnl"/>
        </w:rPr>
        <w:t xml:space="preserve"> 2 y 3 de la Resolución </w:t>
      </w:r>
      <w:r w:rsidRPr="00A645CF">
        <w:rPr>
          <w:b/>
          <w:bCs/>
          <w:lang w:val="es-ES_tradnl"/>
        </w:rPr>
        <w:t>85</w:t>
      </w:r>
      <w:r w:rsidRPr="00401F6B">
        <w:rPr>
          <w:lang w:val="es-ES_tradnl"/>
        </w:rPr>
        <w:t>, la Oficina iniciará un examen de sus conclusiones con arreglo a los números</w:t>
      </w:r>
      <w:r w:rsidR="00A645CF">
        <w:rPr>
          <w:lang w:val="es-ES_tradnl"/>
        </w:rPr>
        <w:t> </w:t>
      </w:r>
      <w:r w:rsidRPr="00A645CF">
        <w:rPr>
          <w:b/>
          <w:bCs/>
          <w:lang w:val="es-ES_tradnl"/>
        </w:rPr>
        <w:t>9.35</w:t>
      </w:r>
      <w:r w:rsidRPr="00401F6B">
        <w:rPr>
          <w:lang w:val="es-ES_tradnl"/>
        </w:rPr>
        <w:t xml:space="preserve"> y </w:t>
      </w:r>
      <w:r w:rsidRPr="00A645CF">
        <w:rPr>
          <w:b/>
          <w:bCs/>
          <w:lang w:val="es-ES_tradnl"/>
        </w:rPr>
        <w:t>11.31</w:t>
      </w:r>
      <w:r w:rsidRPr="00401F6B">
        <w:rPr>
          <w:lang w:val="es-ES_tradnl"/>
        </w:rPr>
        <w:t xml:space="preserve">, según proceda, y </w:t>
      </w:r>
      <w:r w:rsidR="004724AB">
        <w:rPr>
          <w:lang w:val="es-ES_tradnl"/>
        </w:rPr>
        <w:t xml:space="preserve">de </w:t>
      </w:r>
      <w:r w:rsidRPr="00401F6B">
        <w:rPr>
          <w:lang w:val="es-ES_tradnl"/>
        </w:rPr>
        <w:t xml:space="preserve">los requisitos de coordinación de los números </w:t>
      </w:r>
      <w:r w:rsidRPr="00A645CF">
        <w:rPr>
          <w:b/>
          <w:bCs/>
          <w:lang w:val="es-ES_tradnl"/>
        </w:rPr>
        <w:t>9.7A</w:t>
      </w:r>
      <w:r w:rsidRPr="00401F6B">
        <w:rPr>
          <w:lang w:val="es-ES_tradnl"/>
        </w:rPr>
        <w:t xml:space="preserve"> y </w:t>
      </w:r>
      <w:r w:rsidRPr="00A645CF">
        <w:rPr>
          <w:b/>
          <w:bCs/>
          <w:lang w:val="es-ES_tradnl"/>
        </w:rPr>
        <w:t>9.7B</w:t>
      </w:r>
      <w:r w:rsidRPr="00401F6B">
        <w:rPr>
          <w:lang w:val="es-ES_tradnl"/>
        </w:rPr>
        <w:t>.</w:t>
      </w:r>
    </w:p>
    <w:p w:rsidR="00E27638" w:rsidRDefault="00E27638" w:rsidP="00E27638">
      <w:pPr>
        <w:rPr>
          <w:lang w:val="es-ES_tradnl"/>
        </w:rPr>
      </w:pPr>
      <w:r>
        <w:rPr>
          <w:lang w:val="es-ES_tradnl"/>
        </w:rPr>
        <w:br w:type="page"/>
      </w:r>
    </w:p>
    <w:p w:rsidR="00401F6B" w:rsidRPr="00401F6B" w:rsidRDefault="00401F6B" w:rsidP="00401F6B">
      <w:pPr>
        <w:rPr>
          <w:lang w:val="es-ES_tradnl"/>
        </w:rPr>
      </w:pPr>
      <w:r w:rsidRPr="00401F6B">
        <w:rPr>
          <w:lang w:val="es-ES_tradnl"/>
        </w:rPr>
        <w:lastRenderedPageBreak/>
        <w:t>La Oficina determinará si las asignaciones de frecuencia</w:t>
      </w:r>
      <w:r w:rsidR="00E52BB1">
        <w:rPr>
          <w:lang w:val="es-ES_tradnl"/>
        </w:rPr>
        <w:t>s</w:t>
      </w:r>
      <w:r w:rsidRPr="00401F6B">
        <w:rPr>
          <w:lang w:val="es-ES_tradnl"/>
        </w:rPr>
        <w:t xml:space="preserve"> a:</w:t>
      </w:r>
    </w:p>
    <w:p w:rsidR="00401F6B" w:rsidRPr="00401F6B" w:rsidRDefault="00A645CF" w:rsidP="00A645CF">
      <w:pPr>
        <w:pStyle w:val="enumlev1"/>
        <w:rPr>
          <w:lang w:val="es-ES_tradnl"/>
        </w:rPr>
      </w:pPr>
      <w:r>
        <w:rPr>
          <w:lang w:val="es-ES_tradnl"/>
        </w:rPr>
        <w:t>a)</w:t>
      </w:r>
      <w:r w:rsidR="00401F6B" w:rsidRPr="00401F6B">
        <w:rPr>
          <w:lang w:val="es-ES_tradnl"/>
        </w:rPr>
        <w:tab/>
        <w:t xml:space="preserve">sistemas de satélites no OSG del SFS cumplen los límites de </w:t>
      </w:r>
      <w:r w:rsidR="008F58BF" w:rsidRPr="00401F6B">
        <w:rPr>
          <w:lang w:val="es-ES_tradnl"/>
        </w:rPr>
        <w:t xml:space="preserve">DFPE </w:t>
      </w:r>
      <w:r w:rsidR="00401F6B" w:rsidRPr="00401F6B">
        <w:rPr>
          <w:lang w:val="es-ES_tradnl"/>
        </w:rPr>
        <w:t>estipulados en los Cuadros</w:t>
      </w:r>
      <w:r>
        <w:rPr>
          <w:lang w:val="es-ES_tradnl"/>
        </w:rPr>
        <w:t> </w:t>
      </w:r>
      <w:r w:rsidR="00401F6B" w:rsidRPr="00A645CF">
        <w:rPr>
          <w:b/>
          <w:bCs/>
          <w:lang w:val="es-ES_tradnl"/>
        </w:rPr>
        <w:t>22-1A</w:t>
      </w:r>
      <w:r w:rsidR="00401F6B" w:rsidRPr="00401F6B">
        <w:rPr>
          <w:lang w:val="es-ES_tradnl"/>
        </w:rPr>
        <w:t xml:space="preserve">, </w:t>
      </w:r>
      <w:r w:rsidR="00401F6B" w:rsidRPr="00A645CF">
        <w:rPr>
          <w:b/>
          <w:bCs/>
          <w:lang w:val="es-ES_tradnl"/>
        </w:rPr>
        <w:t>22 1B</w:t>
      </w:r>
      <w:r w:rsidR="00401F6B" w:rsidRPr="00401F6B">
        <w:rPr>
          <w:lang w:val="es-ES_tradnl"/>
        </w:rPr>
        <w:t xml:space="preserve">, </w:t>
      </w:r>
      <w:r w:rsidR="00401F6B" w:rsidRPr="00A645CF">
        <w:rPr>
          <w:b/>
          <w:bCs/>
          <w:lang w:val="es-ES_tradnl"/>
        </w:rPr>
        <w:t>22-1C</w:t>
      </w:r>
      <w:r w:rsidR="00401F6B" w:rsidRPr="00401F6B">
        <w:rPr>
          <w:lang w:val="es-ES_tradnl"/>
        </w:rPr>
        <w:t xml:space="preserve">, </w:t>
      </w:r>
      <w:r w:rsidR="00401F6B" w:rsidRPr="00A645CF">
        <w:rPr>
          <w:b/>
          <w:bCs/>
          <w:lang w:val="es-ES_tradnl"/>
        </w:rPr>
        <w:t>22-1D</w:t>
      </w:r>
      <w:r w:rsidR="00401F6B" w:rsidRPr="00401F6B">
        <w:rPr>
          <w:lang w:val="es-ES_tradnl"/>
        </w:rPr>
        <w:t xml:space="preserve">, </w:t>
      </w:r>
      <w:r w:rsidR="00401F6B" w:rsidRPr="00A645CF">
        <w:rPr>
          <w:b/>
          <w:bCs/>
          <w:lang w:val="es-ES_tradnl"/>
        </w:rPr>
        <w:t>22-1E</w:t>
      </w:r>
      <w:r w:rsidR="00401F6B" w:rsidRPr="00401F6B">
        <w:rPr>
          <w:lang w:val="es-ES_tradnl"/>
        </w:rPr>
        <w:t xml:space="preserve">, </w:t>
      </w:r>
      <w:r w:rsidR="00401F6B" w:rsidRPr="00A645CF">
        <w:rPr>
          <w:b/>
          <w:bCs/>
          <w:lang w:val="es-ES_tradnl"/>
        </w:rPr>
        <w:t>22-2</w:t>
      </w:r>
      <w:r w:rsidR="00401F6B" w:rsidRPr="00401F6B">
        <w:rPr>
          <w:lang w:val="es-ES_tradnl"/>
        </w:rPr>
        <w:t xml:space="preserve"> y </w:t>
      </w:r>
      <w:r w:rsidR="00401F6B" w:rsidRPr="00A645CF">
        <w:rPr>
          <w:b/>
          <w:bCs/>
          <w:lang w:val="es-ES_tradnl"/>
        </w:rPr>
        <w:t>22-3</w:t>
      </w:r>
      <w:r w:rsidR="00401F6B" w:rsidRPr="00401F6B">
        <w:rPr>
          <w:lang w:val="es-ES_tradnl"/>
        </w:rPr>
        <w:t xml:space="preserve"> del Artículo </w:t>
      </w:r>
      <w:r w:rsidR="00401F6B" w:rsidRPr="00A645CF">
        <w:rPr>
          <w:b/>
          <w:bCs/>
          <w:lang w:val="es-ES_tradnl"/>
        </w:rPr>
        <w:t>22</w:t>
      </w:r>
      <w:r w:rsidR="00401F6B" w:rsidRPr="00401F6B">
        <w:rPr>
          <w:lang w:val="es-ES_tradnl"/>
        </w:rPr>
        <w:t>;</w:t>
      </w:r>
    </w:p>
    <w:p w:rsidR="00401F6B" w:rsidRPr="00401F6B" w:rsidRDefault="00A645CF" w:rsidP="00A645CF">
      <w:pPr>
        <w:pStyle w:val="enumlev1"/>
        <w:rPr>
          <w:lang w:val="es-ES_tradnl"/>
        </w:rPr>
      </w:pPr>
      <w:r>
        <w:rPr>
          <w:lang w:val="es-ES_tradnl"/>
        </w:rPr>
        <w:t>b)</w:t>
      </w:r>
      <w:r w:rsidR="00401F6B" w:rsidRPr="00401F6B">
        <w:rPr>
          <w:lang w:val="es-ES_tradnl"/>
        </w:rPr>
        <w:tab/>
        <w:t xml:space="preserve">estaciones terrenas grandes específicas (bajo ciertas condiciones) requieren la coordinación con arreglo al número </w:t>
      </w:r>
      <w:r w:rsidR="00401F6B" w:rsidRPr="00A645CF">
        <w:rPr>
          <w:b/>
          <w:bCs/>
          <w:lang w:val="es-ES_tradnl"/>
        </w:rPr>
        <w:t>9.7A</w:t>
      </w:r>
      <w:r w:rsidR="00401F6B" w:rsidRPr="00401F6B">
        <w:rPr>
          <w:lang w:val="es-ES_tradnl"/>
        </w:rPr>
        <w:t xml:space="preserve"> con respecto a cualquier sistemas de satélites no OSG del SFS utilizando los umbrales de coordinación del Apéndice </w:t>
      </w:r>
      <w:r w:rsidR="00401F6B" w:rsidRPr="00A645CF">
        <w:rPr>
          <w:b/>
          <w:bCs/>
          <w:lang w:val="es-ES_tradnl"/>
        </w:rPr>
        <w:t>5</w:t>
      </w:r>
      <w:r w:rsidR="00401F6B" w:rsidRPr="00401F6B">
        <w:rPr>
          <w:lang w:val="es-ES_tradnl"/>
        </w:rPr>
        <w:t>; o</w:t>
      </w:r>
    </w:p>
    <w:p w:rsidR="00401F6B" w:rsidRPr="00401F6B" w:rsidRDefault="00401F6B" w:rsidP="004724AB">
      <w:pPr>
        <w:pStyle w:val="enumlev1"/>
        <w:rPr>
          <w:lang w:val="es-ES_tradnl"/>
        </w:rPr>
      </w:pPr>
      <w:r w:rsidRPr="00401F6B">
        <w:rPr>
          <w:lang w:val="es-ES_tradnl"/>
        </w:rPr>
        <w:t>c)</w:t>
      </w:r>
      <w:r w:rsidRPr="00401F6B">
        <w:rPr>
          <w:lang w:val="es-ES_tradnl"/>
        </w:rPr>
        <w:tab/>
        <w:t xml:space="preserve">sistemas de satélites no OSG del SFS requieren la coordinación con arreglo al número </w:t>
      </w:r>
      <w:r w:rsidRPr="00A645CF">
        <w:rPr>
          <w:b/>
          <w:bCs/>
          <w:lang w:val="es-ES_tradnl"/>
        </w:rPr>
        <w:t>9.7B</w:t>
      </w:r>
      <w:r w:rsidRPr="00401F6B">
        <w:rPr>
          <w:lang w:val="es-ES_tradnl"/>
        </w:rPr>
        <w:t xml:space="preserve"> respecto de cualquier estación terrena grande (bajo ciertas condiciones) utilizando los umbrales de coordinación del Apéndice </w:t>
      </w:r>
      <w:r w:rsidRPr="00A645CF">
        <w:rPr>
          <w:b/>
          <w:bCs/>
          <w:lang w:val="es-ES_tradnl"/>
        </w:rPr>
        <w:t>5</w:t>
      </w:r>
      <w:r w:rsidRPr="00401F6B">
        <w:rPr>
          <w:lang w:val="es-ES_tradnl"/>
        </w:rPr>
        <w:t>.</w:t>
      </w:r>
    </w:p>
    <w:p w:rsidR="00401F6B" w:rsidRPr="00401F6B" w:rsidRDefault="00401F6B" w:rsidP="004724AB">
      <w:pPr>
        <w:rPr>
          <w:lang w:val="es-ES_tradnl"/>
        </w:rPr>
      </w:pPr>
      <w:r w:rsidRPr="00401F6B">
        <w:rPr>
          <w:lang w:val="es-ES_tradnl"/>
        </w:rPr>
        <w:t>A tal efecto, la Oficina se pondrá en contacto por separado con cada administración que haya presentado sistemas de satélites no OSG del SFS, que incluyan asignaciones de frecuencia</w:t>
      </w:r>
      <w:r w:rsidR="00E52BB1">
        <w:rPr>
          <w:lang w:val="es-ES_tradnl"/>
        </w:rPr>
        <w:t>s</w:t>
      </w:r>
      <w:r w:rsidRPr="00401F6B">
        <w:rPr>
          <w:lang w:val="es-ES_tradnl"/>
        </w:rPr>
        <w:t xml:space="preserve"> con conclusiones favorables de conformidad con la Resolución </w:t>
      </w:r>
      <w:r w:rsidRPr="00A645CF">
        <w:rPr>
          <w:b/>
          <w:bCs/>
          <w:lang w:val="es-ES_tradnl"/>
        </w:rPr>
        <w:t>85</w:t>
      </w:r>
      <w:r w:rsidRPr="005601DB">
        <w:rPr>
          <w:b/>
          <w:bCs/>
          <w:lang w:val="es-ES_tradnl"/>
        </w:rPr>
        <w:t xml:space="preserve"> (CMR-03)</w:t>
      </w:r>
      <w:r w:rsidRPr="00401F6B">
        <w:rPr>
          <w:lang w:val="es-ES_tradnl"/>
        </w:rPr>
        <w:t>, y pidió a la administración que presentar</w:t>
      </w:r>
      <w:r w:rsidR="00175CF2">
        <w:rPr>
          <w:lang w:val="es-ES_tradnl"/>
        </w:rPr>
        <w:t>a</w:t>
      </w:r>
      <w:r w:rsidRPr="00401F6B">
        <w:rPr>
          <w:lang w:val="es-ES_tradnl"/>
        </w:rPr>
        <w:t xml:space="preserve"> lo siguiente dentro de los tres meses desde la fecha de envío de la comunicación:</w:t>
      </w:r>
    </w:p>
    <w:p w:rsidR="00401F6B" w:rsidRPr="00401F6B" w:rsidRDefault="00A645CF" w:rsidP="004724AB">
      <w:pPr>
        <w:pStyle w:val="enumlev1"/>
        <w:rPr>
          <w:lang w:val="es-ES_tradnl"/>
        </w:rPr>
      </w:pPr>
      <w:r w:rsidRPr="00A645CF">
        <w:rPr>
          <w:lang w:val="es-ES_tradnl"/>
        </w:rPr>
        <w:t>–</w:t>
      </w:r>
      <w:r w:rsidR="00401F6B" w:rsidRPr="00401F6B">
        <w:rPr>
          <w:lang w:val="es-ES_tradnl"/>
        </w:rPr>
        <w:tab/>
      </w:r>
      <w:r>
        <w:rPr>
          <w:lang w:val="es-ES_tradnl"/>
        </w:rPr>
        <w:t>l</w:t>
      </w:r>
      <w:r w:rsidR="00401F6B" w:rsidRPr="00401F6B">
        <w:rPr>
          <w:lang w:val="es-ES_tradnl"/>
        </w:rPr>
        <w:t xml:space="preserve">os datos de la máscara de </w:t>
      </w:r>
      <w:r w:rsidR="00E22A1F" w:rsidRPr="00401F6B">
        <w:rPr>
          <w:lang w:val="es-ES_tradnl"/>
        </w:rPr>
        <w:t xml:space="preserve">dfp </w:t>
      </w:r>
      <w:r w:rsidR="00401F6B" w:rsidRPr="00401F6B">
        <w:rPr>
          <w:lang w:val="es-ES_tradnl"/>
        </w:rPr>
        <w:t xml:space="preserve">y </w:t>
      </w:r>
      <w:r w:rsidR="00696B30" w:rsidRPr="00401F6B">
        <w:rPr>
          <w:lang w:val="es-ES_tradnl"/>
        </w:rPr>
        <w:t>p</w:t>
      </w:r>
      <w:r w:rsidR="00696B30">
        <w:rPr>
          <w:lang w:val="es-ES_tradnl"/>
        </w:rPr>
        <w:t>.</w:t>
      </w:r>
      <w:r w:rsidR="00696B30" w:rsidRPr="00401F6B">
        <w:rPr>
          <w:lang w:val="es-ES_tradnl"/>
        </w:rPr>
        <w:t>i</w:t>
      </w:r>
      <w:r w:rsidR="00696B30">
        <w:rPr>
          <w:lang w:val="es-ES_tradnl"/>
        </w:rPr>
        <w:t>.</w:t>
      </w:r>
      <w:r w:rsidR="00696B30" w:rsidRPr="00401F6B">
        <w:rPr>
          <w:lang w:val="es-ES_tradnl"/>
        </w:rPr>
        <w:t>r</w:t>
      </w:r>
      <w:r w:rsidR="00696B30">
        <w:rPr>
          <w:lang w:val="es-ES_tradnl"/>
        </w:rPr>
        <w:t>.</w:t>
      </w:r>
      <w:r w:rsidR="00696B30" w:rsidRPr="00401F6B">
        <w:rPr>
          <w:lang w:val="es-ES_tradnl"/>
        </w:rPr>
        <w:t>e</w:t>
      </w:r>
      <w:r w:rsidR="00696B30">
        <w:rPr>
          <w:lang w:val="es-ES_tradnl"/>
        </w:rPr>
        <w:t>.</w:t>
      </w:r>
      <w:r w:rsidR="00401F6B" w:rsidRPr="00401F6B">
        <w:rPr>
          <w:lang w:val="es-ES_tradnl"/>
        </w:rPr>
        <w:t xml:space="preserve"> (datos del </w:t>
      </w:r>
      <w:r w:rsidR="004724AB">
        <w:rPr>
          <w:lang w:val="es-ES_tradnl"/>
        </w:rPr>
        <w:t>§</w:t>
      </w:r>
      <w:r w:rsidR="008F58BF">
        <w:rPr>
          <w:lang w:val="es-ES_tradnl"/>
        </w:rPr>
        <w:t> </w:t>
      </w:r>
      <w:r w:rsidR="00401F6B" w:rsidRPr="00401F6B">
        <w:rPr>
          <w:lang w:val="es-ES_tradnl"/>
        </w:rPr>
        <w:t xml:space="preserve">A.14 del Apéndice </w:t>
      </w:r>
      <w:r w:rsidR="00401F6B" w:rsidRPr="008F0730">
        <w:rPr>
          <w:b/>
          <w:bCs/>
          <w:lang w:val="es-ES_tradnl"/>
        </w:rPr>
        <w:t>4</w:t>
      </w:r>
      <w:r w:rsidR="00401F6B" w:rsidRPr="00401F6B">
        <w:rPr>
          <w:lang w:val="es-ES_tradnl"/>
        </w:rPr>
        <w:t xml:space="preserve">) de conformidad con la descripción detallada de las máscaras en la Recomendación UIT-R S.1503-2, Parte B. Los datos de la máscara deben presentarse </w:t>
      </w:r>
      <w:r w:rsidR="004724AB">
        <w:rPr>
          <w:lang w:val="es-ES_tradnl"/>
        </w:rPr>
        <w:t>en</w:t>
      </w:r>
      <w:r w:rsidR="00401F6B" w:rsidRPr="00401F6B">
        <w:rPr>
          <w:lang w:val="es-ES_tradnl"/>
        </w:rPr>
        <w:t xml:space="preserve"> el formato XML, cuya descripción figura en </w:t>
      </w:r>
      <w:hyperlink r:id="rId9" w:history="1">
        <w:r w:rsidRPr="00195F83">
          <w:rPr>
            <w:rStyle w:val="Hyperlink"/>
            <w:lang w:val="es-ES_tradnl"/>
          </w:rPr>
          <w:t>www.itu.int/ITU-R/go/space-mask-XMLfile/en</w:t>
        </w:r>
      </w:hyperlink>
      <w:r w:rsidR="00401F6B" w:rsidRPr="00401F6B">
        <w:rPr>
          <w:lang w:val="es-ES_tradnl"/>
        </w:rPr>
        <w:t>; y</w:t>
      </w:r>
    </w:p>
    <w:p w:rsidR="00401F6B" w:rsidRPr="00401F6B" w:rsidRDefault="00A645CF" w:rsidP="005601DB">
      <w:pPr>
        <w:pStyle w:val="enumlev1"/>
        <w:rPr>
          <w:lang w:val="es-ES_tradnl"/>
        </w:rPr>
      </w:pPr>
      <w:r w:rsidRPr="00A645CF">
        <w:rPr>
          <w:lang w:val="es-ES_tradnl"/>
        </w:rPr>
        <w:t>–</w:t>
      </w:r>
      <w:r w:rsidR="00401F6B" w:rsidRPr="00401F6B">
        <w:rPr>
          <w:lang w:val="es-ES_tradnl"/>
        </w:rPr>
        <w:tab/>
      </w:r>
      <w:r>
        <w:rPr>
          <w:lang w:val="es-ES_tradnl"/>
        </w:rPr>
        <w:t>c</w:t>
      </w:r>
      <w:r w:rsidR="00401F6B" w:rsidRPr="00401F6B">
        <w:rPr>
          <w:lang w:val="es-ES_tradnl"/>
        </w:rPr>
        <w:t xml:space="preserve">ualesquiera otros datos del Apéndice </w:t>
      </w:r>
      <w:r w:rsidR="00401F6B" w:rsidRPr="008F0730">
        <w:rPr>
          <w:b/>
          <w:bCs/>
          <w:lang w:val="es-ES_tradnl"/>
        </w:rPr>
        <w:t>4</w:t>
      </w:r>
      <w:r w:rsidR="00401F6B" w:rsidRPr="00401F6B">
        <w:rPr>
          <w:lang w:val="es-ES_tradnl"/>
        </w:rPr>
        <w:t xml:space="preserve"> necesario</w:t>
      </w:r>
      <w:r w:rsidR="00696B30">
        <w:rPr>
          <w:lang w:val="es-ES_tradnl"/>
        </w:rPr>
        <w:t>s</w:t>
      </w:r>
      <w:r w:rsidR="00401F6B" w:rsidRPr="00401F6B">
        <w:rPr>
          <w:lang w:val="es-ES_tradnl"/>
        </w:rPr>
        <w:t xml:space="preserve"> para estaciones en una banda de frecuencia</w:t>
      </w:r>
      <w:r w:rsidR="00E52BB1">
        <w:rPr>
          <w:lang w:val="es-ES_tradnl"/>
        </w:rPr>
        <w:t>s</w:t>
      </w:r>
      <w:r w:rsidR="00401F6B" w:rsidRPr="00401F6B">
        <w:rPr>
          <w:lang w:val="es-ES_tradnl"/>
        </w:rPr>
        <w:t xml:space="preserve"> sujeta a los números 22.5C, 22.5D </w:t>
      </w:r>
      <w:r w:rsidR="005601DB">
        <w:rPr>
          <w:lang w:val="es-ES_tradnl"/>
        </w:rPr>
        <w:t>o</w:t>
      </w:r>
      <w:r w:rsidR="00401F6B" w:rsidRPr="00401F6B">
        <w:rPr>
          <w:lang w:val="es-ES_tradnl"/>
        </w:rPr>
        <w:t xml:space="preserve"> 22.5F (es decir, con sujeción al examen de la </w:t>
      </w:r>
      <w:r w:rsidR="008F58BF" w:rsidRPr="00401F6B">
        <w:rPr>
          <w:lang w:val="es-ES_tradnl"/>
        </w:rPr>
        <w:t>DFPE</w:t>
      </w:r>
      <w:r w:rsidR="00401F6B" w:rsidRPr="00401F6B">
        <w:rPr>
          <w:lang w:val="es-ES_tradnl"/>
        </w:rPr>
        <w:t xml:space="preserve">) que se han omitido en la comunicación original o se hayan de modificar para ejecutar correctamente el software de validación de la </w:t>
      </w:r>
      <w:r w:rsidR="004724AB" w:rsidRPr="00401F6B">
        <w:rPr>
          <w:lang w:val="es-ES_tradnl"/>
        </w:rPr>
        <w:t xml:space="preserve">DFPE </w:t>
      </w:r>
      <w:r w:rsidR="00401F6B" w:rsidRPr="00401F6B">
        <w:rPr>
          <w:lang w:val="es-ES_tradnl"/>
        </w:rPr>
        <w:t>junto con los d</w:t>
      </w:r>
      <w:r w:rsidR="005601DB">
        <w:rPr>
          <w:lang w:val="es-ES_tradnl"/>
        </w:rPr>
        <w:t xml:space="preserve">atos de la máscara de </w:t>
      </w:r>
      <w:r w:rsidR="00E22A1F">
        <w:rPr>
          <w:lang w:val="es-ES_tradnl"/>
        </w:rPr>
        <w:t>dfp</w:t>
      </w:r>
      <w:r w:rsidR="005601DB">
        <w:rPr>
          <w:lang w:val="es-ES_tradnl"/>
        </w:rPr>
        <w:t>/</w:t>
      </w:r>
      <w:r w:rsidR="00696B30">
        <w:rPr>
          <w:lang w:val="es-ES_tradnl"/>
        </w:rPr>
        <w:t>p.i.r.e</w:t>
      </w:r>
      <w:r w:rsidR="005601DB">
        <w:rPr>
          <w:lang w:val="es-ES_tradnl"/>
        </w:rPr>
        <w:t>.</w:t>
      </w:r>
    </w:p>
    <w:p w:rsidR="00401F6B" w:rsidRPr="00401F6B" w:rsidRDefault="00401F6B" w:rsidP="00401F6B">
      <w:pPr>
        <w:rPr>
          <w:lang w:val="es-ES_tradnl"/>
        </w:rPr>
      </w:pPr>
      <w:r w:rsidRPr="00401F6B">
        <w:rPr>
          <w:lang w:val="es-ES_tradnl"/>
        </w:rPr>
        <w:t>La fecha oficial de recepción de las asignaciones de frecuencias del caso no se modificará si la información o aclaración se aporta dentro del plazo de tr</w:t>
      </w:r>
      <w:r w:rsidR="00E52BB1">
        <w:rPr>
          <w:lang w:val="es-ES_tradnl"/>
        </w:rPr>
        <w:t>es meses</w:t>
      </w:r>
      <w:r w:rsidR="004724AB">
        <w:rPr>
          <w:lang w:val="es-ES_tradnl"/>
        </w:rPr>
        <w:t xml:space="preserve"> indicado</w:t>
      </w:r>
      <w:r w:rsidR="00E52BB1">
        <w:rPr>
          <w:lang w:val="es-ES_tradnl"/>
        </w:rPr>
        <w:t>. En caso de un sistema</w:t>
      </w:r>
      <w:r w:rsidRPr="00401F6B">
        <w:rPr>
          <w:lang w:val="es-ES_tradnl"/>
        </w:rPr>
        <w:t xml:space="preserve"> de satélites que conste de diferentes subconjuntos de características orbitales mutuamente exclusivas, se habrán de proporcionar los datos solicitados para cada subconjunto de parámetros orbitales con sujeción a los límites del Artículo </w:t>
      </w:r>
      <w:r w:rsidRPr="00A645CF">
        <w:rPr>
          <w:b/>
          <w:bCs/>
          <w:lang w:val="es-ES_tradnl"/>
        </w:rPr>
        <w:t>22</w:t>
      </w:r>
      <w:r w:rsidRPr="00401F6B">
        <w:rPr>
          <w:lang w:val="es-ES_tradnl"/>
        </w:rPr>
        <w:t xml:space="preserve"> y al número </w:t>
      </w:r>
      <w:r w:rsidRPr="00A645CF">
        <w:rPr>
          <w:b/>
          <w:bCs/>
          <w:lang w:val="es-ES_tradnl"/>
        </w:rPr>
        <w:t>9.7B</w:t>
      </w:r>
      <w:r w:rsidRPr="00401F6B">
        <w:rPr>
          <w:lang w:val="es-ES_tradnl"/>
        </w:rPr>
        <w:t>.</w:t>
      </w:r>
    </w:p>
    <w:p w:rsidR="00401F6B" w:rsidRPr="00401F6B" w:rsidRDefault="00401F6B" w:rsidP="00401F6B">
      <w:pPr>
        <w:rPr>
          <w:lang w:val="es-ES_tradnl"/>
        </w:rPr>
      </w:pPr>
      <w:r w:rsidRPr="00401F6B">
        <w:rPr>
          <w:lang w:val="es-ES_tradnl"/>
        </w:rPr>
        <w:t>Si la información solicitada no se proporciona dentro del mencionado plazo de tres meses, la comunicación se considerará incompleta y se establecerá una nueva fecha de recepción una vez se haya recib</w:t>
      </w:r>
      <w:r w:rsidR="00E52BB1">
        <w:rPr>
          <w:lang w:val="es-ES_tradnl"/>
        </w:rPr>
        <w:t>ido toda la información.</w:t>
      </w:r>
    </w:p>
    <w:p w:rsidR="00401F6B" w:rsidRPr="00401F6B" w:rsidRDefault="00401F6B" w:rsidP="00342300">
      <w:pPr>
        <w:rPr>
          <w:lang w:val="es-ES_tradnl"/>
        </w:rPr>
      </w:pPr>
      <w:r w:rsidRPr="00401F6B">
        <w:rPr>
          <w:lang w:val="es-ES_tradnl"/>
        </w:rPr>
        <w:t xml:space="preserve">Las máscaras de </w:t>
      </w:r>
      <w:r w:rsidR="00E22A1F" w:rsidRPr="00401F6B">
        <w:rPr>
          <w:lang w:val="es-ES_tradnl"/>
        </w:rPr>
        <w:t xml:space="preserve">dfp </w:t>
      </w:r>
      <w:r w:rsidRPr="00401F6B">
        <w:rPr>
          <w:lang w:val="es-ES_tradnl"/>
        </w:rPr>
        <w:t xml:space="preserve">y </w:t>
      </w:r>
      <w:r w:rsidR="00696B30" w:rsidRPr="00401F6B">
        <w:rPr>
          <w:lang w:val="es-ES_tradnl"/>
        </w:rPr>
        <w:t>p</w:t>
      </w:r>
      <w:r w:rsidR="00696B30">
        <w:rPr>
          <w:lang w:val="es-ES_tradnl"/>
        </w:rPr>
        <w:t>.</w:t>
      </w:r>
      <w:r w:rsidR="00696B30" w:rsidRPr="00401F6B">
        <w:rPr>
          <w:lang w:val="es-ES_tradnl"/>
        </w:rPr>
        <w:t>i</w:t>
      </w:r>
      <w:r w:rsidR="00696B30">
        <w:rPr>
          <w:lang w:val="es-ES_tradnl"/>
        </w:rPr>
        <w:t>.</w:t>
      </w:r>
      <w:r w:rsidR="00696B30" w:rsidRPr="00401F6B">
        <w:rPr>
          <w:lang w:val="es-ES_tradnl"/>
        </w:rPr>
        <w:t>r</w:t>
      </w:r>
      <w:r w:rsidR="00696B30">
        <w:rPr>
          <w:lang w:val="es-ES_tradnl"/>
        </w:rPr>
        <w:t>.</w:t>
      </w:r>
      <w:r w:rsidR="00696B30" w:rsidRPr="00401F6B">
        <w:rPr>
          <w:lang w:val="es-ES_tradnl"/>
        </w:rPr>
        <w:t>e</w:t>
      </w:r>
      <w:r w:rsidR="00696B30">
        <w:rPr>
          <w:lang w:val="es-ES_tradnl"/>
        </w:rPr>
        <w:t>.</w:t>
      </w:r>
      <w:r w:rsidRPr="00401F6B">
        <w:rPr>
          <w:lang w:val="es-ES_tradnl"/>
        </w:rPr>
        <w:t xml:space="preserve"> junto con los resultados del examen de la </w:t>
      </w:r>
      <w:r w:rsidR="004724AB" w:rsidRPr="00401F6B">
        <w:rPr>
          <w:lang w:val="es-ES_tradnl"/>
        </w:rPr>
        <w:t xml:space="preserve">DFPE </w:t>
      </w:r>
      <w:r w:rsidRPr="00401F6B">
        <w:rPr>
          <w:lang w:val="es-ES_tradnl"/>
        </w:rPr>
        <w:t>se publicarán en la</w:t>
      </w:r>
      <w:r w:rsidR="00342300">
        <w:rPr>
          <w:lang w:val="es-ES_tradnl"/>
        </w:rPr>
        <w:t> </w:t>
      </w:r>
      <w:r w:rsidRPr="00401F6B">
        <w:rPr>
          <w:lang w:val="es-ES_tradnl"/>
        </w:rPr>
        <w:t>BR</w:t>
      </w:r>
      <w:r w:rsidR="00342300">
        <w:rPr>
          <w:lang w:val="es-ES_tradnl"/>
        </w:rPr>
        <w:t> </w:t>
      </w:r>
      <w:r w:rsidRPr="00401F6B">
        <w:rPr>
          <w:lang w:val="es-ES_tradnl"/>
        </w:rPr>
        <w:t>IFIC (</w:t>
      </w:r>
      <w:r w:rsidR="004724AB" w:rsidRPr="00401F6B">
        <w:rPr>
          <w:lang w:val="es-ES_tradnl"/>
        </w:rPr>
        <w:t xml:space="preserve">Servicios </w:t>
      </w:r>
      <w:r w:rsidRPr="00401F6B">
        <w:rPr>
          <w:lang w:val="es-ES_tradnl"/>
        </w:rPr>
        <w:t xml:space="preserve">espaciales) y en </w:t>
      </w:r>
      <w:hyperlink r:id="rId10" w:history="1">
        <w:r w:rsidR="00A645CF" w:rsidRPr="00195F83">
          <w:rPr>
            <w:rStyle w:val="Hyperlink"/>
            <w:lang w:val="es-ES_tradnl"/>
          </w:rPr>
          <w:t>www.itu.int/ITU-R/go/space-epfd/en</w:t>
        </w:r>
      </w:hyperlink>
      <w:r w:rsidRPr="00401F6B">
        <w:rPr>
          <w:lang w:val="es-ES_tradnl"/>
        </w:rPr>
        <w:t>.</w:t>
      </w:r>
    </w:p>
    <w:p w:rsidR="00401F6B" w:rsidRPr="00401F6B" w:rsidRDefault="00401F6B" w:rsidP="00342300">
      <w:pPr>
        <w:rPr>
          <w:lang w:val="es-ES_tradnl"/>
        </w:rPr>
      </w:pPr>
      <w:r w:rsidRPr="00401F6B">
        <w:rPr>
          <w:lang w:val="es-ES_tradnl"/>
        </w:rPr>
        <w:t xml:space="preserve">La Conferencia Mundial de Radiocomunicaciones de 2015 (CMR-15) examinó </w:t>
      </w:r>
      <w:r w:rsidR="004724AB">
        <w:rPr>
          <w:lang w:val="es-ES_tradnl"/>
        </w:rPr>
        <w:t>el informe sobre los</w:t>
      </w:r>
      <w:r w:rsidRPr="00401F6B">
        <w:rPr>
          <w:lang w:val="es-ES_tradnl"/>
        </w:rPr>
        <w:t xml:space="preserve"> progresos</w:t>
      </w:r>
      <w:r w:rsidR="004724AB">
        <w:rPr>
          <w:lang w:val="es-ES_tradnl"/>
        </w:rPr>
        <w:t xml:space="preserve"> logrados</w:t>
      </w:r>
      <w:r w:rsidRPr="00401F6B">
        <w:rPr>
          <w:lang w:val="es-ES_tradnl"/>
        </w:rPr>
        <w:t>, prese</w:t>
      </w:r>
      <w:r w:rsidR="004724AB">
        <w:rPr>
          <w:lang w:val="es-ES_tradnl"/>
        </w:rPr>
        <w:t xml:space="preserve">ntados por el Director de la BR </w:t>
      </w:r>
      <w:r w:rsidRPr="00401F6B">
        <w:rPr>
          <w:lang w:val="es-ES_tradnl"/>
        </w:rPr>
        <w:t xml:space="preserve">en </w:t>
      </w:r>
      <w:r w:rsidR="004724AB">
        <w:rPr>
          <w:lang w:val="es-ES_tradnl"/>
        </w:rPr>
        <w:t xml:space="preserve">relación con </w:t>
      </w:r>
      <w:r w:rsidRPr="00401F6B">
        <w:rPr>
          <w:lang w:val="es-ES_tradnl"/>
        </w:rPr>
        <w:t xml:space="preserve">el desarrollo del software de validación de la </w:t>
      </w:r>
      <w:r w:rsidR="004724AB" w:rsidRPr="00401F6B">
        <w:rPr>
          <w:lang w:val="es-ES_tradnl"/>
        </w:rPr>
        <w:t xml:space="preserve">DFPE </w:t>
      </w:r>
      <w:r w:rsidRPr="00401F6B">
        <w:rPr>
          <w:lang w:val="es-ES_tradnl"/>
        </w:rPr>
        <w:t xml:space="preserve">y aprobó en su </w:t>
      </w:r>
      <w:r w:rsidR="004724AB">
        <w:rPr>
          <w:lang w:val="es-ES_tradnl"/>
        </w:rPr>
        <w:t xml:space="preserve">Octava </w:t>
      </w:r>
      <w:r w:rsidRPr="00401F6B">
        <w:rPr>
          <w:lang w:val="es-ES_tradnl"/>
        </w:rPr>
        <w:t>Sesión Plenaria el segundo informe de la Comisión</w:t>
      </w:r>
      <w:r w:rsidR="00342300">
        <w:rPr>
          <w:lang w:val="es-ES_tradnl"/>
        </w:rPr>
        <w:t> </w:t>
      </w:r>
      <w:r w:rsidRPr="00401F6B">
        <w:rPr>
          <w:lang w:val="es-ES_tradnl"/>
        </w:rPr>
        <w:t xml:space="preserve">5 a la Sesión Plenaria (véanse los Documentos CMR15/416 </w:t>
      </w:r>
      <w:r w:rsidR="00A06B65">
        <w:rPr>
          <w:lang w:val="es-ES_tradnl"/>
        </w:rPr>
        <w:t>y</w:t>
      </w:r>
      <w:r w:rsidRPr="00401F6B">
        <w:rPr>
          <w:lang w:val="es-ES_tradnl"/>
        </w:rPr>
        <w:t xml:space="preserve"> CMR15/505), en la que se indicó lo siguiente:</w:t>
      </w:r>
    </w:p>
    <w:p w:rsidR="00401F6B" w:rsidRPr="00A645CF" w:rsidRDefault="00A645CF" w:rsidP="00A645CF">
      <w:pPr>
        <w:pStyle w:val="enumlev1"/>
        <w:rPr>
          <w:i/>
          <w:iCs/>
          <w:lang w:val="es-ES_tradnl"/>
        </w:rPr>
      </w:pPr>
      <w:r w:rsidRPr="00A645CF">
        <w:rPr>
          <w:lang w:val="es-ES_tradnl"/>
        </w:rPr>
        <w:t>–</w:t>
      </w:r>
      <w:r w:rsidR="00401F6B" w:rsidRPr="00401F6B">
        <w:rPr>
          <w:lang w:val="es-ES_tradnl"/>
        </w:rPr>
        <w:tab/>
      </w:r>
      <w:r w:rsidR="00401F6B" w:rsidRPr="00A645CF">
        <w:rPr>
          <w:i/>
          <w:iCs/>
          <w:lang w:val="es-ES_tradnl"/>
        </w:rPr>
        <w:t xml:space="preserve">En los casos en que el programa informático no sea capaz de establecer el modelo de determinados sistemas del SFS no OSG, la Resolución </w:t>
      </w:r>
      <w:r w:rsidR="00401F6B" w:rsidRPr="00A645CF">
        <w:rPr>
          <w:b/>
          <w:bCs/>
          <w:i/>
          <w:iCs/>
          <w:lang w:val="es-ES_tradnl"/>
        </w:rPr>
        <w:t>85</w:t>
      </w:r>
      <w:r w:rsidR="00401F6B" w:rsidRPr="005601DB">
        <w:rPr>
          <w:b/>
          <w:bCs/>
          <w:i/>
          <w:iCs/>
          <w:lang w:val="es-ES_tradnl"/>
        </w:rPr>
        <w:t xml:space="preserve"> (CMR-03)</w:t>
      </w:r>
      <w:r w:rsidR="00401F6B" w:rsidRPr="00A645CF">
        <w:rPr>
          <w:i/>
          <w:iCs/>
          <w:lang w:val="es-ES_tradnl"/>
        </w:rPr>
        <w:t xml:space="preserve"> seguirá aplicándose hasta que se haya acordado en el UIT-R una actualización de la Recomendación UIT-R S.1503 que mejore la modelización de dichos sistemas no OSG y se haya aplicado en el programa informático de validación de </w:t>
      </w:r>
      <w:r w:rsidR="008F58BF" w:rsidRPr="00A645CF">
        <w:rPr>
          <w:i/>
          <w:iCs/>
          <w:lang w:val="es-ES_tradnl"/>
        </w:rPr>
        <w:t>DFPE</w:t>
      </w:r>
      <w:r w:rsidR="00401F6B" w:rsidRPr="00A645CF">
        <w:rPr>
          <w:i/>
          <w:iCs/>
          <w:lang w:val="es-ES_tradnl"/>
        </w:rPr>
        <w:t>.</w:t>
      </w:r>
      <w:r w:rsidR="00696B30">
        <w:rPr>
          <w:i/>
          <w:iCs/>
          <w:lang w:val="es-ES_tradnl"/>
        </w:rPr>
        <w:t xml:space="preserve"> </w:t>
      </w:r>
      <w:r w:rsidR="00696B30" w:rsidRPr="00696B30">
        <w:rPr>
          <w:i/>
          <w:iCs/>
          <w:lang w:val="es-ES_tradnl"/>
        </w:rPr>
        <w:t>Eso no impediría a la Oficina proceder a verificar los sistemas del SFS no OSG para los que se pueda realizar una modelización con la versión existente del programa informático.</w:t>
      </w:r>
    </w:p>
    <w:p w:rsidR="00401F6B" w:rsidRPr="00401F6B" w:rsidRDefault="00401F6B" w:rsidP="004724AB">
      <w:pPr>
        <w:rPr>
          <w:lang w:val="es-ES_tradnl"/>
        </w:rPr>
      </w:pPr>
      <w:r w:rsidRPr="00401F6B">
        <w:rPr>
          <w:lang w:val="es-ES_tradnl"/>
        </w:rPr>
        <w:t xml:space="preserve">De conformidad con la decisión anterior, una vez se le haya indicado que </w:t>
      </w:r>
      <w:r w:rsidRPr="00A645CF">
        <w:rPr>
          <w:i/>
          <w:iCs/>
          <w:lang w:val="es-ES_tradnl"/>
        </w:rPr>
        <w:t>el software no puede modelizar adecuadamente un determinado sistema de satélites no OSG del SFS</w:t>
      </w:r>
      <w:r w:rsidRPr="00401F6B">
        <w:rPr>
          <w:lang w:val="es-ES_tradnl"/>
        </w:rPr>
        <w:t xml:space="preserve">, la Oficina elevará el caso a la Comisión de Estudio 4/Grupo de Trabajo 4A del UIT-R para que examine si es necesario mejorar la metodología de la Recomendación UIT-R S.1503-2 a fin de modelizar adecuadamente el sistema. A fin de facilitar a la Oficina y la </w:t>
      </w:r>
      <w:r w:rsidR="004724AB" w:rsidRPr="00401F6B">
        <w:rPr>
          <w:lang w:val="es-ES_tradnl"/>
        </w:rPr>
        <w:t xml:space="preserve">Comisión de Estudio 4/Grupo de Trabajo </w:t>
      </w:r>
      <w:r w:rsidRPr="00401F6B">
        <w:rPr>
          <w:lang w:val="es-ES_tradnl"/>
        </w:rPr>
        <w:t>4A este examen, se proporcionará una descripción técnica detallada, en la que se incluya, entre otras cosas:</w:t>
      </w:r>
    </w:p>
    <w:p w:rsidR="00401F6B" w:rsidRPr="00401F6B" w:rsidRDefault="00A645CF" w:rsidP="00E52BB1">
      <w:pPr>
        <w:pStyle w:val="enumlev1"/>
        <w:rPr>
          <w:lang w:val="es-ES_tradnl"/>
        </w:rPr>
      </w:pPr>
      <w:r>
        <w:rPr>
          <w:lang w:val="es-ES_tradnl"/>
        </w:rPr>
        <w:t>1</w:t>
      </w:r>
      <w:r w:rsidR="005601DB">
        <w:rPr>
          <w:lang w:val="es-ES_tradnl"/>
        </w:rPr>
        <w:t>)</w:t>
      </w:r>
      <w:r w:rsidR="00401F6B" w:rsidRPr="00401F6B">
        <w:rPr>
          <w:lang w:val="es-ES_tradnl"/>
        </w:rPr>
        <w:tab/>
      </w:r>
      <w:r w:rsidR="00E52BB1">
        <w:rPr>
          <w:lang w:val="es-ES_tradnl"/>
        </w:rPr>
        <w:t>l</w:t>
      </w:r>
      <w:r w:rsidR="00401F6B" w:rsidRPr="00401F6B">
        <w:rPr>
          <w:lang w:val="es-ES_tradnl"/>
        </w:rPr>
        <w:t xml:space="preserve">os resultados del cálculo utilizando el actual software de validación de la </w:t>
      </w:r>
      <w:r w:rsidR="004724AB" w:rsidRPr="00401F6B">
        <w:rPr>
          <w:lang w:val="es-ES_tradnl"/>
        </w:rPr>
        <w:t>DFPE</w:t>
      </w:r>
      <w:r w:rsidR="00401F6B" w:rsidRPr="00401F6B">
        <w:rPr>
          <w:lang w:val="es-ES_tradnl"/>
        </w:rPr>
        <w:t>;</w:t>
      </w:r>
    </w:p>
    <w:p w:rsidR="00401F6B" w:rsidRPr="00401F6B" w:rsidRDefault="00A645CF" w:rsidP="00E52BB1">
      <w:pPr>
        <w:pStyle w:val="enumlev1"/>
        <w:rPr>
          <w:lang w:val="es-ES_tradnl"/>
        </w:rPr>
      </w:pPr>
      <w:r>
        <w:rPr>
          <w:lang w:val="es-ES_tradnl"/>
        </w:rPr>
        <w:t>2</w:t>
      </w:r>
      <w:r w:rsidR="005601DB">
        <w:rPr>
          <w:lang w:val="es-ES_tradnl"/>
        </w:rPr>
        <w:t>)</w:t>
      </w:r>
      <w:r w:rsidR="00401F6B" w:rsidRPr="00401F6B">
        <w:rPr>
          <w:lang w:val="es-ES_tradnl"/>
        </w:rPr>
        <w:tab/>
      </w:r>
      <w:r w:rsidR="00E52BB1">
        <w:rPr>
          <w:lang w:val="es-ES_tradnl"/>
        </w:rPr>
        <w:t>l</w:t>
      </w:r>
      <w:r w:rsidR="00401F6B" w:rsidRPr="00401F6B">
        <w:rPr>
          <w:lang w:val="es-ES_tradnl"/>
        </w:rPr>
        <w:t xml:space="preserve">os resultados de los cálculos de la </w:t>
      </w:r>
      <w:r w:rsidR="008F58BF" w:rsidRPr="00401F6B">
        <w:rPr>
          <w:lang w:val="es-ES_tradnl"/>
        </w:rPr>
        <w:t xml:space="preserve">DFPE </w:t>
      </w:r>
      <w:r w:rsidR="00401F6B" w:rsidRPr="00401F6B">
        <w:rPr>
          <w:lang w:val="es-ES_tradnl"/>
        </w:rPr>
        <w:t>utilizando el software de simulación con la adecuada modelización del sistema no geoestacionario;</w:t>
      </w:r>
    </w:p>
    <w:p w:rsidR="00401F6B" w:rsidRPr="00401F6B" w:rsidRDefault="00A645CF" w:rsidP="00E52BB1">
      <w:pPr>
        <w:pStyle w:val="enumlev1"/>
        <w:rPr>
          <w:lang w:val="es-ES_tradnl"/>
        </w:rPr>
      </w:pPr>
      <w:r>
        <w:rPr>
          <w:lang w:val="es-ES_tradnl"/>
        </w:rPr>
        <w:t>3</w:t>
      </w:r>
      <w:r w:rsidR="005601DB">
        <w:rPr>
          <w:lang w:val="es-ES_tradnl"/>
        </w:rPr>
        <w:t>)</w:t>
      </w:r>
      <w:r w:rsidR="00401F6B" w:rsidRPr="00401F6B">
        <w:rPr>
          <w:lang w:val="es-ES_tradnl"/>
        </w:rPr>
        <w:tab/>
      </w:r>
      <w:r w:rsidR="00E52BB1">
        <w:rPr>
          <w:lang w:val="es-ES_tradnl"/>
        </w:rPr>
        <w:t>l</w:t>
      </w:r>
      <w:r w:rsidR="00401F6B" w:rsidRPr="00401F6B">
        <w:rPr>
          <w:lang w:val="es-ES_tradnl"/>
        </w:rPr>
        <w:t>a identificación de las partes concretas de la Recomendación UIT-R S.1503-2 que es necesario examinar y mejorar.</w:t>
      </w:r>
    </w:p>
    <w:p w:rsidR="00401F6B" w:rsidRPr="00401F6B" w:rsidRDefault="00401F6B" w:rsidP="008F58BF">
      <w:pPr>
        <w:rPr>
          <w:lang w:val="es-ES_tradnl"/>
        </w:rPr>
      </w:pPr>
      <w:r w:rsidRPr="00401F6B">
        <w:rPr>
          <w:lang w:val="es-ES_tradnl"/>
        </w:rPr>
        <w:t xml:space="preserve">La información anterior se publicará en el sitio web de la UIT y en parte de la comunicación </w:t>
      </w:r>
      <w:r w:rsidR="004724AB">
        <w:rPr>
          <w:lang w:val="es-ES_tradnl"/>
        </w:rPr>
        <w:t>sometida a la consideración de</w:t>
      </w:r>
      <w:r w:rsidRPr="00401F6B">
        <w:rPr>
          <w:lang w:val="es-ES_tradnl"/>
        </w:rPr>
        <w:t xml:space="preserve"> la Comisión de Estudio 4/Grupo de Trabajo 4A. Si la Comisión de Estudio</w:t>
      </w:r>
      <w:r w:rsidR="00A645CF">
        <w:rPr>
          <w:lang w:val="es-ES_tradnl"/>
        </w:rPr>
        <w:t> </w:t>
      </w:r>
      <w:r w:rsidRPr="00401F6B">
        <w:rPr>
          <w:lang w:val="es-ES_tradnl"/>
        </w:rPr>
        <w:t>4/Grupo de Trabajo 4A coincide con la administración y concluye que es necesario revisar la Recomendación UIT-R S.1503</w:t>
      </w:r>
      <w:r w:rsidR="004724AB">
        <w:rPr>
          <w:lang w:val="es-ES_tradnl"/>
        </w:rPr>
        <w:t>-2</w:t>
      </w:r>
      <w:r w:rsidRPr="00401F6B">
        <w:rPr>
          <w:lang w:val="es-ES_tradnl"/>
        </w:rPr>
        <w:t xml:space="preserve"> para modelizar adecuadamente el sistema, la Oficina mantendrá la conclusión </w:t>
      </w:r>
      <w:r w:rsidR="00A645CF">
        <w:rPr>
          <w:lang w:val="es-ES_tradnl"/>
        </w:rPr>
        <w:t>«</w:t>
      </w:r>
      <w:r w:rsidRPr="00401F6B">
        <w:rPr>
          <w:lang w:val="es-ES_tradnl"/>
        </w:rPr>
        <w:t>favorable con reservas</w:t>
      </w:r>
      <w:r w:rsidR="00A645CF">
        <w:rPr>
          <w:lang w:val="es-ES_tradnl"/>
        </w:rPr>
        <w:t>»</w:t>
      </w:r>
      <w:r w:rsidRPr="00401F6B">
        <w:rPr>
          <w:lang w:val="es-ES_tradnl"/>
        </w:rPr>
        <w:t xml:space="preserve"> hasta que se apruebe una nueva revisión de la Recomendación UIT-R S.1503 y se implemente una nueva versión del software de validación de la</w:t>
      </w:r>
      <w:r w:rsidR="008F58BF">
        <w:rPr>
          <w:lang w:val="es-ES_tradnl"/>
        </w:rPr>
        <w:t> </w:t>
      </w:r>
      <w:r w:rsidR="008F58BF" w:rsidRPr="00401F6B">
        <w:rPr>
          <w:lang w:val="es-ES_tradnl"/>
        </w:rPr>
        <w:t>DFPE</w:t>
      </w:r>
      <w:r w:rsidRPr="00401F6B">
        <w:rPr>
          <w:lang w:val="es-ES_tradnl"/>
        </w:rPr>
        <w:t>.</w:t>
      </w:r>
    </w:p>
    <w:p w:rsidR="00401F6B" w:rsidRPr="00401F6B" w:rsidRDefault="00401F6B" w:rsidP="00A645CF">
      <w:pPr>
        <w:rPr>
          <w:lang w:val="es-ES_tradnl"/>
        </w:rPr>
      </w:pPr>
      <w:r w:rsidRPr="00401F6B">
        <w:rPr>
          <w:lang w:val="es-ES_tradnl"/>
        </w:rPr>
        <w:t xml:space="preserve">Para cualquier pregunta concreta relacionada con el funcionamiento del software de validación de la </w:t>
      </w:r>
      <w:r w:rsidR="004724AB" w:rsidRPr="00401F6B">
        <w:rPr>
          <w:lang w:val="es-ES_tradnl"/>
        </w:rPr>
        <w:t>DFPE</w:t>
      </w:r>
      <w:r w:rsidRPr="00401F6B">
        <w:rPr>
          <w:lang w:val="es-ES_tradnl"/>
        </w:rPr>
        <w:t xml:space="preserve">, o para proponer sugerencias e ideas para mejorarlo, se invita a las administraciones a contactar a la Oficina en la dirección </w:t>
      </w:r>
      <w:hyperlink r:id="rId11" w:history="1">
        <w:r w:rsidR="00A645CF" w:rsidRPr="00195F83">
          <w:rPr>
            <w:rStyle w:val="Hyperlink"/>
            <w:lang w:val="es-ES_tradnl"/>
          </w:rPr>
          <w:t>BRMail@itu.int</w:t>
        </w:r>
      </w:hyperlink>
      <w:r w:rsidRPr="00401F6B">
        <w:rPr>
          <w:lang w:val="es-ES_tradnl"/>
        </w:rPr>
        <w:t xml:space="preserve"> o </w:t>
      </w:r>
      <w:hyperlink r:id="rId12" w:history="1">
        <w:r w:rsidR="00A645CF" w:rsidRPr="00195F83">
          <w:rPr>
            <w:rStyle w:val="Hyperlink"/>
            <w:lang w:val="es-ES_tradnl"/>
          </w:rPr>
          <w:t>epfd-support@itu.int</w:t>
        </w:r>
      </w:hyperlink>
      <w:r w:rsidRPr="00401F6B">
        <w:rPr>
          <w:lang w:val="es-ES_tradnl"/>
        </w:rPr>
        <w:t>.</w:t>
      </w:r>
    </w:p>
    <w:p w:rsidR="00E53DCE" w:rsidRPr="00401F6B" w:rsidRDefault="00401F6B" w:rsidP="002C041E">
      <w:pPr>
        <w:rPr>
          <w:lang w:val="es-ES_tradnl"/>
        </w:rPr>
      </w:pPr>
      <w:r w:rsidRPr="00401F6B">
        <w:rPr>
          <w:lang w:val="es-ES_tradnl"/>
        </w:rPr>
        <w:t>La Oficina queda a disposición de su Administración, a través de la dirección</w:t>
      </w:r>
      <w:r w:rsidR="004724AB">
        <w:rPr>
          <w:lang w:val="es-ES_tradnl"/>
        </w:rPr>
        <w:t xml:space="preserve"> de correo</w:t>
      </w:r>
      <w:r w:rsidRPr="00401F6B">
        <w:rPr>
          <w:lang w:val="es-ES_tradnl"/>
        </w:rPr>
        <w:t xml:space="preserve"> </w:t>
      </w:r>
      <w:hyperlink r:id="rId13" w:history="1">
        <w:r w:rsidR="00A645CF" w:rsidRPr="00195F83">
          <w:rPr>
            <w:rStyle w:val="Hyperlink"/>
            <w:lang w:val="es-ES_tradnl"/>
          </w:rPr>
          <w:t>brmail@itu.int</w:t>
        </w:r>
      </w:hyperlink>
      <w:r w:rsidRPr="00401F6B">
        <w:rPr>
          <w:lang w:val="es-ES_tradnl"/>
        </w:rPr>
        <w:t xml:space="preserve"> o del Foro </w:t>
      </w:r>
      <w:r w:rsidR="002C041E">
        <w:rPr>
          <w:lang w:val="es-ES_tradnl"/>
        </w:rPr>
        <w:t xml:space="preserve">específico de la </w:t>
      </w:r>
      <w:r w:rsidRPr="00401F6B">
        <w:rPr>
          <w:lang w:val="es-ES_tradnl"/>
        </w:rPr>
        <w:t xml:space="preserve">herramienta de validación de la </w:t>
      </w:r>
      <w:r w:rsidR="002C041E" w:rsidRPr="00401F6B">
        <w:rPr>
          <w:lang w:val="es-ES_tradnl"/>
        </w:rPr>
        <w:t>DFPE</w:t>
      </w:r>
      <w:r w:rsidR="002C041E">
        <w:rPr>
          <w:lang w:val="es-ES_tradnl"/>
        </w:rPr>
        <w:t>,</w:t>
      </w:r>
      <w:r w:rsidR="002C041E" w:rsidRPr="00401F6B">
        <w:rPr>
          <w:lang w:val="es-ES_tradnl"/>
        </w:rPr>
        <w:t xml:space="preserve"> </w:t>
      </w:r>
      <w:r w:rsidRPr="00401F6B">
        <w:rPr>
          <w:lang w:val="es-ES_tradnl"/>
        </w:rPr>
        <w:t>para cualquier aclaración adicional que pueda necesitar respecto al contenido de la presente Carta Circular</w:t>
      </w:r>
      <w:r w:rsidR="00E52BB1">
        <w:rPr>
          <w:lang w:val="es-ES_tradnl"/>
        </w:rPr>
        <w:t>.</w:t>
      </w:r>
    </w:p>
    <w:p w:rsidR="00031E64" w:rsidRDefault="00E53DCE" w:rsidP="00401F6B">
      <w:pPr>
        <w:spacing w:before="1440"/>
        <w:jc w:val="left"/>
        <w:rPr>
          <w:lang w:val="es-ES"/>
        </w:rPr>
      </w:pPr>
      <w:r w:rsidRPr="0033029C">
        <w:rPr>
          <w:lang w:val="es-ES"/>
        </w:rPr>
        <w:t>François Rancy</w:t>
      </w:r>
      <w:r w:rsidRPr="0033029C">
        <w:rPr>
          <w:lang w:val="es-ES"/>
        </w:rPr>
        <w:br/>
      </w:r>
      <w:r w:rsidR="00401F6B">
        <w:rPr>
          <w:lang w:val="es-ES"/>
        </w:rPr>
        <w:t>Director</w:t>
      </w:r>
    </w:p>
    <w:p w:rsidR="00401F6B" w:rsidRPr="00A645CF" w:rsidRDefault="00401F6B" w:rsidP="004A4891">
      <w:pPr>
        <w:spacing w:before="3720"/>
        <w:rPr>
          <w:b/>
          <w:bCs/>
          <w:sz w:val="18"/>
          <w:szCs w:val="18"/>
          <w:lang w:val="es-ES_tradnl"/>
        </w:rPr>
      </w:pPr>
      <w:r w:rsidRPr="00A645CF">
        <w:rPr>
          <w:b/>
          <w:bCs/>
          <w:sz w:val="18"/>
          <w:szCs w:val="18"/>
          <w:lang w:val="es-ES_tradnl"/>
        </w:rPr>
        <w:t>Distribución:</w:t>
      </w:r>
    </w:p>
    <w:p w:rsidR="00401F6B" w:rsidRPr="005D349F" w:rsidRDefault="00A645CF" w:rsidP="00A645CF">
      <w:pPr>
        <w:pStyle w:val="FigureLegend0"/>
        <w:keepNext w:val="0"/>
        <w:keepLines w:val="0"/>
        <w:tabs>
          <w:tab w:val="left" w:pos="284"/>
          <w:tab w:val="left" w:pos="1191"/>
          <w:tab w:val="left" w:pos="1588"/>
          <w:tab w:val="left" w:pos="1985"/>
        </w:tabs>
        <w:spacing w:before="0" w:after="0"/>
        <w:rPr>
          <w:rFonts w:asciiTheme="minorHAnsi" w:hAnsiTheme="minorHAnsi"/>
          <w:szCs w:val="18"/>
        </w:rPr>
      </w:pPr>
      <w:r w:rsidRPr="00A645CF">
        <w:rPr>
          <w:rFonts w:asciiTheme="minorHAnsi" w:hAnsiTheme="minorHAnsi"/>
          <w:szCs w:val="18"/>
        </w:rPr>
        <w:t>–</w:t>
      </w:r>
      <w:r w:rsidR="00401F6B" w:rsidRPr="005D349F">
        <w:rPr>
          <w:rFonts w:asciiTheme="minorHAnsi" w:hAnsiTheme="minorHAnsi"/>
          <w:szCs w:val="18"/>
        </w:rPr>
        <w:tab/>
      </w:r>
      <w:r w:rsidR="00401F6B">
        <w:rPr>
          <w:rFonts w:asciiTheme="minorHAnsi" w:hAnsiTheme="minorHAnsi"/>
          <w:szCs w:val="18"/>
        </w:rPr>
        <w:t>Administraciones de los Estados Miembros de la UIT</w:t>
      </w:r>
    </w:p>
    <w:p w:rsidR="00401F6B" w:rsidRPr="005D349F" w:rsidRDefault="00A645CF" w:rsidP="00A645CF">
      <w:pPr>
        <w:pStyle w:val="FigureLegend0"/>
        <w:keepNext w:val="0"/>
        <w:keepLines w:val="0"/>
        <w:tabs>
          <w:tab w:val="left" w:pos="284"/>
          <w:tab w:val="left" w:pos="1191"/>
          <w:tab w:val="left" w:pos="1588"/>
          <w:tab w:val="left" w:pos="1985"/>
        </w:tabs>
        <w:spacing w:before="0" w:after="0"/>
        <w:rPr>
          <w:rFonts w:asciiTheme="minorHAnsi" w:hAnsiTheme="minorHAnsi"/>
          <w:szCs w:val="18"/>
        </w:rPr>
      </w:pPr>
      <w:r w:rsidRPr="00A645CF">
        <w:rPr>
          <w:rFonts w:asciiTheme="minorHAnsi" w:hAnsiTheme="minorHAnsi"/>
          <w:szCs w:val="18"/>
        </w:rPr>
        <w:t>–</w:t>
      </w:r>
      <w:r w:rsidR="00401F6B" w:rsidRPr="005D349F">
        <w:rPr>
          <w:rFonts w:asciiTheme="minorHAnsi" w:hAnsiTheme="minorHAnsi"/>
          <w:szCs w:val="18"/>
        </w:rPr>
        <w:tab/>
      </w:r>
      <w:r w:rsidR="00401F6B">
        <w:rPr>
          <w:rFonts w:asciiTheme="minorHAnsi" w:hAnsiTheme="minorHAnsi"/>
          <w:szCs w:val="18"/>
        </w:rPr>
        <w:t>Miembros de la Junta del Reglamento de Radiocomunicaciones</w:t>
      </w:r>
    </w:p>
    <w:sectPr w:rsidR="00401F6B" w:rsidRPr="005D349F" w:rsidSect="00E27638">
      <w:headerReference w:type="even" r:id="rId14"/>
      <w:headerReference w:type="default" r:id="rId15"/>
      <w:headerReference w:type="first" r:id="rId16"/>
      <w:footerReference w:type="first" r:id="rId17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980" w:rsidRDefault="00120980">
      <w:r>
        <w:separator/>
      </w:r>
    </w:p>
  </w:endnote>
  <w:endnote w:type="continuationSeparator" w:id="0">
    <w:p w:rsidR="00120980" w:rsidRDefault="00120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EFE" w:rsidRPr="00912DAB" w:rsidRDefault="00912DAB" w:rsidP="000D3F3B">
    <w:pPr>
      <w:pStyle w:val="FirstFooter"/>
      <w:spacing w:line="240" w:lineRule="auto"/>
      <w:ind w:left="-397" w:right="-397"/>
      <w:jc w:val="center"/>
      <w:rPr>
        <w:sz w:val="18"/>
        <w:szCs w:val="18"/>
        <w:lang w:val="es-ES_tradnl"/>
      </w:rPr>
    </w:pPr>
    <w:r w:rsidRPr="00311970">
      <w:rPr>
        <w:color w:val="3E8EDE"/>
        <w:sz w:val="18"/>
        <w:szCs w:val="18"/>
        <w:lang w:val="es-ES"/>
      </w:rPr>
      <w:t>Unión Internacional</w:t>
    </w:r>
    <w:r w:rsidRPr="00345938">
      <w:rPr>
        <w:sz w:val="18"/>
        <w:szCs w:val="18"/>
        <w:lang w:val="es-ES_tradnl"/>
      </w:rPr>
      <w:t xml:space="preserve"> </w:t>
    </w:r>
    <w:r w:rsidRPr="00311970">
      <w:rPr>
        <w:color w:val="3E8EDE"/>
        <w:sz w:val="18"/>
        <w:szCs w:val="18"/>
        <w:lang w:val="es-ES"/>
      </w:rPr>
      <w:t>de Telecomunicaciones • Place des Nations • CH</w:t>
    </w:r>
    <w:r w:rsidRPr="00311970">
      <w:rPr>
        <w:color w:val="3E8EDE"/>
        <w:sz w:val="18"/>
        <w:szCs w:val="18"/>
        <w:lang w:val="es-ES"/>
      </w:rPr>
      <w:noBreakHyphen/>
      <w:t>1211 Ginebra 20 • Suiza</w:t>
    </w:r>
    <w:r w:rsidRPr="00311970">
      <w:rPr>
        <w:color w:val="3E8EDE"/>
        <w:sz w:val="18"/>
        <w:szCs w:val="18"/>
        <w:lang w:val="es-ES"/>
      </w:rPr>
      <w:br/>
      <w:t>Tel</w:t>
    </w:r>
    <w:r w:rsidR="00401F6B">
      <w:rPr>
        <w:color w:val="3E8EDE"/>
        <w:sz w:val="18"/>
        <w:szCs w:val="18"/>
        <w:lang w:val="es-ES"/>
      </w:rPr>
      <w:t>.</w:t>
    </w:r>
    <w:r w:rsidRPr="00311970">
      <w:rPr>
        <w:color w:val="3E8EDE"/>
        <w:sz w:val="18"/>
        <w:szCs w:val="18"/>
        <w:lang w:val="es-ES"/>
      </w:rPr>
      <w:t xml:space="preserve">: +41 22 730 5111 • Fax: +41 22 733 7256 • </w:t>
    </w:r>
    <w:r w:rsidR="000D3F3B" w:rsidRPr="00311970">
      <w:rPr>
        <w:color w:val="3E8EDE"/>
        <w:sz w:val="18"/>
        <w:szCs w:val="18"/>
        <w:lang w:val="es-ES"/>
      </w:rPr>
      <w:br/>
    </w:r>
    <w:r w:rsidRPr="00311970">
      <w:rPr>
        <w:color w:val="3E8EDE"/>
        <w:sz w:val="18"/>
        <w:szCs w:val="18"/>
        <w:lang w:val="es-ES"/>
      </w:rPr>
      <w:t>Correo-e:</w:t>
    </w:r>
    <w:r w:rsidRPr="00345938">
      <w:rPr>
        <w:sz w:val="18"/>
        <w:szCs w:val="18"/>
        <w:lang w:val="es-ES_tradnl"/>
      </w:rPr>
      <w:t xml:space="preserve"> </w:t>
    </w:r>
    <w:hyperlink r:id="rId1" w:history="1">
      <w:r w:rsidR="000D3F3B" w:rsidRPr="00311970">
        <w:rPr>
          <w:rStyle w:val="Hyperlink"/>
          <w:color w:val="3E8EDE"/>
          <w:sz w:val="18"/>
          <w:szCs w:val="18"/>
          <w:lang w:val="es-ES"/>
        </w:rPr>
        <w:t>itumail@itu.int</w:t>
      </w:r>
    </w:hyperlink>
    <w:r w:rsidR="000D3F3B" w:rsidRPr="00311970">
      <w:rPr>
        <w:color w:val="3E8EDE"/>
        <w:sz w:val="18"/>
        <w:szCs w:val="18"/>
        <w:lang w:val="es-ES"/>
      </w:rPr>
      <w:t xml:space="preserve"> • </w:t>
    </w:r>
    <w:hyperlink r:id="rId2" w:history="1">
      <w:r w:rsidR="000D3F3B" w:rsidRPr="00311970">
        <w:rPr>
          <w:rStyle w:val="Hyperlink"/>
          <w:color w:val="3E8EDE"/>
          <w:sz w:val="18"/>
          <w:szCs w:val="18"/>
          <w:lang w:val="es-ES"/>
        </w:rPr>
        <w:t>www.itu.int</w:t>
      </w:r>
    </w:hyperlink>
    <w:r w:rsidR="000D3F3B" w:rsidRPr="00311970">
      <w:rPr>
        <w:color w:val="3E8EDE"/>
        <w:sz w:val="18"/>
        <w:szCs w:val="18"/>
        <w:lang w:val="es-ES"/>
      </w:rPr>
      <w:t xml:space="preserve"> • </w:t>
    </w:r>
    <w:hyperlink r:id="rId3" w:history="1">
      <w:r w:rsidR="000D3F3B" w:rsidRPr="00311970">
        <w:rPr>
          <w:rStyle w:val="Hyperlink"/>
          <w:color w:val="3E8EDE"/>
          <w:sz w:val="18"/>
          <w:szCs w:val="18"/>
          <w:lang w:val="es-ES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980" w:rsidRDefault="00120980">
      <w:r>
        <w:t>____________________</w:t>
      </w:r>
    </w:p>
  </w:footnote>
  <w:footnote w:type="continuationSeparator" w:id="0">
    <w:p w:rsidR="00120980" w:rsidRDefault="001209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239B4" w:rsidRDefault="00D97EF5" w:rsidP="00401F6B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6D4EF9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401F6B" w:rsidRDefault="00401F6B" w:rsidP="00401F6B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 w:rsidR="006D4EF9">
      <w:rPr>
        <w:rStyle w:val="PageNumber"/>
        <w:noProof/>
        <w:sz w:val="18"/>
        <w:szCs w:val="16"/>
      </w:rPr>
      <w:t>3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0D3F3B" w:rsidTr="000D3F3B">
      <w:tc>
        <w:tcPr>
          <w:tcW w:w="5031" w:type="dxa"/>
        </w:tcPr>
        <w:p w:rsidR="000D3F3B" w:rsidRDefault="000D3F3B" w:rsidP="000D3F3B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30E84A83" wp14:editId="5A7F4347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0D3F3B" w:rsidRDefault="000D3F3B" w:rsidP="000D3F3B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val="en-GB" w:eastAsia="zh-CN"/>
            </w:rPr>
            <w:drawing>
              <wp:inline distT="0" distB="0" distL="0" distR="0" wp14:anchorId="5F44E3C4" wp14:editId="70E2C266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0D3F3B" w:rsidRDefault="00E915AF" w:rsidP="000D3F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C3AD1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B465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80AA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54203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3043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9E0F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8ED9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A44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1AB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BC75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120980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0980"/>
    <w:rsid w:val="00121C2D"/>
    <w:rsid w:val="00134404"/>
    <w:rsid w:val="0013538E"/>
    <w:rsid w:val="00144DFB"/>
    <w:rsid w:val="00175CF2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C041E"/>
    <w:rsid w:val="002D5A15"/>
    <w:rsid w:val="002D5BDD"/>
    <w:rsid w:val="002E3D27"/>
    <w:rsid w:val="002F0890"/>
    <w:rsid w:val="002F2531"/>
    <w:rsid w:val="002F4967"/>
    <w:rsid w:val="00306452"/>
    <w:rsid w:val="00311970"/>
    <w:rsid w:val="00316935"/>
    <w:rsid w:val="003266ED"/>
    <w:rsid w:val="00326C68"/>
    <w:rsid w:val="0033029C"/>
    <w:rsid w:val="003370B8"/>
    <w:rsid w:val="00342300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D5E1D"/>
    <w:rsid w:val="003E504F"/>
    <w:rsid w:val="003E78D6"/>
    <w:rsid w:val="00400573"/>
    <w:rsid w:val="004007A3"/>
    <w:rsid w:val="00401F6B"/>
    <w:rsid w:val="00406D71"/>
    <w:rsid w:val="004326DB"/>
    <w:rsid w:val="0043682E"/>
    <w:rsid w:val="00447ECB"/>
    <w:rsid w:val="004623F7"/>
    <w:rsid w:val="004724AB"/>
    <w:rsid w:val="00480F51"/>
    <w:rsid w:val="00481124"/>
    <w:rsid w:val="004815EB"/>
    <w:rsid w:val="00487569"/>
    <w:rsid w:val="00496864"/>
    <w:rsid w:val="00496920"/>
    <w:rsid w:val="004A4496"/>
    <w:rsid w:val="004A4891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01DB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96B30"/>
    <w:rsid w:val="006A518B"/>
    <w:rsid w:val="006B0590"/>
    <w:rsid w:val="006B49DA"/>
    <w:rsid w:val="006C53F8"/>
    <w:rsid w:val="006C7CDE"/>
    <w:rsid w:val="006D4EF9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8592B"/>
    <w:rsid w:val="008B35A3"/>
    <w:rsid w:val="008B37E1"/>
    <w:rsid w:val="008B45F8"/>
    <w:rsid w:val="008C2E74"/>
    <w:rsid w:val="008D5409"/>
    <w:rsid w:val="008E006D"/>
    <w:rsid w:val="008E38B4"/>
    <w:rsid w:val="008F0730"/>
    <w:rsid w:val="008F4F21"/>
    <w:rsid w:val="008F58BF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06B65"/>
    <w:rsid w:val="00A119E6"/>
    <w:rsid w:val="00A20FBC"/>
    <w:rsid w:val="00A31370"/>
    <w:rsid w:val="00A34D6F"/>
    <w:rsid w:val="00A41F91"/>
    <w:rsid w:val="00A63355"/>
    <w:rsid w:val="00A645CF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4BA6"/>
    <w:rsid w:val="00BE63DB"/>
    <w:rsid w:val="00BE6574"/>
    <w:rsid w:val="00C07319"/>
    <w:rsid w:val="00C111D2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C769F"/>
    <w:rsid w:val="00DE66A5"/>
    <w:rsid w:val="00DF2B50"/>
    <w:rsid w:val="00E01059"/>
    <w:rsid w:val="00E04C86"/>
    <w:rsid w:val="00E17344"/>
    <w:rsid w:val="00E20F30"/>
    <w:rsid w:val="00E2189C"/>
    <w:rsid w:val="00E22A1F"/>
    <w:rsid w:val="00E25BB1"/>
    <w:rsid w:val="00E27638"/>
    <w:rsid w:val="00E27BBA"/>
    <w:rsid w:val="00E30E3F"/>
    <w:rsid w:val="00E35E8F"/>
    <w:rsid w:val="00E428AB"/>
    <w:rsid w:val="00E438E8"/>
    <w:rsid w:val="00E453A3"/>
    <w:rsid w:val="00E520E2"/>
    <w:rsid w:val="00E52BB1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184F"/>
    <w:rsid w:val="00F8310E"/>
    <w:rsid w:val="00F86458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C97B03C7-E98E-4797-B82F-F604C6876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qFormat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locked/>
    <w:rsid w:val="00401F6B"/>
    <w:rPr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5601DB"/>
    <w:rPr>
      <w:color w:val="800080" w:themeColor="followed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401F6B"/>
    <w:rPr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R/go/space-epfd/en" TargetMode="External"/><Relationship Id="rId13" Type="http://schemas.openxmlformats.org/officeDocument/2006/relationships/hyperlink" Target="mailto:brmail@itu.in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pfd-support@itu.in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itu.int/ITU-R/go/space-epfd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ITU-R/go/space-mask-XMLfile/en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01A7E-A91C-4427-A6D6-3423CA8C6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5</TotalTime>
  <Pages>3</Pages>
  <Words>1295</Words>
  <Characters>7098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8377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FHernández</dc:creator>
  <cp:lastModifiedBy>Anghelone, Christine</cp:lastModifiedBy>
  <cp:revision>7</cp:revision>
  <cp:lastPrinted>2016-12-06T07:30:00Z</cp:lastPrinted>
  <dcterms:created xsi:type="dcterms:W3CDTF">2016-12-05T15:55:00Z</dcterms:created>
  <dcterms:modified xsi:type="dcterms:W3CDTF">2016-12-06T07:31:00Z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