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FC423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FC423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FC423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115693" w:rsidP="00115693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</w:rPr>
              <w:t>Lettre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="00E53DCE" w:rsidRPr="00773F7E">
              <w:rPr>
                <w:szCs w:val="24"/>
              </w:rPr>
              <w:t>irculaire</w:t>
            </w:r>
            <w:bookmarkStart w:id="0" w:name="_GoBack"/>
            <w:bookmarkEnd w:id="0"/>
            <w:proofErr w:type="spellEnd"/>
          </w:p>
          <w:p w:rsidR="00E53DCE" w:rsidRPr="00773F7E" w:rsidRDefault="00E53DCE" w:rsidP="00FC4233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B4319B">
              <w:rPr>
                <w:b/>
                <w:bCs/>
                <w:szCs w:val="24"/>
                <w:lang w:val="fr-CH"/>
              </w:rPr>
              <w:t>406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B4319B" w:rsidP="00C80A17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849FA9C8BE2F46C6821FAF9916406EEE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80A17">
                  <w:rPr>
                    <w:rFonts w:cs="Arial"/>
                    <w:szCs w:val="24"/>
                  </w:rPr>
                  <w:t xml:space="preserve">4 </w:t>
                </w:r>
                <w:proofErr w:type="spellStart"/>
                <w:r w:rsidR="00C80A17">
                  <w:rPr>
                    <w:rFonts w:cs="Arial"/>
                    <w:szCs w:val="24"/>
                  </w:rPr>
                  <w:t>juillet</w:t>
                </w:r>
                <w:proofErr w:type="spellEnd"/>
                <w:r w:rsidR="00E53DCE" w:rsidRPr="00773F7E">
                  <w:rPr>
                    <w:rFonts w:cs="Arial"/>
                    <w:szCs w:val="24"/>
                  </w:rPr>
                  <w:t xml:space="preserve"> 201</w:t>
                </w:r>
                <w:r>
                  <w:rPr>
                    <w:rFonts w:cs="Arial"/>
                    <w:szCs w:val="24"/>
                  </w:rPr>
                  <w:t>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C4233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C4233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FC423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FC423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C423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FC4233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4233" w:rsidRDefault="00FC4233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CF2093">
              <w:rPr>
                <w:b/>
                <w:bCs/>
                <w:szCs w:val="24"/>
                <w:lang w:val="fr-CH"/>
              </w:rPr>
              <w:t xml:space="preserve">Mise en œuvre des décisions de la Conférence mondiale des radiocommunications, </w:t>
            </w:r>
            <w:r>
              <w:rPr>
                <w:b/>
                <w:bCs/>
                <w:szCs w:val="24"/>
                <w:lang w:val="fr-CH"/>
              </w:rPr>
              <w:t>(</w:t>
            </w:r>
            <w:r w:rsidRPr="00CF2093">
              <w:rPr>
                <w:b/>
                <w:bCs/>
                <w:szCs w:val="24"/>
                <w:lang w:val="fr-CH"/>
              </w:rPr>
              <w:t>Genève, 2015</w:t>
            </w:r>
            <w:r>
              <w:rPr>
                <w:b/>
                <w:bCs/>
                <w:szCs w:val="24"/>
                <w:lang w:val="fr-CH"/>
              </w:rPr>
              <w:t>)</w:t>
            </w:r>
            <w:r w:rsidRPr="00CF2093">
              <w:rPr>
                <w:b/>
                <w:bCs/>
                <w:szCs w:val="24"/>
                <w:lang w:val="fr-CH"/>
              </w:rPr>
              <w:t xml:space="preserve"> (CMR</w:t>
            </w:r>
            <w:r>
              <w:rPr>
                <w:b/>
                <w:bCs/>
                <w:szCs w:val="24"/>
                <w:lang w:val="fr-CH"/>
              </w:rPr>
              <w:noBreakHyphen/>
            </w:r>
            <w:r w:rsidRPr="00CF2093">
              <w:rPr>
                <w:b/>
                <w:bCs/>
                <w:szCs w:val="24"/>
                <w:lang w:val="fr-CH"/>
              </w:rPr>
              <w:t xml:space="preserve">15) et des </w:t>
            </w:r>
            <w:r>
              <w:rPr>
                <w:b/>
                <w:bCs/>
                <w:szCs w:val="24"/>
                <w:lang w:val="fr-CH"/>
              </w:rPr>
              <w:t>dispositions transitoires associées relatives aux services de Terre</w:t>
            </w:r>
          </w:p>
        </w:tc>
      </w:tr>
      <w:tr w:rsidR="00E53DCE" w:rsidRPr="0011569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C4233" w:rsidRDefault="00E53DCE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4233" w:rsidRDefault="00E53DCE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C4233" w:rsidRDefault="00E53DCE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4233" w:rsidRDefault="00E53DCE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4233" w:rsidRDefault="00E53DCE" w:rsidP="00FC423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15693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4233" w:rsidRDefault="00E53DCE" w:rsidP="00FC4233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FC4233" w:rsidRPr="00FC4233" w:rsidRDefault="00FC4233" w:rsidP="002F7356">
      <w:pPr>
        <w:rPr>
          <w:b/>
          <w:bCs/>
          <w:lang w:val="fr-CH"/>
        </w:rPr>
      </w:pPr>
      <w:r w:rsidRPr="00C80A17">
        <w:rPr>
          <w:b/>
          <w:bCs/>
          <w:lang w:val="fr-CH"/>
        </w:rPr>
        <w:t>1</w:t>
      </w:r>
      <w:r w:rsidRPr="00CF2093">
        <w:rPr>
          <w:lang w:val="fr-CH"/>
        </w:rPr>
        <w:tab/>
        <w:t>La Conférence m</w:t>
      </w:r>
      <w:r>
        <w:rPr>
          <w:lang w:val="fr-CH"/>
        </w:rPr>
        <w:t>ondiale des radiocommunications (</w:t>
      </w:r>
      <w:r w:rsidRPr="00CF2093">
        <w:rPr>
          <w:lang w:val="fr-CH"/>
        </w:rPr>
        <w:t>Genève, 2015</w:t>
      </w:r>
      <w:r>
        <w:rPr>
          <w:lang w:val="fr-CH"/>
        </w:rPr>
        <w:t>)</w:t>
      </w:r>
      <w:r w:rsidRPr="00CF2093">
        <w:rPr>
          <w:lang w:val="fr-CH"/>
        </w:rPr>
        <w:t xml:space="preserve"> (CMR</w:t>
      </w:r>
      <w:r>
        <w:rPr>
          <w:lang w:val="fr-CH"/>
        </w:rPr>
        <w:noBreakHyphen/>
      </w:r>
      <w:r w:rsidRPr="00CF2093">
        <w:rPr>
          <w:lang w:val="fr-CH"/>
        </w:rPr>
        <w:t xml:space="preserve">15) a adopté une révision partielle du Règlement des </w:t>
      </w:r>
      <w:r>
        <w:rPr>
          <w:lang w:val="fr-CH"/>
        </w:rPr>
        <w:t>radiocommunications</w:t>
      </w:r>
      <w:r w:rsidRPr="00CF2093">
        <w:rPr>
          <w:lang w:val="fr-CH"/>
        </w:rPr>
        <w:t xml:space="preserve"> et décidé que les dispositions révisées entreraient en vigueur le 1er janvier 2017, à l</w:t>
      </w:r>
      <w:r w:rsidR="002F7356">
        <w:rPr>
          <w:lang w:val="fr-CH"/>
        </w:rPr>
        <w:t>'</w:t>
      </w:r>
      <w:r w:rsidRPr="00CF2093">
        <w:rPr>
          <w:lang w:val="fr-CH"/>
        </w:rPr>
        <w:t>exception des dispositions pour lesquelles une autre date a été expressément</w:t>
      </w:r>
      <w:r>
        <w:rPr>
          <w:lang w:val="fr-CH"/>
        </w:rPr>
        <w:t xml:space="preserve"> i</w:t>
      </w:r>
      <w:r w:rsidRPr="00CF2093">
        <w:rPr>
          <w:lang w:val="fr-CH"/>
        </w:rPr>
        <w:t xml:space="preserve">ndiquée. </w:t>
      </w:r>
      <w:r>
        <w:rPr>
          <w:lang w:val="fr-CH"/>
        </w:rPr>
        <w:t>L</w:t>
      </w:r>
      <w:r w:rsidRPr="00CF2093">
        <w:rPr>
          <w:lang w:val="fr-CH"/>
        </w:rPr>
        <w:t xml:space="preserve">a présente Lettre circulaire </w:t>
      </w:r>
      <w:r>
        <w:rPr>
          <w:lang w:val="fr-CH"/>
        </w:rPr>
        <w:t xml:space="preserve">a pour objet </w:t>
      </w:r>
      <w:r w:rsidRPr="00CF2093">
        <w:rPr>
          <w:lang w:val="fr-CH"/>
        </w:rPr>
        <w:t xml:space="preserve">de mettre en </w:t>
      </w:r>
      <w:r>
        <w:rPr>
          <w:lang w:val="fr-CH"/>
        </w:rPr>
        <w:t>lumièr</w:t>
      </w:r>
      <w:r w:rsidRPr="00CF2093">
        <w:rPr>
          <w:lang w:val="fr-CH"/>
        </w:rPr>
        <w:t xml:space="preserve">e les décisions les plus importantes </w:t>
      </w:r>
      <w:r>
        <w:rPr>
          <w:lang w:val="fr-CH"/>
        </w:rPr>
        <w:t xml:space="preserve">prises par la Conférence concernant les services de Terre afin de faciliter leur mise en œuvre. </w:t>
      </w:r>
      <w:r w:rsidRPr="00CF2093">
        <w:rPr>
          <w:lang w:val="fr-CH"/>
        </w:rPr>
        <w:t xml:space="preserve">Pour </w:t>
      </w:r>
      <w:r>
        <w:rPr>
          <w:lang w:val="fr-CH"/>
        </w:rPr>
        <w:t>obtenir</w:t>
      </w:r>
      <w:r w:rsidRPr="00CF2093">
        <w:rPr>
          <w:lang w:val="fr-CH"/>
        </w:rPr>
        <w:t xml:space="preserve"> la liste </w:t>
      </w:r>
      <w:r>
        <w:rPr>
          <w:lang w:val="fr-CH"/>
        </w:rPr>
        <w:t xml:space="preserve">complète </w:t>
      </w:r>
      <w:r w:rsidRPr="00CF2093">
        <w:rPr>
          <w:lang w:val="fr-CH"/>
        </w:rPr>
        <w:t>des décisions, vous voudrez bien vous reporter</w:t>
      </w:r>
      <w:r>
        <w:rPr>
          <w:lang w:val="fr-CH"/>
        </w:rPr>
        <w:t xml:space="preserve"> à la Lettre circulaire</w:t>
      </w:r>
      <w:r w:rsidRPr="00CF2093">
        <w:rPr>
          <w:lang w:val="fr-CH"/>
        </w:rPr>
        <w:t xml:space="preserve"> CR/389</w:t>
      </w:r>
      <w:r>
        <w:rPr>
          <w:lang w:val="fr-CH"/>
        </w:rPr>
        <w:t xml:space="preserve"> du 29 janvier </w:t>
      </w:r>
      <w:r w:rsidRPr="00CF2093">
        <w:rPr>
          <w:lang w:val="fr-CH"/>
        </w:rPr>
        <w:t xml:space="preserve">2016 </w:t>
      </w:r>
      <w:r>
        <w:rPr>
          <w:lang w:val="fr-CH"/>
        </w:rPr>
        <w:t>relative aux décisions de la CMR</w:t>
      </w:r>
      <w:r>
        <w:rPr>
          <w:lang w:val="fr-CH"/>
        </w:rPr>
        <w:noBreakHyphen/>
        <w:t>15 qui ont été consignées dans de</w:t>
      </w:r>
      <w:r w:rsidR="002F7356">
        <w:rPr>
          <w:lang w:val="fr-CH"/>
        </w:rPr>
        <w:t>s</w:t>
      </w:r>
      <w:r>
        <w:rPr>
          <w:lang w:val="fr-CH"/>
        </w:rPr>
        <w:t xml:space="preserve"> procès-verbaux de séances plénières.</w:t>
      </w:r>
    </w:p>
    <w:p w:rsidR="00FC4233" w:rsidRPr="00CF2093" w:rsidRDefault="00546263" w:rsidP="00546263">
      <w:pPr>
        <w:pStyle w:val="Heading1"/>
        <w:spacing w:before="400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FC4233" w:rsidRPr="00CF2093">
        <w:rPr>
          <w:lang w:val="fr-CH"/>
        </w:rPr>
        <w:t xml:space="preserve">Décisions qui sont entrées en vigueur le 28 novembre 2015 </w:t>
      </w:r>
    </w:p>
    <w:p w:rsidR="00FC4233" w:rsidRPr="0010436C" w:rsidRDefault="00FC4233" w:rsidP="00FC4233">
      <w:pPr>
        <w:rPr>
          <w:lang w:val="fr-CH"/>
        </w:rPr>
      </w:pPr>
      <w:r w:rsidRPr="00CF2093">
        <w:rPr>
          <w:lang w:val="fr-CH"/>
        </w:rPr>
        <w:t>2.1</w:t>
      </w:r>
      <w:r w:rsidRPr="00CF2093">
        <w:rPr>
          <w:lang w:val="fr-CH"/>
        </w:rPr>
        <w:tab/>
        <w:t>La CMR</w:t>
      </w:r>
      <w:r>
        <w:rPr>
          <w:lang w:val="fr-CH"/>
        </w:rPr>
        <w:noBreakHyphen/>
      </w:r>
      <w:r w:rsidRPr="00CF2093">
        <w:rPr>
          <w:lang w:val="fr-CH"/>
        </w:rPr>
        <w:t xml:space="preserve">15 a révisé plusieurs Résolutions et </w:t>
      </w:r>
      <w:r>
        <w:rPr>
          <w:lang w:val="fr-CH"/>
        </w:rPr>
        <w:t xml:space="preserve">Recommandations de conférences antérieures et a adopté plusieurs nouvelles Résolutions. </w:t>
      </w:r>
      <w:r w:rsidRPr="0010436C">
        <w:rPr>
          <w:lang w:val="fr-CH"/>
        </w:rPr>
        <w:t>Au nombre de ces Résolutions</w:t>
      </w:r>
      <w:r>
        <w:rPr>
          <w:lang w:val="fr-CH"/>
        </w:rPr>
        <w:t xml:space="preserve">, </w:t>
      </w:r>
      <w:r w:rsidRPr="0010436C">
        <w:rPr>
          <w:lang w:val="fr-CH"/>
        </w:rPr>
        <w:t xml:space="preserve">les </w:t>
      </w:r>
      <w:r>
        <w:rPr>
          <w:lang w:val="fr-CH"/>
        </w:rPr>
        <w:t>R</w:t>
      </w:r>
      <w:r w:rsidRPr="0010436C">
        <w:rPr>
          <w:lang w:val="fr-CH"/>
        </w:rPr>
        <w:t xml:space="preserve">ésolutions suivantes </w:t>
      </w:r>
      <w:r>
        <w:rPr>
          <w:lang w:val="fr-CH"/>
        </w:rPr>
        <w:t>qui concernent les services de Terre et qui sont entrées en vigueur le 28 novembre 2015 doivent être prises en compte par les administrations dans leurs activités</w:t>
      </w:r>
      <w:r w:rsidRPr="0010436C">
        <w:rPr>
          <w:lang w:val="fr-CH"/>
        </w:rPr>
        <w:t>:</w:t>
      </w:r>
    </w:p>
    <w:p w:rsidR="00FC4233" w:rsidRPr="001B6223" w:rsidRDefault="00FC4233" w:rsidP="00FC4233">
      <w:pPr>
        <w:pStyle w:val="enumlev1"/>
        <w:rPr>
          <w:lang w:val="fr-CH"/>
        </w:rPr>
      </w:pPr>
      <w:r w:rsidRPr="00FC4233">
        <w:rPr>
          <w:i/>
          <w:iCs/>
          <w:lang w:val="fr-CH"/>
        </w:rPr>
        <w:t>•</w:t>
      </w:r>
      <w:r>
        <w:rPr>
          <w:i/>
          <w:iCs/>
          <w:lang w:val="fr-CH"/>
        </w:rPr>
        <w:tab/>
      </w:r>
      <w:r w:rsidRPr="0010436C">
        <w:rPr>
          <w:i/>
          <w:iCs/>
          <w:lang w:val="fr-CH"/>
        </w:rPr>
        <w:t xml:space="preserve">Résolution </w:t>
      </w:r>
      <w:r w:rsidRPr="0010436C">
        <w:rPr>
          <w:b/>
          <w:bCs/>
          <w:i/>
          <w:iCs/>
          <w:lang w:val="fr-CH"/>
        </w:rPr>
        <w:t>647 (R</w:t>
      </w:r>
      <w:r>
        <w:rPr>
          <w:b/>
          <w:bCs/>
          <w:i/>
          <w:iCs/>
          <w:lang w:val="fr-CH"/>
        </w:rPr>
        <w:t>é</w:t>
      </w:r>
      <w:r w:rsidRPr="0010436C">
        <w:rPr>
          <w:b/>
          <w:bCs/>
          <w:i/>
          <w:iCs/>
          <w:lang w:val="fr-CH"/>
        </w:rPr>
        <w:t>v.CMR-15)</w:t>
      </w:r>
      <w:r w:rsidRPr="0010436C">
        <w:rPr>
          <w:i/>
          <w:iCs/>
          <w:lang w:val="fr-CH"/>
        </w:rPr>
        <w:t xml:space="preserve"> </w:t>
      </w:r>
      <w:r>
        <w:rPr>
          <w:i/>
          <w:iCs/>
          <w:lang w:val="fr-CH"/>
        </w:rPr>
        <w:t>relative aux aspects des radiocommunications, y compris</w:t>
      </w:r>
      <w:r w:rsidRPr="0010436C">
        <w:rPr>
          <w:i/>
          <w:iCs/>
          <w:lang w:val="fr-CH"/>
        </w:rPr>
        <w:t xml:space="preserve"> les lignes directrices relatives à la gestion du spectre</w:t>
      </w:r>
      <w:r>
        <w:rPr>
          <w:i/>
          <w:iCs/>
          <w:lang w:val="fr-CH"/>
        </w:rPr>
        <w:t xml:space="preserve">, liés à l'alerte avancée, à la prévision ou à la détection des catastrophes, à l'atténuation de leurs effets et aux opérations de secours en cas d'urgence et de catastrophe. </w:t>
      </w:r>
      <w:r w:rsidRPr="00FB3161">
        <w:rPr>
          <w:lang w:val="fr-CH"/>
        </w:rPr>
        <w:t>La CMR</w:t>
      </w:r>
      <w:r>
        <w:rPr>
          <w:lang w:val="fr-CH"/>
        </w:rPr>
        <w:noBreakHyphen/>
      </w:r>
      <w:r w:rsidRPr="00FB3161">
        <w:rPr>
          <w:lang w:val="fr-CH"/>
        </w:rPr>
        <w:t>15 a encouragé les administrations à communiquer au Bureau les coordonnées actualisées des stations concernées et, lorsqu</w:t>
      </w:r>
      <w:r w:rsidR="002F7356">
        <w:rPr>
          <w:lang w:val="fr-CH"/>
        </w:rPr>
        <w:t>'</w:t>
      </w:r>
      <w:r w:rsidRPr="00FB3161">
        <w:rPr>
          <w:lang w:val="fr-CH"/>
        </w:rPr>
        <w:t xml:space="preserve">elles sont disponibles, </w:t>
      </w:r>
      <w:r>
        <w:rPr>
          <w:lang w:val="fr-CH"/>
        </w:rPr>
        <w:t>les fréquences ou bandes de fréquences utilisables pour les situations d</w:t>
      </w:r>
      <w:r w:rsidR="002F7356">
        <w:rPr>
          <w:lang w:val="fr-CH"/>
        </w:rPr>
        <w:t>'</w:t>
      </w:r>
      <w:r>
        <w:rPr>
          <w:lang w:val="fr-CH"/>
        </w:rPr>
        <w:t>urgence et les opérations de secours en cas de catastrophe. Le Bureau continuera de tenir à jour sa base de données contenant les informations communiquées par les administrations qui pourront être utilisées dans les situations d</w:t>
      </w:r>
      <w:r w:rsidR="002F7356">
        <w:rPr>
          <w:lang w:val="fr-CH"/>
        </w:rPr>
        <w:t>'</w:t>
      </w:r>
      <w:r>
        <w:rPr>
          <w:lang w:val="fr-CH"/>
        </w:rPr>
        <w:t>urgence.</w:t>
      </w:r>
    </w:p>
    <w:p w:rsidR="00FC4233" w:rsidRPr="001B6223" w:rsidRDefault="00FC4233" w:rsidP="00FC4233">
      <w:pPr>
        <w:pStyle w:val="enumlev1"/>
        <w:rPr>
          <w:lang w:val="fr-CH"/>
        </w:rPr>
      </w:pPr>
      <w:r w:rsidRPr="00FC4233">
        <w:rPr>
          <w:lang w:val="fr-CH"/>
        </w:rPr>
        <w:t>•</w:t>
      </w:r>
      <w:r>
        <w:rPr>
          <w:lang w:val="fr-CH"/>
        </w:rPr>
        <w:tab/>
      </w:r>
      <w:r w:rsidRPr="002F7356">
        <w:rPr>
          <w:i/>
          <w:iCs/>
          <w:lang w:val="fr-CH"/>
        </w:rPr>
        <w:t>Résolution</w:t>
      </w:r>
      <w:r w:rsidRPr="002F7356">
        <w:rPr>
          <w:i/>
          <w:iCs/>
          <w:lang w:val="fr-CH" w:eastAsia="ko-KR"/>
        </w:rPr>
        <w:t xml:space="preserve"> </w:t>
      </w:r>
      <w:r w:rsidRPr="002F7356">
        <w:rPr>
          <w:b/>
          <w:bCs/>
          <w:i/>
          <w:iCs/>
          <w:lang w:val="fr-CH"/>
        </w:rPr>
        <w:t>760 (</w:t>
      </w:r>
      <w:r w:rsidRPr="002F7356">
        <w:rPr>
          <w:b/>
          <w:bCs/>
          <w:i/>
          <w:iCs/>
          <w:lang w:val="fr-CH" w:eastAsia="ko-KR"/>
        </w:rPr>
        <w:t>CMR-15</w:t>
      </w:r>
      <w:r w:rsidRPr="002F7356">
        <w:rPr>
          <w:b/>
          <w:bCs/>
          <w:i/>
          <w:iCs/>
          <w:lang w:val="fr-CH"/>
        </w:rPr>
        <w:t>)</w:t>
      </w:r>
      <w:r w:rsidRPr="002F7356">
        <w:rPr>
          <w:i/>
          <w:iCs/>
          <w:lang w:val="fr-CH"/>
        </w:rPr>
        <w:t xml:space="preserve"> relative à l</w:t>
      </w:r>
      <w:r w:rsidR="002F7356" w:rsidRPr="002F7356">
        <w:rPr>
          <w:i/>
          <w:iCs/>
          <w:lang w:val="fr-CH"/>
        </w:rPr>
        <w:t>'</w:t>
      </w:r>
      <w:r w:rsidRPr="002F7356">
        <w:rPr>
          <w:i/>
          <w:iCs/>
          <w:lang w:val="fr-CH"/>
        </w:rPr>
        <w:t>utilisation de la bande de fréquences 694-790 MHz dans la Région 1 par le service mobile, sauf mobile aéronautique, et par d</w:t>
      </w:r>
      <w:r w:rsidR="002F7356" w:rsidRPr="002F7356">
        <w:rPr>
          <w:i/>
          <w:iCs/>
          <w:lang w:val="fr-CH"/>
        </w:rPr>
        <w:t>'</w:t>
      </w:r>
      <w:r w:rsidRPr="002F7356">
        <w:rPr>
          <w:i/>
          <w:iCs/>
          <w:lang w:val="fr-CH"/>
        </w:rPr>
        <w:t>autres services</w:t>
      </w:r>
      <w:r w:rsidRPr="001B6223">
        <w:rPr>
          <w:lang w:val="fr-CH" w:eastAsia="ko-KR"/>
        </w:rPr>
        <w:t>. Par le biais de cette Résolution</w:t>
      </w:r>
      <w:r>
        <w:rPr>
          <w:lang w:val="fr-CH" w:eastAsia="ko-KR"/>
        </w:rPr>
        <w:t>,</w:t>
      </w:r>
      <w:r w:rsidRPr="001B6223">
        <w:rPr>
          <w:lang w:val="fr-CH" w:eastAsia="ko-KR"/>
        </w:rPr>
        <w:t xml:space="preserve"> la CMR</w:t>
      </w:r>
      <w:r>
        <w:rPr>
          <w:lang w:val="fr-CH" w:eastAsia="ko-KR"/>
        </w:rPr>
        <w:noBreakHyphen/>
      </w:r>
      <w:r w:rsidRPr="001B6223">
        <w:rPr>
          <w:lang w:val="fr-CH" w:eastAsia="ko-KR"/>
        </w:rPr>
        <w:t>15 a défini de nouveaux critères</w:t>
      </w:r>
      <w:r>
        <w:rPr>
          <w:lang w:val="fr-CH" w:eastAsia="ko-KR"/>
        </w:rPr>
        <w:t xml:space="preserve"> à utiliser</w:t>
      </w:r>
      <w:r w:rsidRPr="001B6223">
        <w:rPr>
          <w:lang w:val="fr-CH" w:eastAsia="ko-KR"/>
        </w:rPr>
        <w:t xml:space="preserve"> pour identifier les administrations susceptibles d</w:t>
      </w:r>
      <w:r w:rsidR="002F7356">
        <w:rPr>
          <w:lang w:val="fr-CH" w:eastAsia="ko-KR"/>
        </w:rPr>
        <w:t>'</w:t>
      </w:r>
      <w:r w:rsidRPr="001B6223">
        <w:rPr>
          <w:lang w:val="fr-CH" w:eastAsia="ko-KR"/>
        </w:rPr>
        <w:t>être affecté</w:t>
      </w:r>
      <w:r>
        <w:rPr>
          <w:lang w:val="fr-CH" w:eastAsia="ko-KR"/>
        </w:rPr>
        <w:t>e</w:t>
      </w:r>
      <w:r w:rsidRPr="001B6223">
        <w:rPr>
          <w:lang w:val="fr-CH" w:eastAsia="ko-KR"/>
        </w:rPr>
        <w:t xml:space="preserve">s </w:t>
      </w:r>
      <w:r>
        <w:rPr>
          <w:lang w:val="fr-CH" w:eastAsia="ko-KR"/>
        </w:rPr>
        <w:t>lors de l</w:t>
      </w:r>
      <w:r w:rsidR="002F7356">
        <w:rPr>
          <w:lang w:val="fr-CH" w:eastAsia="ko-KR"/>
        </w:rPr>
        <w:t>'</w:t>
      </w:r>
      <w:r>
        <w:rPr>
          <w:lang w:val="fr-CH" w:eastAsia="ko-KR"/>
        </w:rPr>
        <w:t xml:space="preserve">application de la procédure de </w:t>
      </w:r>
      <w:r>
        <w:rPr>
          <w:lang w:val="fr-CH" w:eastAsia="ko-KR"/>
        </w:rPr>
        <w:lastRenderedPageBreak/>
        <w:t>recherche d</w:t>
      </w:r>
      <w:r w:rsidR="002F7356">
        <w:rPr>
          <w:lang w:val="fr-CH" w:eastAsia="ko-KR"/>
        </w:rPr>
        <w:t>'</w:t>
      </w:r>
      <w:r>
        <w:rPr>
          <w:lang w:val="fr-CH" w:eastAsia="ko-KR"/>
        </w:rPr>
        <w:t>un accord conformément au numéro</w:t>
      </w:r>
      <w:r w:rsidRPr="001B6223">
        <w:rPr>
          <w:lang w:val="fr-CH"/>
        </w:rPr>
        <w:t> </w:t>
      </w:r>
      <w:r w:rsidRPr="001B6223">
        <w:rPr>
          <w:b/>
          <w:bCs/>
          <w:lang w:val="fr-CH"/>
        </w:rPr>
        <w:t>9.21</w:t>
      </w:r>
      <w:r>
        <w:rPr>
          <w:lang w:val="fr-CH"/>
        </w:rPr>
        <w:t xml:space="preserve"> par le service mobile vis-à-vis du service de radionavigation aéronautique dans les pays énumérés au numéro</w:t>
      </w:r>
      <w:r w:rsidRPr="001B6223">
        <w:rPr>
          <w:lang w:val="fr-CH"/>
        </w:rPr>
        <w:t> </w:t>
      </w:r>
      <w:r w:rsidRPr="001B6223">
        <w:rPr>
          <w:b/>
          <w:bCs/>
          <w:lang w:val="fr-CH"/>
        </w:rPr>
        <w:t>5.312</w:t>
      </w:r>
      <w:r w:rsidRPr="001B6223">
        <w:rPr>
          <w:lang w:val="fr-CH"/>
        </w:rPr>
        <w:t xml:space="preserve">. Les </w:t>
      </w:r>
      <w:r w:rsidR="002F7356" w:rsidRPr="001B6223">
        <w:rPr>
          <w:lang w:val="fr-CH"/>
        </w:rPr>
        <w:t>a</w:t>
      </w:r>
      <w:r w:rsidRPr="001B6223">
        <w:rPr>
          <w:lang w:val="fr-CH"/>
        </w:rPr>
        <w:t xml:space="preserve">dministrations peuvent utiliser ces </w:t>
      </w:r>
      <w:r>
        <w:rPr>
          <w:lang w:val="fr-CH"/>
        </w:rPr>
        <w:t>critères pour établir les besoins de coordination pour leurs stations du service mobile. Le Bureau appliquera ces critères lorsqu</w:t>
      </w:r>
      <w:r w:rsidR="002F7356">
        <w:rPr>
          <w:lang w:val="fr-CH"/>
        </w:rPr>
        <w:t>'</w:t>
      </w:r>
      <w:r>
        <w:rPr>
          <w:lang w:val="fr-CH"/>
        </w:rPr>
        <w:t>il traitera les demandes soumises au titre du numéro</w:t>
      </w:r>
      <w:r w:rsidRPr="001B6223">
        <w:rPr>
          <w:lang w:val="fr-CH"/>
        </w:rPr>
        <w:t xml:space="preserve"> </w:t>
      </w:r>
      <w:r w:rsidRPr="001B6223">
        <w:rPr>
          <w:b/>
          <w:bCs/>
          <w:lang w:val="fr-CH"/>
        </w:rPr>
        <w:t>9.21</w:t>
      </w:r>
      <w:r w:rsidRPr="001B6223">
        <w:rPr>
          <w:lang w:val="fr-CH"/>
        </w:rPr>
        <w:t xml:space="preserve"> </w:t>
      </w:r>
      <w:r>
        <w:rPr>
          <w:lang w:val="fr-CH"/>
        </w:rPr>
        <w:t>pour identifier les administrations affectées.</w:t>
      </w:r>
    </w:p>
    <w:p w:rsidR="00FC4233" w:rsidRPr="001B6223" w:rsidRDefault="00FC4233" w:rsidP="00FC4233">
      <w:pPr>
        <w:pStyle w:val="enumlev1"/>
        <w:rPr>
          <w:lang w:val="fr-CH"/>
        </w:rPr>
      </w:pPr>
      <w:r w:rsidRPr="00FC4233">
        <w:rPr>
          <w:i/>
          <w:iCs/>
          <w:lang w:val="fr-CH"/>
        </w:rPr>
        <w:t>•</w:t>
      </w:r>
      <w:r>
        <w:rPr>
          <w:i/>
          <w:iCs/>
          <w:lang w:val="fr-CH"/>
        </w:rPr>
        <w:tab/>
      </w:r>
      <w:r w:rsidRPr="001B6223">
        <w:rPr>
          <w:lang w:val="fr-CH"/>
        </w:rPr>
        <w:t>La CMR</w:t>
      </w:r>
      <w:r>
        <w:rPr>
          <w:lang w:val="fr-CH"/>
        </w:rPr>
        <w:noBreakHyphen/>
      </w:r>
      <w:r w:rsidRPr="001B6223">
        <w:rPr>
          <w:lang w:val="fr-CH"/>
        </w:rPr>
        <w:t xml:space="preserve">15 a également modifié les Résolutions </w:t>
      </w:r>
      <w:r w:rsidRPr="001B6223">
        <w:rPr>
          <w:b/>
          <w:bCs/>
          <w:lang w:val="fr-CH"/>
        </w:rPr>
        <w:t>207, 417, 418, 517, 535, 705, 748, 749</w:t>
      </w:r>
      <w:r w:rsidRPr="001B6223">
        <w:rPr>
          <w:lang w:val="fr-CH"/>
        </w:rPr>
        <w:t xml:space="preserve"> et</w:t>
      </w:r>
      <w:r>
        <w:rPr>
          <w:lang w:val="fr-CH"/>
        </w:rPr>
        <w:t> </w:t>
      </w:r>
      <w:r w:rsidRPr="001B6223">
        <w:rPr>
          <w:b/>
          <w:bCs/>
          <w:lang w:val="fr-CH"/>
        </w:rPr>
        <w:t>906</w:t>
      </w:r>
      <w:r w:rsidRPr="001B6223">
        <w:rPr>
          <w:lang w:val="fr-CH"/>
        </w:rPr>
        <w:t xml:space="preserve"> </w:t>
      </w:r>
      <w:r>
        <w:rPr>
          <w:lang w:val="fr-CH"/>
        </w:rPr>
        <w:t>qui concernent les services de Terre. Toutefois, ces modifications sont d</w:t>
      </w:r>
      <w:r w:rsidR="002F7356">
        <w:rPr>
          <w:lang w:val="fr-CH"/>
        </w:rPr>
        <w:t>'</w:t>
      </w:r>
      <w:r>
        <w:rPr>
          <w:lang w:val="fr-CH"/>
        </w:rPr>
        <w:t>ordre rédactionnel et n</w:t>
      </w:r>
      <w:r w:rsidR="002F7356">
        <w:rPr>
          <w:lang w:val="fr-CH"/>
        </w:rPr>
        <w:t>'</w:t>
      </w:r>
      <w:r>
        <w:rPr>
          <w:lang w:val="fr-CH"/>
        </w:rPr>
        <w:t>ont donc pas d</w:t>
      </w:r>
      <w:r w:rsidR="002F7356">
        <w:rPr>
          <w:lang w:val="fr-CH"/>
        </w:rPr>
        <w:t>'</w:t>
      </w:r>
      <w:r>
        <w:rPr>
          <w:lang w:val="fr-CH"/>
        </w:rPr>
        <w:t>incidences sur les activités des administrations et du Bureau.</w:t>
      </w:r>
    </w:p>
    <w:p w:rsidR="00FC4233" w:rsidRPr="00DD3F23" w:rsidRDefault="00FC4233" w:rsidP="00FC4233">
      <w:pPr>
        <w:pStyle w:val="enumlev1"/>
        <w:rPr>
          <w:lang w:val="fr-CH"/>
        </w:rPr>
      </w:pPr>
      <w:r w:rsidRPr="00FC4233">
        <w:rPr>
          <w:i/>
          <w:iCs/>
          <w:lang w:val="fr-CH"/>
        </w:rPr>
        <w:t>•</w:t>
      </w:r>
      <w:r>
        <w:rPr>
          <w:i/>
          <w:iCs/>
          <w:lang w:val="fr-CH"/>
        </w:rPr>
        <w:tab/>
      </w:r>
      <w:r w:rsidRPr="001B6223">
        <w:rPr>
          <w:lang w:val="fr-CH"/>
        </w:rPr>
        <w:t>La CMR</w:t>
      </w:r>
      <w:r>
        <w:rPr>
          <w:lang w:val="fr-CH"/>
        </w:rPr>
        <w:noBreakHyphen/>
      </w:r>
      <w:r w:rsidRPr="001B6223">
        <w:rPr>
          <w:lang w:val="fr-CH"/>
        </w:rPr>
        <w:t>15 a abrogé</w:t>
      </w:r>
      <w:r>
        <w:rPr>
          <w:lang w:val="fr-CH"/>
        </w:rPr>
        <w:t>,</w:t>
      </w:r>
      <w:r w:rsidRPr="001B6223">
        <w:rPr>
          <w:lang w:val="fr-CH"/>
        </w:rPr>
        <w:t xml:space="preserve"> à compter du 28 novembre 2015</w:t>
      </w:r>
      <w:r>
        <w:rPr>
          <w:lang w:val="fr-CH"/>
        </w:rPr>
        <w:t>,</w:t>
      </w:r>
      <w:r w:rsidRPr="001B6223">
        <w:rPr>
          <w:lang w:val="fr-CH"/>
        </w:rPr>
        <w:t xml:space="preserve"> les Résolutions suivantes relatives aux services de Terre </w:t>
      </w:r>
      <w:r w:rsidRPr="00FC4233">
        <w:rPr>
          <w:lang w:val="fr-CH"/>
        </w:rPr>
        <w:t>–</w:t>
      </w:r>
      <w:r w:rsidRPr="001B6223">
        <w:rPr>
          <w:b/>
          <w:bCs/>
          <w:lang w:val="fr-CH"/>
        </w:rPr>
        <w:t xml:space="preserve"> 67, 153, 232, 233, 358, 423, 644, 648, 649, 653, 654, 755, 806, 807, 808</w:t>
      </w:r>
      <w:r w:rsidRPr="001B6223">
        <w:rPr>
          <w:lang w:val="fr-CH"/>
        </w:rPr>
        <w:t xml:space="preserve"> </w:t>
      </w:r>
      <w:r>
        <w:rPr>
          <w:lang w:val="fr-CH"/>
        </w:rPr>
        <w:t>et</w:t>
      </w:r>
      <w:r w:rsidRPr="001B6223">
        <w:rPr>
          <w:lang w:val="fr-CH"/>
        </w:rPr>
        <w:t xml:space="preserve"> </w:t>
      </w:r>
      <w:r w:rsidRPr="001B6223">
        <w:rPr>
          <w:b/>
          <w:bCs/>
          <w:lang w:val="fr-CH"/>
        </w:rPr>
        <w:t>957</w:t>
      </w:r>
      <w:r>
        <w:rPr>
          <w:lang w:val="fr-CH"/>
        </w:rPr>
        <w:t xml:space="preserve"> </w:t>
      </w:r>
      <w:r w:rsidRPr="00FC4233">
        <w:rPr>
          <w:lang w:val="fr-CH"/>
        </w:rPr>
        <w:t>–</w:t>
      </w:r>
      <w:r>
        <w:rPr>
          <w:lang w:val="fr-CH"/>
        </w:rPr>
        <w:t xml:space="preserve"> car les activités concernées avaient été menées à bien ou les objectifs ne sont plus pertinents.</w:t>
      </w:r>
    </w:p>
    <w:p w:rsidR="00FC4233" w:rsidRPr="00DD3F23" w:rsidRDefault="00FC4233" w:rsidP="001512C2">
      <w:pPr>
        <w:rPr>
          <w:lang w:val="fr-CH"/>
        </w:rPr>
      </w:pPr>
      <w:r w:rsidRPr="00DD3F23">
        <w:rPr>
          <w:lang w:val="fr-CH"/>
        </w:rPr>
        <w:t>2.2</w:t>
      </w:r>
      <w:r w:rsidRPr="00DD3F23">
        <w:rPr>
          <w:lang w:val="fr-CH"/>
        </w:rPr>
        <w:tab/>
        <w:t>La CMR</w:t>
      </w:r>
      <w:r>
        <w:rPr>
          <w:lang w:val="fr-CH"/>
        </w:rPr>
        <w:noBreakHyphen/>
      </w:r>
      <w:r w:rsidRPr="00DD3F23">
        <w:rPr>
          <w:lang w:val="fr-CH"/>
        </w:rPr>
        <w:t xml:space="preserve">15 a </w:t>
      </w:r>
      <w:r>
        <w:rPr>
          <w:lang w:val="fr-CH"/>
        </w:rPr>
        <w:t xml:space="preserve">ajouté </w:t>
      </w:r>
      <w:r w:rsidRPr="00DD3F23">
        <w:rPr>
          <w:lang w:val="fr-CH"/>
        </w:rPr>
        <w:t>une attribution au service mobile, sauf mobile aéronautique</w:t>
      </w:r>
      <w:r>
        <w:rPr>
          <w:lang w:val="fr-CH"/>
        </w:rPr>
        <w:t>,</w:t>
      </w:r>
      <w:r w:rsidRPr="00DD3F23">
        <w:rPr>
          <w:lang w:val="fr-CH"/>
        </w:rPr>
        <w:t xml:space="preserve"> dans la bande de fréquences 694</w:t>
      </w:r>
      <w:r>
        <w:rPr>
          <w:lang w:val="fr-CH"/>
        </w:rPr>
        <w:noBreakHyphen/>
      </w:r>
      <w:r w:rsidRPr="00DD3F23">
        <w:rPr>
          <w:lang w:val="fr-CH"/>
        </w:rPr>
        <w:t>790 MHz</w:t>
      </w:r>
      <w:r>
        <w:rPr>
          <w:lang w:val="fr-CH"/>
        </w:rPr>
        <w:t xml:space="preserve"> en Région 1 dans le Tableau d</w:t>
      </w:r>
      <w:r w:rsidR="002F7356">
        <w:rPr>
          <w:lang w:val="fr-CH"/>
        </w:rPr>
        <w:t>'</w:t>
      </w:r>
      <w:r>
        <w:rPr>
          <w:lang w:val="fr-CH"/>
        </w:rPr>
        <w:t>attribution des bandes de fréquences et défini les conditions d</w:t>
      </w:r>
      <w:r w:rsidR="002F7356">
        <w:rPr>
          <w:lang w:val="fr-CH"/>
        </w:rPr>
        <w:t>'</w:t>
      </w:r>
      <w:r>
        <w:rPr>
          <w:lang w:val="fr-CH"/>
        </w:rPr>
        <w:t xml:space="preserve">utilisation de ce service. </w:t>
      </w:r>
      <w:r w:rsidRPr="00DD3F23">
        <w:rPr>
          <w:lang w:val="fr-CH"/>
        </w:rPr>
        <w:t>Cette attribution est entrée en vigueur le 28 novembre 2015 comme l</w:t>
      </w:r>
      <w:r w:rsidR="002F7356">
        <w:rPr>
          <w:lang w:val="fr-CH"/>
        </w:rPr>
        <w:t>'</w:t>
      </w:r>
      <w:r w:rsidRPr="00DD3F23">
        <w:rPr>
          <w:lang w:val="fr-CH"/>
        </w:rPr>
        <w:t xml:space="preserve">avait </w:t>
      </w:r>
      <w:r>
        <w:rPr>
          <w:lang w:val="fr-CH"/>
        </w:rPr>
        <w:t>décidé la CMR</w:t>
      </w:r>
      <w:r w:rsidR="001512C2">
        <w:rPr>
          <w:lang w:val="fr-CH"/>
        </w:rPr>
        <w:noBreakHyphen/>
      </w:r>
      <w:r>
        <w:rPr>
          <w:lang w:val="fr-CH"/>
        </w:rPr>
        <w:t xml:space="preserve">12 </w:t>
      </w:r>
      <w:r w:rsidR="001512C2">
        <w:rPr>
          <w:lang w:val="fr-CH"/>
        </w:rPr>
        <w:t>au</w:t>
      </w:r>
      <w:r>
        <w:rPr>
          <w:lang w:val="fr-CH"/>
        </w:rPr>
        <w:t xml:space="preserve"> point 2 du </w:t>
      </w:r>
      <w:r w:rsidRPr="001512C2">
        <w:rPr>
          <w:i/>
          <w:iCs/>
          <w:lang w:val="fr-CH"/>
        </w:rPr>
        <w:t>décide</w:t>
      </w:r>
      <w:r>
        <w:rPr>
          <w:lang w:val="fr-CH"/>
        </w:rPr>
        <w:t xml:space="preserve"> de la Résolution </w:t>
      </w:r>
      <w:r w:rsidRPr="00DD3F23">
        <w:rPr>
          <w:b/>
          <w:bCs/>
          <w:lang w:val="fr-CH" w:eastAsia="en-GB"/>
        </w:rPr>
        <w:t>232 (</w:t>
      </w:r>
      <w:r>
        <w:rPr>
          <w:b/>
          <w:bCs/>
          <w:lang w:val="fr-CH" w:eastAsia="en-GB"/>
        </w:rPr>
        <w:t>CMR</w:t>
      </w:r>
      <w:r w:rsidRPr="00DD3F23">
        <w:rPr>
          <w:b/>
          <w:bCs/>
          <w:lang w:val="fr-CH" w:eastAsia="en-GB"/>
        </w:rPr>
        <w:t>-12)</w:t>
      </w:r>
      <w:r w:rsidRPr="001512C2">
        <w:rPr>
          <w:lang w:val="fr-CH" w:eastAsia="en-GB"/>
        </w:rPr>
        <w:t xml:space="preserve">. </w:t>
      </w:r>
      <w:r w:rsidRPr="00DD3F23">
        <w:rPr>
          <w:lang w:val="fr-CH" w:eastAsia="en-GB"/>
        </w:rPr>
        <w:t>L</w:t>
      </w:r>
      <w:r w:rsidR="002F7356">
        <w:rPr>
          <w:lang w:val="fr-CH" w:eastAsia="en-GB"/>
        </w:rPr>
        <w:t>'</w:t>
      </w:r>
      <w:r w:rsidRPr="00DD3F23">
        <w:rPr>
          <w:lang w:val="fr-CH" w:eastAsia="en-GB"/>
        </w:rPr>
        <w:t>attention des administrations est attirée sur le fait que la mise en œuvre des stations du service mobile dans cette bande est subordonnée à l</w:t>
      </w:r>
      <w:r w:rsidR="002F7356">
        <w:rPr>
          <w:lang w:val="fr-CH" w:eastAsia="en-GB"/>
        </w:rPr>
        <w:t>'</w:t>
      </w:r>
      <w:r w:rsidRPr="00DD3F23">
        <w:rPr>
          <w:lang w:val="fr-CH" w:eastAsia="en-GB"/>
        </w:rPr>
        <w:t>application des procédures prévues dans l</w:t>
      </w:r>
      <w:r w:rsidR="002F7356">
        <w:rPr>
          <w:lang w:val="fr-CH" w:eastAsia="en-GB"/>
        </w:rPr>
        <w:t>'</w:t>
      </w:r>
      <w:r w:rsidRPr="00DD3F23">
        <w:rPr>
          <w:lang w:val="fr-CH" w:eastAsia="en-GB"/>
        </w:rPr>
        <w:t>Accord GE06 concernant le service de radiodiffusion ainsi que de la procédure prévue au numéro</w:t>
      </w:r>
      <w:r w:rsidR="001512C2">
        <w:rPr>
          <w:lang w:val="fr-CH" w:eastAsia="en-GB"/>
        </w:rPr>
        <w:t> </w:t>
      </w:r>
      <w:r w:rsidRPr="00DD3F23">
        <w:rPr>
          <w:b/>
          <w:bCs/>
          <w:lang w:val="fr-CH"/>
        </w:rPr>
        <w:t>9.21</w:t>
      </w:r>
      <w:r w:rsidRPr="00DD3F23">
        <w:rPr>
          <w:lang w:val="fr-CH"/>
        </w:rPr>
        <w:t xml:space="preserve"> </w:t>
      </w:r>
      <w:r>
        <w:rPr>
          <w:lang w:val="fr-CH"/>
        </w:rPr>
        <w:t>vis-à-vis du service de radionavigation aéronautique dans les pays énumérés au numéro</w:t>
      </w:r>
      <w:r w:rsidRPr="00DD3F23">
        <w:rPr>
          <w:lang w:val="fr-CH"/>
        </w:rPr>
        <w:t> </w:t>
      </w:r>
      <w:r w:rsidRPr="00DD3F23">
        <w:rPr>
          <w:b/>
          <w:bCs/>
          <w:lang w:val="fr-CH"/>
        </w:rPr>
        <w:t>5.312</w:t>
      </w:r>
      <w:r>
        <w:rPr>
          <w:lang w:val="fr-CH"/>
        </w:rPr>
        <w:t xml:space="preserve"> , conformément aux Résolutions </w:t>
      </w:r>
      <w:r w:rsidRPr="00DD3F23">
        <w:rPr>
          <w:b/>
          <w:bCs/>
          <w:lang w:val="fr-CH"/>
        </w:rPr>
        <w:t>224 (R</w:t>
      </w:r>
      <w:r w:rsidR="001512C2">
        <w:rPr>
          <w:b/>
          <w:bCs/>
          <w:lang w:val="fr-CH"/>
        </w:rPr>
        <w:t>é</w:t>
      </w:r>
      <w:r w:rsidRPr="00DD3F23">
        <w:rPr>
          <w:b/>
          <w:bCs/>
          <w:lang w:val="fr-CH"/>
        </w:rPr>
        <w:t>v.</w:t>
      </w:r>
      <w:r>
        <w:rPr>
          <w:b/>
          <w:bCs/>
          <w:lang w:val="fr-CH"/>
        </w:rPr>
        <w:t>CMR</w:t>
      </w:r>
      <w:r w:rsidRPr="00DD3F23">
        <w:rPr>
          <w:b/>
          <w:bCs/>
          <w:lang w:val="fr-CH"/>
        </w:rPr>
        <w:t>-15)</w:t>
      </w:r>
      <w:r w:rsidRPr="00DD3F23">
        <w:rPr>
          <w:lang w:val="fr-CH"/>
        </w:rPr>
        <w:t xml:space="preserve"> </w:t>
      </w:r>
      <w:r>
        <w:rPr>
          <w:lang w:val="fr-CH"/>
        </w:rPr>
        <w:t>et</w:t>
      </w:r>
      <w:r w:rsidRPr="00DD3F23">
        <w:rPr>
          <w:lang w:val="fr-CH"/>
        </w:rPr>
        <w:t xml:space="preserve"> </w:t>
      </w:r>
      <w:r w:rsidRPr="00DD3F23">
        <w:rPr>
          <w:b/>
          <w:bCs/>
          <w:lang w:val="fr-CH"/>
        </w:rPr>
        <w:t>760 (</w:t>
      </w:r>
      <w:r>
        <w:rPr>
          <w:b/>
          <w:bCs/>
          <w:lang w:val="fr-CH"/>
        </w:rPr>
        <w:t>CMR</w:t>
      </w:r>
      <w:r w:rsidRPr="00DD3F23">
        <w:rPr>
          <w:b/>
          <w:bCs/>
          <w:lang w:val="fr-CH"/>
        </w:rPr>
        <w:t>-15)</w:t>
      </w:r>
      <w:r w:rsidRPr="00DD3F23">
        <w:rPr>
          <w:lang w:val="fr-CH"/>
        </w:rPr>
        <w:t>.</w:t>
      </w:r>
    </w:p>
    <w:p w:rsidR="00FC4233" w:rsidRPr="00DD3F23" w:rsidRDefault="001512C2" w:rsidP="00546263">
      <w:pPr>
        <w:pStyle w:val="Heading1"/>
        <w:spacing w:before="400"/>
        <w:rPr>
          <w:color w:val="44546A"/>
          <w:lang w:val="fr-CH" w:eastAsia="en-GB"/>
        </w:rPr>
      </w:pPr>
      <w:r>
        <w:rPr>
          <w:lang w:val="fr-CH"/>
        </w:rPr>
        <w:t>3</w:t>
      </w:r>
      <w:r w:rsidR="00FC4233" w:rsidRPr="00DD3F23">
        <w:rPr>
          <w:lang w:val="fr-CH"/>
        </w:rPr>
        <w:tab/>
        <w:t>Décisions qui</w:t>
      </w:r>
      <w:r w:rsidR="00FC4233">
        <w:rPr>
          <w:lang w:val="fr-CH"/>
        </w:rPr>
        <w:t xml:space="preserve"> entreront en vigueur le 1</w:t>
      </w:r>
      <w:r w:rsidR="00FC4233" w:rsidRPr="001512C2">
        <w:rPr>
          <w:lang w:val="fr-CH"/>
        </w:rPr>
        <w:t>er</w:t>
      </w:r>
      <w:r>
        <w:rPr>
          <w:lang w:val="fr-CH"/>
        </w:rPr>
        <w:t xml:space="preserve"> janvier 2017</w:t>
      </w:r>
    </w:p>
    <w:p w:rsidR="00FC4233" w:rsidRPr="00DD3F23" w:rsidRDefault="00FC4233" w:rsidP="001512C2">
      <w:pPr>
        <w:rPr>
          <w:b/>
          <w:bCs/>
          <w:lang w:val="fr-CH"/>
        </w:rPr>
      </w:pPr>
      <w:r w:rsidRPr="00DD3F23">
        <w:rPr>
          <w:lang w:val="fr-CH"/>
        </w:rPr>
        <w:t>3.1</w:t>
      </w:r>
      <w:r w:rsidRPr="00DD3F23">
        <w:rPr>
          <w:lang w:val="fr-CH"/>
        </w:rPr>
        <w:tab/>
        <w:t>La CMR</w:t>
      </w:r>
      <w:r w:rsidR="001512C2">
        <w:rPr>
          <w:lang w:val="fr-CH"/>
        </w:rPr>
        <w:noBreakHyphen/>
      </w:r>
      <w:r w:rsidRPr="00DD3F23">
        <w:rPr>
          <w:lang w:val="fr-CH"/>
        </w:rPr>
        <w:t xml:space="preserve">15 a défini les nouveaux termes de </w:t>
      </w:r>
      <w:r w:rsidR="001512C2">
        <w:rPr>
          <w:lang w:val="fr-CH"/>
        </w:rPr>
        <w:t>«</w:t>
      </w:r>
      <w:r>
        <w:rPr>
          <w:lang w:val="fr-CH"/>
        </w:rPr>
        <w:t>station terrestre du service des auxiliaires de la météorologie</w:t>
      </w:r>
      <w:r w:rsidR="001512C2">
        <w:rPr>
          <w:lang w:val="fr-CH"/>
        </w:rPr>
        <w:t>»</w:t>
      </w:r>
      <w:r>
        <w:rPr>
          <w:lang w:val="fr-CH"/>
        </w:rPr>
        <w:t xml:space="preserve"> (numéro </w:t>
      </w:r>
      <w:r w:rsidRPr="00DD3F23">
        <w:rPr>
          <w:b/>
          <w:bCs/>
          <w:lang w:val="fr-CH"/>
        </w:rPr>
        <w:t>1.108A</w:t>
      </w:r>
      <w:r>
        <w:rPr>
          <w:lang w:val="fr-CH"/>
        </w:rPr>
        <w:t xml:space="preserve">) et de </w:t>
      </w:r>
      <w:r w:rsidR="001512C2">
        <w:rPr>
          <w:lang w:val="fr-CH"/>
        </w:rPr>
        <w:t>«</w:t>
      </w:r>
      <w:r>
        <w:rPr>
          <w:lang w:val="fr-CH"/>
        </w:rPr>
        <w:t>station mobile du service de</w:t>
      </w:r>
      <w:r w:rsidR="001512C2">
        <w:rPr>
          <w:lang w:val="fr-CH"/>
        </w:rPr>
        <w:t>s auxiliaires</w:t>
      </w:r>
      <w:r>
        <w:rPr>
          <w:lang w:val="fr-CH"/>
        </w:rPr>
        <w:t xml:space="preserve"> de la météorologie</w:t>
      </w:r>
      <w:r w:rsidR="001512C2">
        <w:rPr>
          <w:lang w:val="fr-CH"/>
        </w:rPr>
        <w:t>»</w:t>
      </w:r>
      <w:r>
        <w:rPr>
          <w:lang w:val="fr-CH"/>
        </w:rPr>
        <w:t xml:space="preserve"> (numéro </w:t>
      </w:r>
      <w:r w:rsidRPr="00DD3F23">
        <w:rPr>
          <w:b/>
          <w:bCs/>
          <w:lang w:val="fr-CH"/>
        </w:rPr>
        <w:t>1.108B</w:t>
      </w:r>
      <w:r w:rsidRPr="001512C2">
        <w:rPr>
          <w:lang w:val="fr-CH"/>
        </w:rPr>
        <w:t>).</w:t>
      </w:r>
    </w:p>
    <w:p w:rsidR="00FC4233" w:rsidRPr="00BF43AF" w:rsidRDefault="00FC4233" w:rsidP="001512C2">
      <w:pPr>
        <w:rPr>
          <w:lang w:val="fr-CH"/>
        </w:rPr>
      </w:pPr>
      <w:r w:rsidRPr="00FB661E">
        <w:rPr>
          <w:lang w:val="fr-CH"/>
        </w:rPr>
        <w:t>3.2</w:t>
      </w:r>
      <w:r w:rsidRPr="00FB661E">
        <w:rPr>
          <w:lang w:val="fr-CH"/>
        </w:rPr>
        <w:tab/>
        <w:t>La CMR</w:t>
      </w:r>
      <w:r w:rsidR="001512C2">
        <w:rPr>
          <w:lang w:val="fr-CH"/>
        </w:rPr>
        <w:noBreakHyphen/>
      </w:r>
      <w:r w:rsidRPr="00FB661E">
        <w:rPr>
          <w:lang w:val="fr-CH"/>
        </w:rPr>
        <w:t xml:space="preserve">15 a adopté le renvoi </w:t>
      </w:r>
      <w:r w:rsidRPr="00FB661E">
        <w:rPr>
          <w:b/>
          <w:bCs/>
          <w:lang w:val="fr-CH"/>
        </w:rPr>
        <w:t>5.265</w:t>
      </w:r>
      <w:r>
        <w:rPr>
          <w:lang w:val="fr-CH"/>
        </w:rPr>
        <w:t xml:space="preserve"> </w:t>
      </w:r>
      <w:r w:rsidRPr="00FB661E">
        <w:rPr>
          <w:lang w:val="fr-CH"/>
        </w:rPr>
        <w:t>qui rend obligatoire l</w:t>
      </w:r>
      <w:r w:rsidR="002F7356">
        <w:rPr>
          <w:lang w:val="fr-CH"/>
        </w:rPr>
        <w:t>'</w:t>
      </w:r>
      <w:r w:rsidRPr="00FB661E">
        <w:rPr>
          <w:lang w:val="fr-CH"/>
        </w:rPr>
        <w:t xml:space="preserve">application de la Résolution </w:t>
      </w:r>
      <w:r w:rsidRPr="00FB661E">
        <w:rPr>
          <w:b/>
          <w:bCs/>
          <w:lang w:val="fr-CH"/>
        </w:rPr>
        <w:t>205 (R</w:t>
      </w:r>
      <w:r w:rsidR="001512C2">
        <w:rPr>
          <w:b/>
          <w:bCs/>
          <w:lang w:val="fr-CH"/>
        </w:rPr>
        <w:t>é</w:t>
      </w:r>
      <w:r w:rsidRPr="00FB661E">
        <w:rPr>
          <w:b/>
          <w:bCs/>
          <w:lang w:val="fr-CH"/>
        </w:rPr>
        <w:t>v.</w:t>
      </w:r>
      <w:r>
        <w:rPr>
          <w:b/>
          <w:bCs/>
          <w:lang w:val="fr-CH"/>
        </w:rPr>
        <w:t>CMR</w:t>
      </w:r>
      <w:r w:rsidRPr="00FB661E">
        <w:rPr>
          <w:b/>
          <w:bCs/>
          <w:lang w:val="fr-CH"/>
        </w:rPr>
        <w:t>-15)</w:t>
      </w:r>
      <w:r>
        <w:rPr>
          <w:lang w:val="fr-CH"/>
        </w:rPr>
        <w:t xml:space="preserve"> dans la bande de fréquences </w:t>
      </w:r>
      <w:r w:rsidRPr="00FB661E">
        <w:rPr>
          <w:lang w:val="fr-CH"/>
        </w:rPr>
        <w:t>403</w:t>
      </w:r>
      <w:r w:rsidR="001512C2">
        <w:rPr>
          <w:lang w:val="fr-CH"/>
        </w:rPr>
        <w:noBreakHyphen/>
      </w:r>
      <w:r w:rsidRPr="00FB661E">
        <w:rPr>
          <w:lang w:val="fr-CH"/>
        </w:rPr>
        <w:t xml:space="preserve">410 MHz. Cette Résolution traite de la protection des systèmes fonctionnant dans le service mobile par satellite </w:t>
      </w:r>
      <w:r>
        <w:rPr>
          <w:lang w:val="fr-CH"/>
        </w:rPr>
        <w:t xml:space="preserve">dans la bande de fréquences </w:t>
      </w:r>
      <w:bookmarkStart w:id="1" w:name="_Toc327364380"/>
      <w:r w:rsidRPr="00FB661E">
        <w:rPr>
          <w:lang w:val="fr-CH" w:eastAsia="ja-JP"/>
        </w:rPr>
        <w:t>406</w:t>
      </w:r>
      <w:r w:rsidR="001512C2">
        <w:rPr>
          <w:lang w:val="fr-CH" w:eastAsia="ja-JP"/>
        </w:rPr>
        <w:noBreakHyphen/>
      </w:r>
      <w:r w:rsidRPr="00FB661E">
        <w:rPr>
          <w:lang w:val="fr-CH" w:eastAsia="ja-JP"/>
        </w:rPr>
        <w:t>406</w:t>
      </w:r>
      <w:r>
        <w:rPr>
          <w:lang w:val="fr-CH" w:eastAsia="ja-JP"/>
        </w:rPr>
        <w:t>,</w:t>
      </w:r>
      <w:r w:rsidRPr="00FB661E">
        <w:rPr>
          <w:lang w:val="fr-CH" w:eastAsia="ja-JP"/>
        </w:rPr>
        <w:t>1 MHz</w:t>
      </w:r>
      <w:bookmarkEnd w:id="1"/>
      <w:r w:rsidRPr="00FB661E">
        <w:rPr>
          <w:lang w:val="fr-CH" w:eastAsia="ja-JP"/>
        </w:rPr>
        <w:t xml:space="preserve">. </w:t>
      </w:r>
      <w:r w:rsidRPr="00BF43AF">
        <w:rPr>
          <w:lang w:val="fr-CH" w:eastAsia="ja-JP"/>
        </w:rPr>
        <w:t>La CMR</w:t>
      </w:r>
      <w:r w:rsidR="001512C2">
        <w:rPr>
          <w:lang w:val="fr-CH" w:eastAsia="ja-JP"/>
        </w:rPr>
        <w:noBreakHyphen/>
      </w:r>
      <w:r w:rsidRPr="00BF43AF">
        <w:rPr>
          <w:lang w:val="fr-CH" w:eastAsia="ja-JP"/>
        </w:rPr>
        <w:t xml:space="preserve">15 a ajouté </w:t>
      </w:r>
      <w:r w:rsidR="001512C2">
        <w:rPr>
          <w:lang w:val="fr-CH" w:eastAsia="ja-JP"/>
        </w:rPr>
        <w:t xml:space="preserve">dans cette Résolution </w:t>
      </w:r>
      <w:r w:rsidRPr="00BF43AF">
        <w:rPr>
          <w:lang w:val="fr-CH" w:eastAsia="ja-JP"/>
        </w:rPr>
        <w:t>deux nouveaux éléments quant au fond</w:t>
      </w:r>
      <w:r w:rsidRPr="00BF43AF">
        <w:rPr>
          <w:lang w:val="fr-CH"/>
        </w:rPr>
        <w:t>:</w:t>
      </w:r>
    </w:p>
    <w:p w:rsidR="00FC4233" w:rsidRPr="00BF43AF" w:rsidRDefault="001512C2" w:rsidP="002F7356">
      <w:pPr>
        <w:pStyle w:val="enumlev1"/>
        <w:rPr>
          <w:lang w:val="fr-CH"/>
        </w:rPr>
      </w:pPr>
      <w:r w:rsidRPr="001512C2">
        <w:rPr>
          <w:lang w:val="fr-CH"/>
        </w:rPr>
        <w:t>–</w:t>
      </w:r>
      <w:r>
        <w:rPr>
          <w:lang w:val="fr-CH"/>
        </w:rPr>
        <w:tab/>
      </w:r>
      <w:r w:rsidR="00FC4233" w:rsidRPr="00BF43AF">
        <w:rPr>
          <w:lang w:val="fr-CH"/>
        </w:rPr>
        <w:t xml:space="preserve">au point </w:t>
      </w:r>
      <w:r w:rsidR="00FC4233" w:rsidRPr="001512C2">
        <w:rPr>
          <w:lang w:val="fr-CH"/>
        </w:rPr>
        <w:t>1 du</w:t>
      </w:r>
      <w:r w:rsidR="00FC4233" w:rsidRPr="00BF43AF">
        <w:rPr>
          <w:i/>
          <w:iCs/>
          <w:lang w:val="fr-CH"/>
        </w:rPr>
        <w:t xml:space="preserve"> décide</w:t>
      </w:r>
      <w:r>
        <w:rPr>
          <w:i/>
          <w:iCs/>
          <w:lang w:val="fr-CH"/>
        </w:rPr>
        <w:t xml:space="preserve">, </w:t>
      </w:r>
      <w:r>
        <w:rPr>
          <w:lang w:val="fr-CH"/>
        </w:rPr>
        <w:t>il est demandé aux</w:t>
      </w:r>
      <w:r w:rsidR="00FC4233" w:rsidRPr="00BF43AF">
        <w:rPr>
          <w:lang w:val="fr-CH"/>
        </w:rPr>
        <w:t xml:space="preserve"> administrations de ne pas procéder à de nouvelles</w:t>
      </w:r>
      <w:r w:rsidR="00FC4233">
        <w:rPr>
          <w:lang w:val="fr-CH"/>
        </w:rPr>
        <w:t xml:space="preserve"> assignations de fréquence dans les bandes de fréquences</w:t>
      </w:r>
      <w:r w:rsidR="00FC4233" w:rsidRPr="00BF43AF">
        <w:rPr>
          <w:lang w:val="fr-CH"/>
        </w:rPr>
        <w:t xml:space="preserve"> 405</w:t>
      </w:r>
      <w:r>
        <w:rPr>
          <w:lang w:val="fr-CH"/>
        </w:rPr>
        <w:t>,</w:t>
      </w:r>
      <w:r w:rsidR="00FC4233" w:rsidRPr="00BF43AF">
        <w:rPr>
          <w:lang w:val="fr-CH"/>
        </w:rPr>
        <w:t xml:space="preserve">9-406 MHz </w:t>
      </w:r>
      <w:r>
        <w:rPr>
          <w:lang w:val="fr-CH"/>
        </w:rPr>
        <w:t>et</w:t>
      </w:r>
      <w:r w:rsidR="00FC4233" w:rsidRPr="00BF43AF">
        <w:rPr>
          <w:lang w:val="fr-CH"/>
        </w:rPr>
        <w:t xml:space="preserve"> 406</w:t>
      </w:r>
      <w:r>
        <w:rPr>
          <w:lang w:val="fr-CH"/>
        </w:rPr>
        <w:t>,</w:t>
      </w:r>
      <w:r w:rsidR="00FC4233" w:rsidRPr="00BF43AF">
        <w:rPr>
          <w:lang w:val="fr-CH"/>
        </w:rPr>
        <w:t>1</w:t>
      </w:r>
      <w:r>
        <w:rPr>
          <w:lang w:val="fr-CH"/>
        </w:rPr>
        <w:noBreakHyphen/>
      </w:r>
      <w:r w:rsidR="00FC4233" w:rsidRPr="00BF43AF">
        <w:rPr>
          <w:lang w:val="fr-CH"/>
        </w:rPr>
        <w:t>406</w:t>
      </w:r>
      <w:r w:rsidR="002F7356">
        <w:rPr>
          <w:lang w:val="fr-CH"/>
        </w:rPr>
        <w:t>,</w:t>
      </w:r>
      <w:r w:rsidR="00FC4233" w:rsidRPr="00BF43AF">
        <w:rPr>
          <w:lang w:val="fr-CH"/>
        </w:rPr>
        <w:t xml:space="preserve">2 MHz </w:t>
      </w:r>
      <w:r w:rsidR="00FC4233">
        <w:rPr>
          <w:lang w:val="fr-CH"/>
        </w:rPr>
        <w:t>dans le cadre des services mobile et fixe</w:t>
      </w:r>
      <w:r w:rsidR="00FC4233" w:rsidRPr="00BF43AF">
        <w:rPr>
          <w:lang w:val="fr-CH"/>
        </w:rPr>
        <w:t xml:space="preserve">; </w:t>
      </w:r>
      <w:r w:rsidR="00FC4233">
        <w:rPr>
          <w:lang w:val="fr-CH"/>
        </w:rPr>
        <w:t>et</w:t>
      </w:r>
    </w:p>
    <w:p w:rsidR="00FC4233" w:rsidRPr="00360BB5" w:rsidRDefault="001512C2" w:rsidP="002F7356">
      <w:pPr>
        <w:pStyle w:val="enumlev1"/>
        <w:rPr>
          <w:lang w:val="fr-CH"/>
        </w:rPr>
      </w:pPr>
      <w:r w:rsidRPr="001512C2">
        <w:rPr>
          <w:lang w:val="fr-CH"/>
        </w:rPr>
        <w:t>–</w:t>
      </w:r>
      <w:r>
        <w:rPr>
          <w:lang w:val="fr-CH"/>
        </w:rPr>
        <w:tab/>
      </w:r>
      <w:r w:rsidR="00FC4233" w:rsidRPr="00360BB5">
        <w:rPr>
          <w:lang w:val="fr-CH"/>
        </w:rPr>
        <w:t>aux termes du poin</w:t>
      </w:r>
      <w:r w:rsidR="00FC4233">
        <w:rPr>
          <w:lang w:val="fr-CH"/>
        </w:rPr>
        <w:t xml:space="preserve">t </w:t>
      </w:r>
      <w:r w:rsidR="002F7356">
        <w:rPr>
          <w:lang w:val="fr-CH"/>
        </w:rPr>
        <w:t>2</w:t>
      </w:r>
      <w:r w:rsidR="00FC4233" w:rsidRPr="00360BB5">
        <w:rPr>
          <w:lang w:val="fr-CH"/>
        </w:rPr>
        <w:t xml:space="preserve"> </w:t>
      </w:r>
      <w:r w:rsidR="00FC4233" w:rsidRPr="00360BB5">
        <w:rPr>
          <w:i/>
          <w:iCs/>
          <w:lang w:val="fr-CH"/>
        </w:rPr>
        <w:t>du charge le Directeur du Bureau des radiocommunications,</w:t>
      </w:r>
      <w:r>
        <w:rPr>
          <w:i/>
          <w:iCs/>
          <w:lang w:val="fr-CH"/>
        </w:rPr>
        <w:t xml:space="preserve"> </w:t>
      </w:r>
      <w:r w:rsidR="00FC4233" w:rsidRPr="00360BB5">
        <w:rPr>
          <w:lang w:val="fr-CH"/>
        </w:rPr>
        <w:t>le Bureau est chargé d</w:t>
      </w:r>
      <w:r w:rsidR="002F7356">
        <w:rPr>
          <w:lang w:val="fr-CH"/>
        </w:rPr>
        <w:t>'</w:t>
      </w:r>
      <w:r w:rsidR="00FC4233" w:rsidRPr="00360BB5">
        <w:rPr>
          <w:lang w:val="fr-CH"/>
        </w:rPr>
        <w:t>organiser</w:t>
      </w:r>
      <w:r w:rsidR="00FC4233">
        <w:rPr>
          <w:lang w:val="fr-CH"/>
        </w:rPr>
        <w:t xml:space="preserve"> des programmes de contrôle des émissions pour déterminer l</w:t>
      </w:r>
      <w:r w:rsidR="002F7356">
        <w:rPr>
          <w:lang w:val="fr-CH"/>
        </w:rPr>
        <w:t>'</w:t>
      </w:r>
      <w:r w:rsidR="00FC4233">
        <w:rPr>
          <w:lang w:val="fr-CH"/>
        </w:rPr>
        <w:t>incidence des rayonnements non désirés provenant des systèmes fonctionnant dans les bandes de fréquences 405,</w:t>
      </w:r>
      <w:r w:rsidR="00FC4233" w:rsidRPr="00360BB5">
        <w:rPr>
          <w:lang w:val="fr-CH"/>
        </w:rPr>
        <w:t xml:space="preserve">9-406 MHz </w:t>
      </w:r>
      <w:r w:rsidR="00FC4233">
        <w:rPr>
          <w:lang w:val="fr-CH"/>
        </w:rPr>
        <w:t>et 406,1-406,</w:t>
      </w:r>
      <w:r w:rsidR="00FC4233" w:rsidRPr="00360BB5">
        <w:rPr>
          <w:lang w:val="fr-CH"/>
        </w:rPr>
        <w:t xml:space="preserve">2 MHz </w:t>
      </w:r>
      <w:r w:rsidR="00FC4233">
        <w:rPr>
          <w:lang w:val="fr-CH"/>
        </w:rPr>
        <w:t xml:space="preserve">sur la réception par le SMS dans la bande de fréquences </w:t>
      </w:r>
      <w:r w:rsidR="00FC4233" w:rsidRPr="00360BB5">
        <w:rPr>
          <w:lang w:val="fr-CH"/>
        </w:rPr>
        <w:t>406-406</w:t>
      </w:r>
      <w:r>
        <w:rPr>
          <w:lang w:val="fr-CH"/>
        </w:rPr>
        <w:t>,</w:t>
      </w:r>
      <w:r w:rsidR="00FC4233" w:rsidRPr="00360BB5">
        <w:rPr>
          <w:lang w:val="fr-CH"/>
        </w:rPr>
        <w:t>1 MHz.</w:t>
      </w:r>
    </w:p>
    <w:p w:rsidR="00FC4233" w:rsidRPr="00360BB5" w:rsidRDefault="00FC4233" w:rsidP="001512C2">
      <w:pPr>
        <w:rPr>
          <w:lang w:val="fr-CH"/>
        </w:rPr>
      </w:pPr>
      <w:r w:rsidRPr="00360BB5">
        <w:rPr>
          <w:lang w:val="fr-CH"/>
        </w:rPr>
        <w:t xml:space="preserve">En conséquence, à compter du 1er janvier 2017, le Bureau demandera aux administrations, </w:t>
      </w:r>
      <w:r w:rsidR="001512C2">
        <w:rPr>
          <w:lang w:val="fr-CH"/>
        </w:rPr>
        <w:t xml:space="preserve">dans le cas où elles </w:t>
      </w:r>
      <w:r w:rsidRPr="00360BB5">
        <w:rPr>
          <w:lang w:val="fr-CH"/>
        </w:rPr>
        <w:t>soumett</w:t>
      </w:r>
      <w:r w:rsidR="001512C2">
        <w:rPr>
          <w:lang w:val="fr-CH"/>
        </w:rPr>
        <w:t>rai</w:t>
      </w:r>
      <w:r w:rsidRPr="00360BB5">
        <w:rPr>
          <w:lang w:val="fr-CH"/>
        </w:rPr>
        <w:t xml:space="preserve">ent des assignations aux stations </w:t>
      </w:r>
      <w:r>
        <w:rPr>
          <w:lang w:val="fr-CH"/>
        </w:rPr>
        <w:t xml:space="preserve">des services fixe et mobile dans les bandes </w:t>
      </w:r>
      <w:r w:rsidRPr="00360BB5">
        <w:rPr>
          <w:lang w:val="fr-CH"/>
        </w:rPr>
        <w:t>405</w:t>
      </w:r>
      <w:r w:rsidR="001512C2">
        <w:rPr>
          <w:lang w:val="fr-CH"/>
        </w:rPr>
        <w:t>,</w:t>
      </w:r>
      <w:r w:rsidRPr="00360BB5">
        <w:rPr>
          <w:lang w:val="fr-CH"/>
        </w:rPr>
        <w:t xml:space="preserve">9-406 MHz </w:t>
      </w:r>
      <w:r>
        <w:rPr>
          <w:lang w:val="fr-CH"/>
        </w:rPr>
        <w:t>et</w:t>
      </w:r>
      <w:r w:rsidRPr="00360BB5">
        <w:rPr>
          <w:lang w:val="fr-CH"/>
        </w:rPr>
        <w:t xml:space="preserve"> 406</w:t>
      </w:r>
      <w:r w:rsidR="001512C2">
        <w:rPr>
          <w:lang w:val="fr-CH"/>
        </w:rPr>
        <w:t>,</w:t>
      </w:r>
      <w:r w:rsidRPr="00360BB5">
        <w:rPr>
          <w:lang w:val="fr-CH"/>
        </w:rPr>
        <w:t>1-406</w:t>
      </w:r>
      <w:r w:rsidR="001512C2">
        <w:rPr>
          <w:lang w:val="fr-CH"/>
        </w:rPr>
        <w:t>,</w:t>
      </w:r>
      <w:r w:rsidRPr="00360BB5">
        <w:rPr>
          <w:lang w:val="fr-CH"/>
        </w:rPr>
        <w:t xml:space="preserve">2 MHz, </w:t>
      </w:r>
      <w:r>
        <w:rPr>
          <w:lang w:val="fr-CH"/>
        </w:rPr>
        <w:t>de s</w:t>
      </w:r>
      <w:r w:rsidR="002F7356">
        <w:rPr>
          <w:lang w:val="fr-CH"/>
        </w:rPr>
        <w:t>'</w:t>
      </w:r>
      <w:r>
        <w:rPr>
          <w:lang w:val="fr-CH"/>
        </w:rPr>
        <w:t>abstenir d</w:t>
      </w:r>
      <w:r w:rsidR="002F7356">
        <w:rPr>
          <w:lang w:val="fr-CH"/>
        </w:rPr>
        <w:t>'</w:t>
      </w:r>
      <w:r>
        <w:rPr>
          <w:lang w:val="fr-CH"/>
        </w:rPr>
        <w:t xml:space="preserve">assigner </w:t>
      </w:r>
      <w:r w:rsidR="001512C2">
        <w:rPr>
          <w:lang w:val="fr-CH"/>
        </w:rPr>
        <w:t>d</w:t>
      </w:r>
      <w:r>
        <w:rPr>
          <w:lang w:val="fr-CH"/>
        </w:rPr>
        <w:t>es fréquences</w:t>
      </w:r>
      <w:r w:rsidR="001512C2">
        <w:rPr>
          <w:lang w:val="fr-CH"/>
        </w:rPr>
        <w:t xml:space="preserve"> dans ces bandes</w:t>
      </w:r>
      <w:r>
        <w:rPr>
          <w:lang w:val="fr-CH"/>
        </w:rPr>
        <w:t xml:space="preserve">. </w:t>
      </w:r>
      <w:r w:rsidRPr="00360BB5">
        <w:rPr>
          <w:lang w:val="fr-CH"/>
        </w:rPr>
        <w:t xml:space="preserve">Le Bureau organisera également les programmes de contrôle des émissions </w:t>
      </w:r>
      <w:r>
        <w:rPr>
          <w:lang w:val="fr-CH"/>
        </w:rPr>
        <w:t>susmentionné</w:t>
      </w:r>
      <w:r w:rsidR="001512C2">
        <w:rPr>
          <w:lang w:val="fr-CH"/>
        </w:rPr>
        <w:t>s e</w:t>
      </w:r>
      <w:r>
        <w:rPr>
          <w:lang w:val="fr-CH"/>
        </w:rPr>
        <w:t>t informera en conséquence les administrations</w:t>
      </w:r>
      <w:r w:rsidRPr="00360BB5">
        <w:rPr>
          <w:lang w:val="fr-CH"/>
        </w:rPr>
        <w:t>.</w:t>
      </w:r>
    </w:p>
    <w:p w:rsidR="00FC4233" w:rsidRPr="00360BB5" w:rsidRDefault="00FC4233" w:rsidP="00546263">
      <w:pPr>
        <w:keepNext/>
        <w:keepLines/>
        <w:rPr>
          <w:lang w:val="fr-CH"/>
        </w:rPr>
      </w:pPr>
      <w:r w:rsidRPr="00360BB5">
        <w:rPr>
          <w:lang w:val="fr-CH"/>
        </w:rPr>
        <w:lastRenderedPageBreak/>
        <w:t>3.3</w:t>
      </w:r>
      <w:r w:rsidRPr="00360BB5">
        <w:rPr>
          <w:lang w:val="fr-CH"/>
        </w:rPr>
        <w:tab/>
        <w:t>La CMR</w:t>
      </w:r>
      <w:r w:rsidR="001512C2">
        <w:rPr>
          <w:lang w:val="fr-CH"/>
        </w:rPr>
        <w:noBreakHyphen/>
      </w:r>
      <w:r w:rsidRPr="00360BB5">
        <w:rPr>
          <w:lang w:val="fr-CH"/>
        </w:rPr>
        <w:t xml:space="preserve">15 </w:t>
      </w:r>
      <w:r w:rsidR="001512C2">
        <w:rPr>
          <w:lang w:val="fr-CH"/>
        </w:rPr>
        <w:t>a</w:t>
      </w:r>
      <w:r w:rsidRPr="00360BB5">
        <w:rPr>
          <w:lang w:val="fr-CH"/>
        </w:rPr>
        <w:t xml:space="preserve"> apport</w:t>
      </w:r>
      <w:r w:rsidR="001512C2">
        <w:rPr>
          <w:lang w:val="fr-CH"/>
        </w:rPr>
        <w:t>é</w:t>
      </w:r>
      <w:r w:rsidRPr="00360BB5">
        <w:rPr>
          <w:lang w:val="fr-CH"/>
        </w:rPr>
        <w:t xml:space="preserve"> les modifications suivantes aux attributions concernant les services de Terre et aux identification</w:t>
      </w:r>
      <w:r>
        <w:rPr>
          <w:lang w:val="fr-CH"/>
        </w:rPr>
        <w:t>s</w:t>
      </w:r>
      <w:r w:rsidRPr="00360BB5">
        <w:rPr>
          <w:lang w:val="fr-CH"/>
        </w:rPr>
        <w:t xml:space="preserve"> de bande</w:t>
      </w:r>
      <w:r>
        <w:rPr>
          <w:lang w:val="fr-CH"/>
        </w:rPr>
        <w:t>s</w:t>
      </w:r>
      <w:r w:rsidRPr="00360BB5">
        <w:rPr>
          <w:lang w:val="fr-CH"/>
        </w:rPr>
        <w:t xml:space="preserve"> pour </w:t>
      </w:r>
      <w:r>
        <w:rPr>
          <w:lang w:val="fr-CH"/>
        </w:rPr>
        <w:t>des applications bien précises, ainsi qu</w:t>
      </w:r>
      <w:r w:rsidR="002F7356">
        <w:rPr>
          <w:lang w:val="fr-CH"/>
        </w:rPr>
        <w:t>'</w:t>
      </w:r>
      <w:r>
        <w:rPr>
          <w:lang w:val="fr-CH"/>
        </w:rPr>
        <w:t>aux conditions associées d</w:t>
      </w:r>
      <w:r w:rsidR="002F7356">
        <w:rPr>
          <w:lang w:val="fr-CH"/>
        </w:rPr>
        <w:t>'</w:t>
      </w:r>
      <w:r>
        <w:rPr>
          <w:lang w:val="fr-CH"/>
        </w:rPr>
        <w:t>exploitation des services concernés dans les bandes de fréquences respectives</w:t>
      </w:r>
      <w:r w:rsidRPr="00360BB5">
        <w:rPr>
          <w:lang w:val="fr-CH"/>
        </w:rPr>
        <w:t>:</w:t>
      </w:r>
    </w:p>
    <w:p w:rsidR="00FC4233" w:rsidRPr="00360BB5" w:rsidRDefault="001512C2" w:rsidP="00546263">
      <w:pPr>
        <w:pStyle w:val="enumlev1"/>
        <w:keepNext/>
        <w:keepLines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Pr="00360BB5">
        <w:rPr>
          <w:lang w:val="fr-CH"/>
        </w:rPr>
        <w:t>A</w:t>
      </w:r>
      <w:r w:rsidR="00FC4233" w:rsidRPr="00360BB5">
        <w:rPr>
          <w:lang w:val="fr-CH"/>
        </w:rPr>
        <w:t xml:space="preserve">ttribution au service mobile et identification pour les IMT </w:t>
      </w:r>
      <w:r w:rsidR="00FC4233">
        <w:rPr>
          <w:lang w:val="fr-CH"/>
        </w:rPr>
        <w:t>de</w:t>
      </w:r>
      <w:r w:rsidR="00FC4233" w:rsidRPr="00360BB5">
        <w:rPr>
          <w:lang w:val="fr-CH"/>
        </w:rPr>
        <w:t xml:space="preserve"> différentes parties de la bande 470-698 MHz dans certains pays de la Région 2 </w:t>
      </w:r>
      <w:r w:rsidR="00FC4233">
        <w:rPr>
          <w:lang w:val="fr-CH"/>
        </w:rPr>
        <w:t xml:space="preserve">et identification pour les IMT dans plusieurs pays de la Région </w:t>
      </w:r>
      <w:r w:rsidR="00FC4233" w:rsidRPr="00360BB5">
        <w:rPr>
          <w:lang w:val="fr-CH"/>
        </w:rPr>
        <w:t>3</w:t>
      </w:r>
      <w:r w:rsidR="00FC4233">
        <w:rPr>
          <w:lang w:val="fr-CH"/>
        </w:rPr>
        <w:t>, sous réserve de l</w:t>
      </w:r>
      <w:r w:rsidR="002F7356">
        <w:rPr>
          <w:lang w:val="fr-CH"/>
        </w:rPr>
        <w:t>'</w:t>
      </w:r>
      <w:r w:rsidR="00FC4233">
        <w:rPr>
          <w:lang w:val="fr-CH"/>
        </w:rPr>
        <w:t>application du numéro</w:t>
      </w:r>
      <w:r w:rsidR="00FC4233" w:rsidRPr="00360BB5">
        <w:rPr>
          <w:lang w:val="fr-CH"/>
        </w:rPr>
        <w:t xml:space="preserve"> </w:t>
      </w:r>
      <w:r w:rsidR="00FC4233" w:rsidRPr="00360BB5">
        <w:rPr>
          <w:b/>
          <w:lang w:val="fr-CH"/>
        </w:rPr>
        <w:t>9.21</w:t>
      </w:r>
      <w:r w:rsidR="00FC4233" w:rsidRPr="00360BB5">
        <w:rPr>
          <w:lang w:val="fr-CH"/>
        </w:rPr>
        <w:t xml:space="preserve"> et, dans certains cas, </w:t>
      </w:r>
      <w:r>
        <w:rPr>
          <w:lang w:val="fr-CH"/>
        </w:rPr>
        <w:t>à</w:t>
      </w:r>
      <w:r w:rsidR="00FC4233" w:rsidRPr="00360BB5">
        <w:rPr>
          <w:lang w:val="fr-CH"/>
        </w:rPr>
        <w:t xml:space="preserve"> condition </w:t>
      </w:r>
      <w:r w:rsidR="00FC4233">
        <w:rPr>
          <w:lang w:val="fr-CH"/>
        </w:rPr>
        <w:t>de ne pas causer de brouillage, comme indiqué aux numéros</w:t>
      </w:r>
      <w:r w:rsidR="00FC4233" w:rsidRPr="00360BB5">
        <w:rPr>
          <w:lang w:val="fr-CH"/>
        </w:rPr>
        <w:t xml:space="preserve"> </w:t>
      </w:r>
      <w:r w:rsidR="00FC4233" w:rsidRPr="00360BB5">
        <w:rPr>
          <w:b/>
          <w:lang w:val="fr-CH"/>
        </w:rPr>
        <w:t>5.295</w:t>
      </w:r>
      <w:r w:rsidR="00FC4233" w:rsidRPr="00360BB5">
        <w:rPr>
          <w:lang w:val="fr-CH"/>
        </w:rPr>
        <w:t>,</w:t>
      </w:r>
      <w:r w:rsidR="00FC4233" w:rsidRPr="00360BB5">
        <w:rPr>
          <w:b/>
          <w:lang w:val="fr-CH"/>
        </w:rPr>
        <w:t xml:space="preserve"> 5.296A,</w:t>
      </w:r>
      <w:r w:rsidR="00FC4233" w:rsidRPr="00360BB5">
        <w:rPr>
          <w:lang w:val="fr-CH"/>
        </w:rPr>
        <w:t xml:space="preserve"> </w:t>
      </w:r>
      <w:r w:rsidR="00FC4233" w:rsidRPr="00360BB5">
        <w:rPr>
          <w:b/>
          <w:lang w:val="fr-CH"/>
        </w:rPr>
        <w:t xml:space="preserve">5.308 </w:t>
      </w:r>
      <w:r w:rsidR="00FC4233">
        <w:rPr>
          <w:lang w:val="fr-CH"/>
        </w:rPr>
        <w:t>et</w:t>
      </w:r>
      <w:r w:rsidR="00FC4233" w:rsidRPr="00360BB5">
        <w:rPr>
          <w:b/>
          <w:lang w:val="fr-CH"/>
        </w:rPr>
        <w:t xml:space="preserve"> 5.308A</w:t>
      </w:r>
      <w:r w:rsidR="00FC4233" w:rsidRPr="00360BB5">
        <w:rPr>
          <w:lang w:val="fr-CH"/>
        </w:rPr>
        <w:t>.</w:t>
      </w:r>
    </w:p>
    <w:p w:rsidR="00FC4233" w:rsidRPr="002F7356" w:rsidRDefault="001512C2" w:rsidP="00546263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546263">
        <w:rPr>
          <w:lang w:val="fr-CH"/>
        </w:rPr>
        <w:t>I</w:t>
      </w:r>
      <w:r w:rsidR="00FC4233" w:rsidRPr="00546263">
        <w:rPr>
          <w:rStyle w:val="Artdef"/>
          <w:rFonts w:asciiTheme="minorHAnsi" w:hAnsiTheme="minorHAnsi" w:cstheme="majorBidi"/>
          <w:b w:val="0"/>
          <w:bCs/>
          <w:lang w:val="fr-CH"/>
        </w:rPr>
        <w:t>dentification de la bande</w:t>
      </w:r>
      <w:r w:rsidR="00FC4233" w:rsidRPr="00360BB5">
        <w:rPr>
          <w:rStyle w:val="Artdef"/>
          <w:rFonts w:asciiTheme="minorHAnsi" w:hAnsiTheme="minorHAnsi" w:cstheme="majorBidi"/>
          <w:lang w:val="fr-CH"/>
        </w:rPr>
        <w:t xml:space="preserve"> </w:t>
      </w:r>
      <w:r w:rsidR="00FC4233" w:rsidRPr="00360BB5">
        <w:rPr>
          <w:lang w:val="fr-CH" w:eastAsia="ja-JP"/>
        </w:rPr>
        <w:t>1 427-1 518 </w:t>
      </w:r>
      <w:r w:rsidR="00FC4233" w:rsidRPr="00360BB5">
        <w:rPr>
          <w:lang w:val="fr-CH"/>
        </w:rPr>
        <w:t xml:space="preserve">MHz pour les IMT dans les trois Régions, </w:t>
      </w:r>
      <w:r>
        <w:rPr>
          <w:lang w:val="fr-CH"/>
        </w:rPr>
        <w:t>à</w:t>
      </w:r>
      <w:r w:rsidR="00FC4233" w:rsidRPr="00360BB5">
        <w:rPr>
          <w:lang w:val="fr-CH"/>
        </w:rPr>
        <w:t xml:space="preserve"> l</w:t>
      </w:r>
      <w:r w:rsidR="002F7356">
        <w:rPr>
          <w:lang w:val="fr-CH"/>
        </w:rPr>
        <w:t>'</w:t>
      </w:r>
      <w:r w:rsidR="00FC4233" w:rsidRPr="00360BB5">
        <w:rPr>
          <w:lang w:val="fr-CH"/>
        </w:rPr>
        <w:t>exception de la bande 1 452</w:t>
      </w:r>
      <w:r>
        <w:rPr>
          <w:lang w:val="fr-CH"/>
        </w:rPr>
        <w:noBreakHyphen/>
      </w:r>
      <w:r w:rsidR="00FC4233" w:rsidRPr="00360BB5">
        <w:rPr>
          <w:lang w:val="fr-CH"/>
        </w:rPr>
        <w:t>1 492 MHz</w:t>
      </w:r>
      <w:r w:rsidR="00FC4233">
        <w:rPr>
          <w:lang w:val="fr-CH"/>
        </w:rPr>
        <w:t xml:space="preserve"> pour laquelle l</w:t>
      </w:r>
      <w:r w:rsidR="002F7356">
        <w:rPr>
          <w:lang w:val="fr-CH"/>
        </w:rPr>
        <w:t>'</w:t>
      </w:r>
      <w:r w:rsidR="00FC4233">
        <w:rPr>
          <w:lang w:val="fr-CH"/>
        </w:rPr>
        <w:t>identification dans la Région 1 est limitée à 54 pays</w:t>
      </w:r>
      <w:r w:rsidR="00FC4233" w:rsidRPr="00360BB5">
        <w:rPr>
          <w:lang w:val="fr-CH"/>
        </w:rPr>
        <w:t xml:space="preserve">. </w:t>
      </w:r>
      <w:r w:rsidR="00FC4233" w:rsidRPr="00095ABA">
        <w:rPr>
          <w:lang w:val="fr-CH"/>
        </w:rPr>
        <w:t>L</w:t>
      </w:r>
      <w:r w:rsidR="002F7356">
        <w:rPr>
          <w:lang w:val="fr-CH"/>
        </w:rPr>
        <w:t>'</w:t>
      </w:r>
      <w:r w:rsidR="00FC4233" w:rsidRPr="00095ABA">
        <w:rPr>
          <w:lang w:val="fr-CH"/>
        </w:rPr>
        <w:t>identification est subordonnée à l</w:t>
      </w:r>
      <w:r w:rsidR="002F7356">
        <w:rPr>
          <w:lang w:val="fr-CH"/>
        </w:rPr>
        <w:t>'</w:t>
      </w:r>
      <w:r w:rsidR="00FC4233" w:rsidRPr="00095ABA">
        <w:rPr>
          <w:lang w:val="fr-CH"/>
        </w:rPr>
        <w:t xml:space="preserve">application du numéro </w:t>
      </w:r>
      <w:r w:rsidR="00FC4233" w:rsidRPr="00095ABA">
        <w:rPr>
          <w:b/>
          <w:lang w:val="fr-CH"/>
        </w:rPr>
        <w:t>9.21</w:t>
      </w:r>
      <w:r w:rsidR="00FC4233" w:rsidRPr="00095ABA">
        <w:rPr>
          <w:lang w:val="fr-CH"/>
        </w:rPr>
        <w:t xml:space="preserve"> </w:t>
      </w:r>
      <w:r w:rsidR="00FC4233">
        <w:rPr>
          <w:lang w:val="fr-CH"/>
        </w:rPr>
        <w:t xml:space="preserve">dans les Régions 1 </w:t>
      </w:r>
      <w:r>
        <w:rPr>
          <w:lang w:val="fr-CH"/>
        </w:rPr>
        <w:t>et</w:t>
      </w:r>
      <w:r w:rsidR="00546263">
        <w:rPr>
          <w:lang w:val="fr-CH"/>
        </w:rPr>
        <w:t> </w:t>
      </w:r>
      <w:r w:rsidR="00FC4233">
        <w:rPr>
          <w:lang w:val="fr-CH"/>
        </w:rPr>
        <w:t>3, comme indiqué aux numéros</w:t>
      </w:r>
      <w:r w:rsidR="00FC4233" w:rsidRPr="00095ABA">
        <w:rPr>
          <w:lang w:val="fr-CH"/>
        </w:rPr>
        <w:t xml:space="preserve"> </w:t>
      </w:r>
      <w:r w:rsidR="00FC4233" w:rsidRPr="00095ABA">
        <w:rPr>
          <w:b/>
          <w:lang w:val="fr-CH"/>
        </w:rPr>
        <w:t>5.341A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5.341B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5.341C</w:t>
      </w:r>
      <w:r w:rsidR="00FC4233" w:rsidRPr="00095ABA">
        <w:rPr>
          <w:rStyle w:val="Artdef"/>
          <w:rFonts w:asciiTheme="minorHAnsi" w:hAnsiTheme="minorHAnsi" w:cstheme="majorBidi"/>
          <w:bCs/>
          <w:lang w:val="fr-CH"/>
        </w:rPr>
        <w:t xml:space="preserve">, </w:t>
      </w:r>
      <w:r w:rsidR="00FC4233" w:rsidRPr="00095ABA">
        <w:rPr>
          <w:b/>
          <w:lang w:val="fr-CH"/>
        </w:rPr>
        <w:t>5.346</w:t>
      </w:r>
      <w:r w:rsidR="00FC4233" w:rsidRPr="002F7356">
        <w:rPr>
          <w:bCs/>
          <w:lang w:val="fr-CH"/>
        </w:rPr>
        <w:t xml:space="preserve"> </w:t>
      </w:r>
      <w:r w:rsidR="00FC4233" w:rsidRPr="002F7356">
        <w:rPr>
          <w:rStyle w:val="Artdef"/>
          <w:rFonts w:asciiTheme="minorHAnsi" w:hAnsiTheme="minorHAnsi" w:cstheme="majorBidi"/>
          <w:bCs/>
          <w:lang w:val="fr-CH"/>
        </w:rPr>
        <w:t xml:space="preserve">et </w:t>
      </w:r>
      <w:r w:rsidR="00FC4233" w:rsidRPr="00095ABA">
        <w:rPr>
          <w:b/>
          <w:lang w:val="fr-CH"/>
        </w:rPr>
        <w:t>5.346A</w:t>
      </w:r>
      <w:r w:rsidR="00FC4233" w:rsidRPr="00095ABA">
        <w:rPr>
          <w:lang w:val="fr-CH"/>
        </w:rPr>
        <w:t>.</w:t>
      </w:r>
    </w:p>
    <w:p w:rsidR="00FC4233" w:rsidRPr="00095ABA" w:rsidRDefault="001512C2" w:rsidP="002F7356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Pr="00095ABA">
        <w:rPr>
          <w:lang w:val="fr-CH"/>
        </w:rPr>
        <w:t>A</w:t>
      </w:r>
      <w:r w:rsidR="00FC4233" w:rsidRPr="00095ABA">
        <w:rPr>
          <w:lang w:val="fr-CH"/>
        </w:rPr>
        <w:t>ttribution de la bande 3 300</w:t>
      </w:r>
      <w:r>
        <w:rPr>
          <w:lang w:val="fr-CH"/>
        </w:rPr>
        <w:noBreakHyphen/>
      </w:r>
      <w:r w:rsidR="00FC4233" w:rsidRPr="00095ABA">
        <w:rPr>
          <w:lang w:val="fr-CH"/>
        </w:rPr>
        <w:t>3 400 MHz au service mobile, sauf mobile aéronautique, à titre primaire et identification pour les IMT dans un certain nombre de pays des trois Régions, sous réserve de ne pas causer de brouillage</w:t>
      </w:r>
      <w:r>
        <w:rPr>
          <w:lang w:val="fr-CH"/>
        </w:rPr>
        <w:t xml:space="preserve"> a</w:t>
      </w:r>
      <w:r w:rsidR="00FC4233">
        <w:rPr>
          <w:lang w:val="fr-CH"/>
        </w:rPr>
        <w:t>u service de radiolocalisation/ou de l</w:t>
      </w:r>
      <w:r w:rsidR="002F7356">
        <w:rPr>
          <w:lang w:val="fr-CH"/>
        </w:rPr>
        <w:t>'</w:t>
      </w:r>
      <w:r w:rsidR="00FC4233">
        <w:rPr>
          <w:lang w:val="fr-CH"/>
        </w:rPr>
        <w:t>application de la procédure prévue au numéro</w:t>
      </w:r>
      <w:r w:rsidR="00FC4233" w:rsidRPr="00095ABA">
        <w:rPr>
          <w:lang w:val="fr-CH"/>
        </w:rPr>
        <w:t xml:space="preserve"> </w:t>
      </w:r>
      <w:r w:rsidR="00FC4233" w:rsidRPr="00FC4233">
        <w:rPr>
          <w:b/>
          <w:lang w:val="fr-CH"/>
        </w:rPr>
        <w:t>9.21</w:t>
      </w:r>
      <w:r w:rsidR="00FC4233" w:rsidRPr="00FC4233">
        <w:rPr>
          <w:lang w:val="fr-CH"/>
        </w:rPr>
        <w:t>, comme indiqué aux numéros</w:t>
      </w:r>
      <w:r>
        <w:rPr>
          <w:lang w:val="fr-CH"/>
        </w:rPr>
        <w:t> </w:t>
      </w:r>
      <w:r w:rsidR="00FC4233" w:rsidRPr="00095ABA">
        <w:rPr>
          <w:b/>
          <w:lang w:val="fr-CH"/>
        </w:rPr>
        <w:t>5.429A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5.429B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5.429C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5.429D</w:t>
      </w:r>
      <w:r w:rsidR="00FC4233" w:rsidRPr="00095ABA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095ABA">
        <w:rPr>
          <w:b/>
          <w:lang w:val="fr-CH"/>
        </w:rPr>
        <w:t>5.429E</w:t>
      </w:r>
      <w:r w:rsidR="00FC4233" w:rsidRPr="00095ABA">
        <w:rPr>
          <w:rStyle w:val="Artdef"/>
          <w:rFonts w:asciiTheme="minorHAnsi" w:hAnsiTheme="minorHAnsi" w:cstheme="majorBidi"/>
          <w:bCs/>
          <w:lang w:val="fr-CH"/>
        </w:rPr>
        <w:t xml:space="preserve"> </w:t>
      </w:r>
      <w:r w:rsidR="00FC4233" w:rsidRPr="001512C2">
        <w:rPr>
          <w:rStyle w:val="Artdef"/>
          <w:rFonts w:asciiTheme="minorHAnsi" w:hAnsiTheme="minorHAnsi" w:cstheme="majorBidi"/>
          <w:b w:val="0"/>
          <w:lang w:val="fr-CH"/>
        </w:rPr>
        <w:t>et</w:t>
      </w:r>
      <w:r w:rsidR="00FC4233" w:rsidRPr="00095ABA">
        <w:rPr>
          <w:rStyle w:val="Artdef"/>
          <w:rFonts w:asciiTheme="minorHAnsi" w:hAnsiTheme="minorHAnsi" w:cstheme="majorBidi"/>
          <w:bCs/>
          <w:lang w:val="fr-CH"/>
        </w:rPr>
        <w:t xml:space="preserve"> </w:t>
      </w:r>
      <w:r w:rsidR="00FC4233" w:rsidRPr="00095ABA">
        <w:rPr>
          <w:b/>
          <w:lang w:val="fr-CH"/>
        </w:rPr>
        <w:t>5.429F</w:t>
      </w:r>
      <w:r w:rsidR="00FC4233" w:rsidRPr="001512C2">
        <w:rPr>
          <w:rStyle w:val="Artdef"/>
          <w:rFonts w:asciiTheme="minorHAnsi" w:hAnsiTheme="minorHAnsi" w:cstheme="majorBidi"/>
          <w:b w:val="0"/>
          <w:bCs/>
          <w:lang w:val="fr-CH"/>
        </w:rPr>
        <w:t xml:space="preserve">. Conformément au numéro </w:t>
      </w:r>
      <w:r w:rsidR="00FC4233" w:rsidRPr="00095ABA">
        <w:rPr>
          <w:b/>
          <w:lang w:val="fr-CH"/>
        </w:rPr>
        <w:t>5.429</w:t>
      </w:r>
      <w:r w:rsidR="00FC4233" w:rsidRPr="001512C2">
        <w:rPr>
          <w:b/>
          <w:lang w:val="fr-CH"/>
        </w:rPr>
        <w:t>C</w:t>
      </w:r>
      <w:r w:rsidRPr="001512C2">
        <w:rPr>
          <w:bCs/>
          <w:lang w:val="fr-CH"/>
        </w:rPr>
        <w:t xml:space="preserve">, </w:t>
      </w:r>
      <w:r w:rsidR="00FC4233" w:rsidRPr="00095ABA">
        <w:rPr>
          <w:lang w:val="fr-CH"/>
        </w:rPr>
        <w:t>cette bande est</w:t>
      </w:r>
      <w:r>
        <w:rPr>
          <w:lang w:val="fr-CH"/>
        </w:rPr>
        <w:t>,</w:t>
      </w:r>
      <w:r w:rsidR="00FC4233" w:rsidRPr="00095ABA">
        <w:rPr>
          <w:lang w:val="fr-CH"/>
        </w:rPr>
        <w:t xml:space="preserve"> de plus</w:t>
      </w:r>
      <w:r>
        <w:rPr>
          <w:lang w:val="fr-CH"/>
        </w:rPr>
        <w:t>,</w:t>
      </w:r>
      <w:r w:rsidR="00FC4233" w:rsidRPr="00095ABA">
        <w:rPr>
          <w:lang w:val="fr-CH"/>
        </w:rPr>
        <w:t xml:space="preserve"> attribuée au service fixe </w:t>
      </w:r>
      <w:r w:rsidRPr="00095ABA">
        <w:rPr>
          <w:lang w:val="fr-CH"/>
        </w:rPr>
        <w:t>à titre primaire</w:t>
      </w:r>
      <w:r w:rsidRPr="00095ABA">
        <w:rPr>
          <w:b/>
          <w:lang w:val="fr-CH"/>
        </w:rPr>
        <w:t xml:space="preserve"> </w:t>
      </w:r>
      <w:r w:rsidR="00FC4233" w:rsidRPr="00095ABA">
        <w:rPr>
          <w:lang w:val="fr-CH"/>
        </w:rPr>
        <w:t xml:space="preserve">dans certains pays de la Région 2 </w:t>
      </w:r>
      <w:r>
        <w:rPr>
          <w:lang w:val="fr-CH"/>
        </w:rPr>
        <w:t xml:space="preserve">et </w:t>
      </w:r>
      <w:r w:rsidR="00FC4233">
        <w:rPr>
          <w:lang w:val="fr-CH"/>
        </w:rPr>
        <w:t xml:space="preserve">dans certaines conditions. </w:t>
      </w:r>
    </w:p>
    <w:p w:rsidR="00FC4233" w:rsidRPr="00E71D90" w:rsidRDefault="001512C2" w:rsidP="00D3095A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095ABA">
        <w:rPr>
          <w:lang w:val="fr-CH"/>
        </w:rPr>
        <w:t>Extension géographique de l</w:t>
      </w:r>
      <w:r w:rsidR="002F7356">
        <w:rPr>
          <w:lang w:val="fr-CH"/>
        </w:rPr>
        <w:t>'</w:t>
      </w:r>
      <w:r w:rsidR="00FC4233" w:rsidRPr="00095ABA">
        <w:rPr>
          <w:lang w:val="fr-CH"/>
        </w:rPr>
        <w:t xml:space="preserve">attribution à titre primaire </w:t>
      </w:r>
      <w:r w:rsidR="00FC4233">
        <w:rPr>
          <w:lang w:val="fr-CH"/>
        </w:rPr>
        <w:t xml:space="preserve">au service mobile, sauf mobile aéronautique, dans la bande </w:t>
      </w:r>
      <w:r w:rsidR="00FC4233" w:rsidRPr="00095ABA">
        <w:rPr>
          <w:lang w:val="fr-CH"/>
        </w:rPr>
        <w:t xml:space="preserve">3 400-3 600 MHz </w:t>
      </w:r>
      <w:r w:rsidR="00FC4233">
        <w:rPr>
          <w:lang w:val="fr-CH"/>
        </w:rPr>
        <w:t>à l</w:t>
      </w:r>
      <w:r w:rsidR="002F7356">
        <w:rPr>
          <w:lang w:val="fr-CH"/>
        </w:rPr>
        <w:t>'</w:t>
      </w:r>
      <w:r w:rsidR="00FC4233">
        <w:rPr>
          <w:lang w:val="fr-CH"/>
        </w:rPr>
        <w:t xml:space="preserve">ensemble de la Région 1 et </w:t>
      </w:r>
      <w:r>
        <w:rPr>
          <w:lang w:val="fr-CH"/>
        </w:rPr>
        <w:t>à</w:t>
      </w:r>
      <w:r w:rsidR="00FC4233">
        <w:rPr>
          <w:lang w:val="fr-CH"/>
        </w:rPr>
        <w:t xml:space="preserve"> certains pays de la Région 3. Extension géographique de l</w:t>
      </w:r>
      <w:r w:rsidR="002F7356">
        <w:rPr>
          <w:lang w:val="fr-CH"/>
        </w:rPr>
        <w:t>'</w:t>
      </w:r>
      <w:r w:rsidR="00FC4233">
        <w:rPr>
          <w:lang w:val="fr-CH"/>
        </w:rPr>
        <w:t>attribution à titre primaire au service mobile, sauf mobile aéronautique</w:t>
      </w:r>
      <w:r>
        <w:rPr>
          <w:lang w:val="fr-CH"/>
        </w:rPr>
        <w:t>,</w:t>
      </w:r>
      <w:r w:rsidR="00FC4233">
        <w:rPr>
          <w:lang w:val="fr-CH"/>
        </w:rPr>
        <w:t xml:space="preserve"> dans la bande </w:t>
      </w:r>
      <w:r w:rsidR="00FC4233" w:rsidRPr="00095ABA">
        <w:rPr>
          <w:lang w:val="fr-CH"/>
        </w:rPr>
        <w:t>3 400-3 500 MHz</w:t>
      </w:r>
      <w:r w:rsidR="00FC4233">
        <w:rPr>
          <w:lang w:val="fr-CH"/>
        </w:rPr>
        <w:t xml:space="preserve"> à l</w:t>
      </w:r>
      <w:r w:rsidR="002F7356">
        <w:rPr>
          <w:lang w:val="fr-CH"/>
        </w:rPr>
        <w:t>'</w:t>
      </w:r>
      <w:r w:rsidR="00FC4233">
        <w:rPr>
          <w:lang w:val="fr-CH"/>
        </w:rPr>
        <w:t xml:space="preserve">ensemble de la Région </w:t>
      </w:r>
      <w:r w:rsidR="00FC4233" w:rsidRPr="00095ABA">
        <w:rPr>
          <w:lang w:val="fr-CH"/>
        </w:rPr>
        <w:t>2. Abrogation de l</w:t>
      </w:r>
      <w:r w:rsidR="002F7356">
        <w:rPr>
          <w:lang w:val="fr-CH"/>
        </w:rPr>
        <w:t>'</w:t>
      </w:r>
      <w:r w:rsidR="00FC4233" w:rsidRPr="00095ABA">
        <w:rPr>
          <w:lang w:val="fr-CH"/>
        </w:rPr>
        <w:t xml:space="preserve">attribution à titre secondaire au service mobile aéronautique </w:t>
      </w:r>
      <w:r w:rsidR="00FC4233">
        <w:rPr>
          <w:lang w:val="fr-CH"/>
        </w:rPr>
        <w:t>dans la bande 3</w:t>
      </w:r>
      <w:r w:rsidR="00D3095A">
        <w:rPr>
          <w:lang w:val="fr-CH"/>
        </w:rPr>
        <w:t> </w:t>
      </w:r>
      <w:r w:rsidR="00FC4233">
        <w:rPr>
          <w:lang w:val="fr-CH"/>
        </w:rPr>
        <w:t>400</w:t>
      </w:r>
      <w:r w:rsidR="00D3095A">
        <w:rPr>
          <w:lang w:val="fr-CH"/>
        </w:rPr>
        <w:noBreakHyphen/>
      </w:r>
      <w:r w:rsidR="00FC4233">
        <w:rPr>
          <w:lang w:val="fr-CH"/>
        </w:rPr>
        <w:t>3</w:t>
      </w:r>
      <w:r w:rsidR="00D3095A">
        <w:rPr>
          <w:lang w:val="fr-CH"/>
        </w:rPr>
        <w:t> </w:t>
      </w:r>
      <w:r w:rsidR="00FC4233">
        <w:rPr>
          <w:lang w:val="fr-CH"/>
        </w:rPr>
        <w:t xml:space="preserve">600 MHz dans la Région 1 et dans la bande </w:t>
      </w:r>
      <w:r w:rsidR="00FC4233" w:rsidRPr="00095ABA">
        <w:rPr>
          <w:lang w:val="fr-CH"/>
        </w:rPr>
        <w:t>3 400-3 500 MHz</w:t>
      </w:r>
      <w:r w:rsidR="00FC4233">
        <w:rPr>
          <w:lang w:val="fr-CH"/>
        </w:rPr>
        <w:t xml:space="preserve"> dans les Régions </w:t>
      </w:r>
      <w:r w:rsidR="00FC4233" w:rsidRPr="00095ABA">
        <w:rPr>
          <w:lang w:val="fr-CH"/>
        </w:rPr>
        <w:t xml:space="preserve">2 </w:t>
      </w:r>
      <w:r w:rsidR="00FC4233">
        <w:rPr>
          <w:lang w:val="fr-CH"/>
        </w:rPr>
        <w:t>et</w:t>
      </w:r>
      <w:r w:rsidR="00D3095A">
        <w:rPr>
          <w:lang w:val="fr-CH"/>
        </w:rPr>
        <w:t> </w:t>
      </w:r>
      <w:r w:rsidR="00FC4233" w:rsidRPr="00095ABA">
        <w:rPr>
          <w:lang w:val="fr-CH"/>
        </w:rPr>
        <w:t xml:space="preserve">3. </w:t>
      </w:r>
      <w:r w:rsidR="00FC4233" w:rsidRPr="00E71D90">
        <w:rPr>
          <w:lang w:val="fr-CH"/>
        </w:rPr>
        <w:t xml:space="preserve">Extension de </w:t>
      </w:r>
      <w:r w:rsidR="00D3095A">
        <w:rPr>
          <w:lang w:val="fr-CH"/>
        </w:rPr>
        <w:t xml:space="preserve">l'identification de </w:t>
      </w:r>
      <w:r w:rsidR="00FC4233" w:rsidRPr="00E71D90">
        <w:rPr>
          <w:lang w:val="fr-CH"/>
        </w:rPr>
        <w:t>la bande 3 400</w:t>
      </w:r>
      <w:r w:rsidR="00D3095A">
        <w:rPr>
          <w:lang w:val="fr-CH"/>
        </w:rPr>
        <w:noBreakHyphen/>
      </w:r>
      <w:r w:rsidR="00FC4233" w:rsidRPr="00E71D90">
        <w:rPr>
          <w:lang w:val="fr-CH"/>
        </w:rPr>
        <w:t>3 600 MHz pour les IMT à l</w:t>
      </w:r>
      <w:r w:rsidR="002F7356">
        <w:rPr>
          <w:lang w:val="fr-CH"/>
        </w:rPr>
        <w:t>'</w:t>
      </w:r>
      <w:r w:rsidR="00FC4233" w:rsidRPr="00E71D90">
        <w:rPr>
          <w:lang w:val="fr-CH"/>
        </w:rPr>
        <w:t>ensemble des Régions 1</w:t>
      </w:r>
      <w:r w:rsidR="00D3095A">
        <w:rPr>
          <w:lang w:val="fr-CH"/>
        </w:rPr>
        <w:t xml:space="preserve"> </w:t>
      </w:r>
      <w:r w:rsidR="00FC4233" w:rsidRPr="00E71D90">
        <w:rPr>
          <w:lang w:val="fr-CH"/>
        </w:rPr>
        <w:t>et 2 ainsi qu</w:t>
      </w:r>
      <w:r w:rsidR="002F7356">
        <w:rPr>
          <w:lang w:val="fr-CH"/>
        </w:rPr>
        <w:t>'</w:t>
      </w:r>
      <w:r w:rsidR="00FC4233" w:rsidRPr="00E71D90">
        <w:rPr>
          <w:lang w:val="fr-CH"/>
        </w:rPr>
        <w:t>à un certain nombre de pays de la Région 3, comme indiqué au</w:t>
      </w:r>
      <w:r w:rsidR="00FC4233">
        <w:rPr>
          <w:lang w:val="fr-CH"/>
        </w:rPr>
        <w:t>x</w:t>
      </w:r>
      <w:r w:rsidR="00FC4233" w:rsidRPr="00E71D90">
        <w:rPr>
          <w:lang w:val="fr-CH"/>
        </w:rPr>
        <w:t xml:space="preserve"> numéro</w:t>
      </w:r>
      <w:r w:rsidR="00FC4233">
        <w:rPr>
          <w:lang w:val="fr-CH"/>
        </w:rPr>
        <w:t>s</w:t>
      </w:r>
      <w:r w:rsidR="00FC4233" w:rsidRPr="00E71D90">
        <w:rPr>
          <w:b/>
          <w:lang w:val="fr-CH"/>
        </w:rPr>
        <w:t xml:space="preserve"> </w:t>
      </w:r>
      <w:r w:rsidR="00FC4233" w:rsidRPr="00E71D90">
        <w:rPr>
          <w:rStyle w:val="Artdef"/>
          <w:rFonts w:asciiTheme="minorHAnsi" w:hAnsiTheme="minorHAnsi" w:cstheme="majorBidi"/>
          <w:bCs/>
          <w:lang w:val="fr-CH"/>
        </w:rPr>
        <w:t>5.430A, 5.431B</w:t>
      </w:r>
      <w:r w:rsidR="00FC4233" w:rsidRPr="00E71D90">
        <w:rPr>
          <w:rStyle w:val="Artdef"/>
          <w:rFonts w:asciiTheme="minorHAnsi" w:hAnsiTheme="minorHAnsi" w:cstheme="majorBidi"/>
          <w:lang w:val="fr-CH"/>
        </w:rPr>
        <w:t xml:space="preserve">, </w:t>
      </w:r>
      <w:r w:rsidR="00FC4233" w:rsidRPr="00E71D90">
        <w:rPr>
          <w:rStyle w:val="Artdef"/>
          <w:rFonts w:asciiTheme="minorHAnsi" w:hAnsiTheme="minorHAnsi" w:cstheme="majorBidi"/>
          <w:bCs/>
          <w:lang w:val="fr-CH"/>
        </w:rPr>
        <w:t xml:space="preserve">5.432B </w:t>
      </w:r>
      <w:r w:rsidR="00FC4233" w:rsidRPr="00D3095A">
        <w:rPr>
          <w:rStyle w:val="Artdef"/>
          <w:rFonts w:asciiTheme="minorHAnsi" w:hAnsiTheme="minorHAnsi" w:cstheme="majorBidi"/>
          <w:b w:val="0"/>
          <w:bCs/>
          <w:lang w:val="fr-CH"/>
        </w:rPr>
        <w:t xml:space="preserve">et </w:t>
      </w:r>
      <w:r w:rsidR="00FC4233" w:rsidRPr="00E71D90">
        <w:rPr>
          <w:rStyle w:val="Artdef"/>
          <w:rFonts w:asciiTheme="minorHAnsi" w:hAnsiTheme="minorHAnsi" w:cstheme="majorBidi"/>
          <w:bCs/>
          <w:lang w:val="fr-CH"/>
        </w:rPr>
        <w:t>5.433A</w:t>
      </w:r>
      <w:r w:rsidR="00FC4233" w:rsidRPr="00E71D90">
        <w:rPr>
          <w:lang w:val="fr-CH"/>
        </w:rPr>
        <w:t>. Ces attributions/identifications sont assujetties à l</w:t>
      </w:r>
      <w:r w:rsidR="002F7356">
        <w:rPr>
          <w:lang w:val="fr-CH"/>
        </w:rPr>
        <w:t>'</w:t>
      </w:r>
      <w:r w:rsidR="00FC4233" w:rsidRPr="00E71D90">
        <w:rPr>
          <w:lang w:val="fr-CH"/>
        </w:rPr>
        <w:t xml:space="preserve">application des numéros </w:t>
      </w:r>
      <w:r w:rsidR="00FC4233" w:rsidRPr="00E71D90">
        <w:rPr>
          <w:b/>
          <w:lang w:val="fr-CH"/>
        </w:rPr>
        <w:t xml:space="preserve">9.17, 9.18 </w:t>
      </w:r>
      <w:r w:rsidR="00FC4233">
        <w:rPr>
          <w:lang w:val="fr-CH"/>
        </w:rPr>
        <w:t>et/ou du numéro</w:t>
      </w:r>
      <w:r w:rsidR="00FC4233" w:rsidRPr="00E71D90">
        <w:rPr>
          <w:lang w:val="fr-CH"/>
        </w:rPr>
        <w:t xml:space="preserve"> </w:t>
      </w:r>
      <w:r w:rsidR="00FC4233" w:rsidRPr="00E71D90">
        <w:rPr>
          <w:b/>
          <w:lang w:val="fr-CH"/>
        </w:rPr>
        <w:t>9.21</w:t>
      </w:r>
      <w:r w:rsidR="00FC4233" w:rsidRPr="00E71D90">
        <w:rPr>
          <w:lang w:val="fr-CH"/>
        </w:rPr>
        <w:t xml:space="preserve"> </w:t>
      </w:r>
      <w:r w:rsidR="00FC4233">
        <w:rPr>
          <w:lang w:val="fr-CH"/>
        </w:rPr>
        <w:t>ainsi que d</w:t>
      </w:r>
      <w:r w:rsidR="002F7356">
        <w:rPr>
          <w:lang w:val="fr-CH"/>
        </w:rPr>
        <w:t>'</w:t>
      </w:r>
      <w:r w:rsidR="00FC4233">
        <w:rPr>
          <w:lang w:val="fr-CH"/>
        </w:rPr>
        <w:t>une limite de puissance surfacique</w:t>
      </w:r>
      <w:r w:rsidR="00FC4233" w:rsidRPr="00E71D90">
        <w:rPr>
          <w:lang w:val="fr-CH"/>
        </w:rPr>
        <w:t>.</w:t>
      </w:r>
    </w:p>
    <w:p w:rsidR="00FC4233" w:rsidRPr="00E71D90" w:rsidRDefault="001512C2" w:rsidP="00D3095A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546263">
        <w:rPr>
          <w:lang w:val="fr-CH"/>
        </w:rPr>
        <w:t>L</w:t>
      </w:r>
      <w:r w:rsidR="002F7356" w:rsidRPr="00546263">
        <w:rPr>
          <w:lang w:val="fr-CH"/>
        </w:rPr>
        <w:t>'</w:t>
      </w:r>
      <w:r w:rsidR="00FC4233" w:rsidRPr="00546263">
        <w:rPr>
          <w:lang w:val="fr-CH"/>
        </w:rPr>
        <w:t>i</w:t>
      </w:r>
      <w:r w:rsidR="00FC4233" w:rsidRPr="002F7356">
        <w:rPr>
          <w:rStyle w:val="Artdef"/>
          <w:rFonts w:asciiTheme="minorHAnsi" w:hAnsiTheme="minorHAnsi" w:cstheme="majorBidi"/>
          <w:b w:val="0"/>
          <w:bCs/>
          <w:lang w:val="fr-CH"/>
        </w:rPr>
        <w:t>dentification de la bande</w:t>
      </w:r>
      <w:r w:rsidR="00FC4233" w:rsidRPr="00E71D90">
        <w:rPr>
          <w:lang w:val="fr-CH"/>
        </w:rPr>
        <w:t xml:space="preserve"> 3 600-3 700 MHz pour les IMT dans certains pays de la Région</w:t>
      </w:r>
      <w:r w:rsidR="00D3095A">
        <w:rPr>
          <w:lang w:val="fr-CH"/>
        </w:rPr>
        <w:t> </w:t>
      </w:r>
      <w:r w:rsidR="00FC4233" w:rsidRPr="00E71D90">
        <w:rPr>
          <w:lang w:val="fr-CH"/>
        </w:rPr>
        <w:t>2</w:t>
      </w:r>
      <w:r w:rsidR="00FC4233">
        <w:rPr>
          <w:lang w:val="fr-CH"/>
        </w:rPr>
        <w:t xml:space="preserve"> est assujettie aux numéros</w:t>
      </w:r>
      <w:r w:rsidR="00FC4233" w:rsidRPr="00E71D90">
        <w:rPr>
          <w:lang w:val="fr-CH"/>
        </w:rPr>
        <w:t xml:space="preserve"> </w:t>
      </w:r>
      <w:r w:rsidR="00FC4233" w:rsidRPr="00E71D90">
        <w:rPr>
          <w:b/>
          <w:lang w:val="fr-CH"/>
        </w:rPr>
        <w:t>9.17, 9.18</w:t>
      </w:r>
      <w:r w:rsidR="00FC4233" w:rsidRPr="00E71D90">
        <w:rPr>
          <w:lang w:val="fr-CH"/>
        </w:rPr>
        <w:t xml:space="preserve"> et </w:t>
      </w:r>
      <w:r w:rsidR="00FC4233" w:rsidRPr="00E71D90">
        <w:rPr>
          <w:b/>
          <w:lang w:val="fr-CH"/>
        </w:rPr>
        <w:t>9.21</w:t>
      </w:r>
      <w:r w:rsidR="00FC4233" w:rsidRPr="00E71D90">
        <w:rPr>
          <w:lang w:val="fr-CH"/>
        </w:rPr>
        <w:t xml:space="preserve"> ainsi qu</w:t>
      </w:r>
      <w:r w:rsidR="002F7356">
        <w:rPr>
          <w:lang w:val="fr-CH"/>
        </w:rPr>
        <w:t>'</w:t>
      </w:r>
      <w:r w:rsidR="00FC4233" w:rsidRPr="00E71D90">
        <w:rPr>
          <w:lang w:val="fr-CH"/>
        </w:rPr>
        <w:t>à une limite de puissance surfacique, comme indiqué au numéro</w:t>
      </w:r>
      <w:r w:rsidR="00FC4233" w:rsidRPr="00E71D90">
        <w:rPr>
          <w:b/>
          <w:lang w:val="fr-CH"/>
        </w:rPr>
        <w:t xml:space="preserve"> 5.434</w:t>
      </w:r>
      <w:r w:rsidR="00FC4233" w:rsidRPr="00E71D90">
        <w:rPr>
          <w:i/>
          <w:iCs/>
          <w:lang w:val="fr-CH"/>
        </w:rPr>
        <w:t>.</w:t>
      </w:r>
    </w:p>
    <w:p w:rsidR="00FC4233" w:rsidRPr="00E71D90" w:rsidRDefault="001512C2" w:rsidP="00D3095A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E71D90">
        <w:rPr>
          <w:lang w:val="fr-CH"/>
        </w:rPr>
        <w:t>L</w:t>
      </w:r>
      <w:r w:rsidR="002F7356">
        <w:rPr>
          <w:lang w:val="fr-CH"/>
        </w:rPr>
        <w:t>'</w:t>
      </w:r>
      <w:r w:rsidR="00FC4233" w:rsidRPr="00E71D90">
        <w:rPr>
          <w:lang w:val="fr-CH"/>
        </w:rPr>
        <w:t xml:space="preserve">attribution de la bande 4 200-4 400 MHz au service mobile aéronautique (R) </w:t>
      </w:r>
      <w:r w:rsidR="00FC4233">
        <w:rPr>
          <w:lang w:val="fr-CH"/>
        </w:rPr>
        <w:t>est réservée exclusivement aux systèmes de communication hertzienne entre équipement</w:t>
      </w:r>
      <w:r w:rsidR="00D3095A">
        <w:rPr>
          <w:lang w:val="fr-CH"/>
        </w:rPr>
        <w:t>s</w:t>
      </w:r>
      <w:r w:rsidR="00FC4233">
        <w:rPr>
          <w:lang w:val="fr-CH"/>
        </w:rPr>
        <w:t xml:space="preserve"> d</w:t>
      </w:r>
      <w:r w:rsidR="002F7356">
        <w:rPr>
          <w:lang w:val="fr-CH"/>
        </w:rPr>
        <w:t>'</w:t>
      </w:r>
      <w:r w:rsidR="00FC4233">
        <w:rPr>
          <w:lang w:val="fr-CH"/>
        </w:rPr>
        <w:t>avionique à bord d</w:t>
      </w:r>
      <w:r w:rsidR="002F7356">
        <w:rPr>
          <w:lang w:val="fr-CH"/>
        </w:rPr>
        <w:t>'</w:t>
      </w:r>
      <w:r w:rsidR="00FC4233">
        <w:rPr>
          <w:lang w:val="fr-CH"/>
        </w:rPr>
        <w:t xml:space="preserve">un aéronef </w:t>
      </w:r>
      <w:r w:rsidR="00FC4233" w:rsidRPr="00E71D90">
        <w:rPr>
          <w:lang w:val="fr-CH"/>
        </w:rPr>
        <w:t>(WAIC),</w:t>
      </w:r>
      <w:r w:rsidR="00FC4233">
        <w:rPr>
          <w:lang w:val="fr-CH"/>
        </w:rPr>
        <w:t xml:space="preserve"> comme indiqué au numéro </w:t>
      </w:r>
      <w:r w:rsidR="00FC4233" w:rsidRPr="00E71D90">
        <w:rPr>
          <w:b/>
          <w:lang w:val="fr-CH"/>
        </w:rPr>
        <w:t>5.436</w:t>
      </w:r>
      <w:r w:rsidR="00FC4233" w:rsidRPr="00E71D90">
        <w:rPr>
          <w:lang w:val="fr-CH"/>
        </w:rPr>
        <w:t xml:space="preserve">. </w:t>
      </w:r>
      <w:r w:rsidR="00FC4233">
        <w:rPr>
          <w:lang w:val="fr-CH"/>
        </w:rPr>
        <w:t xml:space="preserve">Cette utilisation doit être conforme aux dispositions de la Résolution </w:t>
      </w:r>
      <w:r w:rsidR="00FC4233" w:rsidRPr="00E71D90">
        <w:rPr>
          <w:b/>
          <w:lang w:val="fr-CH"/>
        </w:rPr>
        <w:t>424 (</w:t>
      </w:r>
      <w:r w:rsidR="00FC4233" w:rsidRPr="00D3095A">
        <w:rPr>
          <w:b/>
          <w:lang w:val="fr-CH"/>
        </w:rPr>
        <w:t>CMR</w:t>
      </w:r>
      <w:r w:rsidR="00FC4233" w:rsidRPr="00D3095A">
        <w:rPr>
          <w:b/>
          <w:lang w:val="fr-CH"/>
        </w:rPr>
        <w:noBreakHyphen/>
        <w:t>15</w:t>
      </w:r>
      <w:r w:rsidR="00FC4233" w:rsidRPr="00E71D90">
        <w:rPr>
          <w:b/>
          <w:lang w:val="fr-CH"/>
        </w:rPr>
        <w:t>)</w:t>
      </w:r>
      <w:r w:rsidR="00FC4233" w:rsidRPr="00E71D90">
        <w:rPr>
          <w:lang w:val="fr-CH"/>
        </w:rPr>
        <w:t>.</w:t>
      </w:r>
    </w:p>
    <w:p w:rsidR="00FC4233" w:rsidRPr="00E71D90" w:rsidRDefault="001512C2" w:rsidP="00D3095A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546263">
        <w:rPr>
          <w:b/>
          <w:lang w:val="fr-CH"/>
        </w:rPr>
        <w:t>I</w:t>
      </w:r>
      <w:r w:rsidR="00FC4233" w:rsidRPr="00546263">
        <w:rPr>
          <w:rStyle w:val="Artdef"/>
          <w:rFonts w:asciiTheme="minorHAnsi" w:hAnsiTheme="minorHAnsi" w:cstheme="majorBidi"/>
          <w:b w:val="0"/>
          <w:lang w:val="fr-CH"/>
        </w:rPr>
        <w:t>dentification de</w:t>
      </w:r>
      <w:r w:rsidR="00FC4233" w:rsidRPr="00546263">
        <w:rPr>
          <w:bCs/>
          <w:lang w:val="fr-CH"/>
        </w:rPr>
        <w:t xml:space="preserve"> la </w:t>
      </w:r>
      <w:r w:rsidR="00FC4233" w:rsidRPr="00E71D90">
        <w:rPr>
          <w:lang w:val="fr-CH"/>
        </w:rPr>
        <w:t>bande 4 800</w:t>
      </w:r>
      <w:r w:rsidR="00D3095A">
        <w:rPr>
          <w:lang w:val="fr-CH"/>
        </w:rPr>
        <w:noBreakHyphen/>
      </w:r>
      <w:r w:rsidR="00FC4233" w:rsidRPr="00E71D90">
        <w:rPr>
          <w:lang w:val="fr-CH"/>
        </w:rPr>
        <w:t>4 900 MHz pour les IMT dans un pays de la Région 2 et de la bande 4 800</w:t>
      </w:r>
      <w:r w:rsidR="00D3095A">
        <w:rPr>
          <w:lang w:val="fr-CH"/>
        </w:rPr>
        <w:noBreakHyphen/>
      </w:r>
      <w:r w:rsidR="00FC4233" w:rsidRPr="00E71D90">
        <w:rPr>
          <w:lang w:val="fr-CH"/>
        </w:rPr>
        <w:t>4 990 MHz</w:t>
      </w:r>
      <w:r w:rsidR="00FC4233">
        <w:rPr>
          <w:lang w:val="fr-CH"/>
        </w:rPr>
        <w:t xml:space="preserve"> dans certains pays de la Région 3</w:t>
      </w:r>
      <w:r w:rsidR="00D3095A">
        <w:rPr>
          <w:lang w:val="fr-CH"/>
        </w:rPr>
        <w:t>,</w:t>
      </w:r>
      <w:r w:rsidR="00FC4233">
        <w:rPr>
          <w:lang w:val="fr-CH"/>
        </w:rPr>
        <w:t xml:space="preserve"> à condition</w:t>
      </w:r>
      <w:r w:rsidR="00D3095A">
        <w:rPr>
          <w:lang w:val="fr-CH"/>
        </w:rPr>
        <w:t xml:space="preserve"> que les stations IMT ne</w:t>
      </w:r>
      <w:r w:rsidR="00FC4233">
        <w:rPr>
          <w:lang w:val="fr-CH"/>
        </w:rPr>
        <w:t xml:space="preserve"> demande</w:t>
      </w:r>
      <w:r w:rsidR="00D3095A">
        <w:rPr>
          <w:lang w:val="fr-CH"/>
        </w:rPr>
        <w:t>nt pas à être protégées</w:t>
      </w:r>
      <w:r w:rsidR="00FC4233">
        <w:rPr>
          <w:lang w:val="fr-CH"/>
        </w:rPr>
        <w:t xml:space="preserve"> vis-à-vis d</w:t>
      </w:r>
      <w:r w:rsidR="002F7356">
        <w:rPr>
          <w:lang w:val="fr-CH"/>
        </w:rPr>
        <w:t>'</w:t>
      </w:r>
      <w:r w:rsidR="00FC4233">
        <w:rPr>
          <w:lang w:val="fr-CH"/>
        </w:rPr>
        <w:t>autres applications du service mobile, comme indiqué aux numéros</w:t>
      </w:r>
      <w:r w:rsidR="00FC4233" w:rsidRPr="00E71D90">
        <w:rPr>
          <w:lang w:val="fr-CH"/>
        </w:rPr>
        <w:t xml:space="preserve"> </w:t>
      </w:r>
      <w:r w:rsidR="00FC4233" w:rsidRPr="00E71D90">
        <w:rPr>
          <w:b/>
          <w:lang w:val="fr-CH"/>
        </w:rPr>
        <w:t>5.441A</w:t>
      </w:r>
      <w:r w:rsidR="00FC4233" w:rsidRPr="00E71D90">
        <w:rPr>
          <w:lang w:val="fr-CH"/>
        </w:rPr>
        <w:t xml:space="preserve"> </w:t>
      </w:r>
      <w:r w:rsidR="00FC4233">
        <w:rPr>
          <w:lang w:val="fr-CH" w:eastAsia="ko-KR"/>
        </w:rPr>
        <w:t>et</w:t>
      </w:r>
      <w:r w:rsidR="00FC4233" w:rsidRPr="00E71D90">
        <w:rPr>
          <w:lang w:val="fr-CH" w:eastAsia="ko-KR"/>
        </w:rPr>
        <w:t xml:space="preserve"> </w:t>
      </w:r>
      <w:r w:rsidR="00FC4233" w:rsidRPr="00E71D90">
        <w:rPr>
          <w:b/>
          <w:lang w:val="fr-CH"/>
        </w:rPr>
        <w:t>5.441B</w:t>
      </w:r>
      <w:r w:rsidR="00FC4233" w:rsidRPr="00D3095A">
        <w:rPr>
          <w:rStyle w:val="Artdef"/>
          <w:rFonts w:asciiTheme="minorHAnsi" w:hAnsiTheme="minorHAnsi" w:cstheme="majorBidi"/>
          <w:b w:val="0"/>
          <w:bCs/>
          <w:lang w:val="fr-CH"/>
        </w:rPr>
        <w:t>. Dans la Région 3, cette identification est également assujettie au numéro</w:t>
      </w:r>
      <w:r w:rsidR="00FC4233" w:rsidRPr="00D3095A">
        <w:rPr>
          <w:b/>
          <w:bCs/>
          <w:lang w:val="fr-CH"/>
        </w:rPr>
        <w:t xml:space="preserve"> </w:t>
      </w:r>
      <w:r w:rsidR="00FC4233" w:rsidRPr="00E71D90">
        <w:rPr>
          <w:b/>
          <w:lang w:val="fr-CH"/>
        </w:rPr>
        <w:t>9.21</w:t>
      </w:r>
      <w:r w:rsidR="00FC4233" w:rsidRPr="00E71D90">
        <w:rPr>
          <w:lang w:val="fr-CH"/>
        </w:rPr>
        <w:t xml:space="preserve"> </w:t>
      </w:r>
      <w:r w:rsidR="00FC4233">
        <w:rPr>
          <w:lang w:val="fr-CH"/>
        </w:rPr>
        <w:t>et à une limite de puissance surfacique</w:t>
      </w:r>
      <w:r w:rsidR="00FC4233" w:rsidRPr="00E71D90">
        <w:rPr>
          <w:lang w:val="fr-CH"/>
        </w:rPr>
        <w:t>.</w:t>
      </w:r>
    </w:p>
    <w:p w:rsidR="00FC4233" w:rsidRPr="00E71D90" w:rsidRDefault="001512C2" w:rsidP="002F7356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E71D90">
        <w:rPr>
          <w:lang w:val="fr-CH" w:eastAsia="ko-KR"/>
        </w:rPr>
        <w:t>L</w:t>
      </w:r>
      <w:r w:rsidR="002F7356">
        <w:rPr>
          <w:lang w:val="fr-CH" w:eastAsia="ko-KR"/>
        </w:rPr>
        <w:t>'</w:t>
      </w:r>
      <w:r w:rsidR="00FC4233" w:rsidRPr="00E71D90">
        <w:rPr>
          <w:lang w:val="fr-CH" w:eastAsia="ko-KR"/>
        </w:rPr>
        <w:t>attribution de la bande 77</w:t>
      </w:r>
      <w:r w:rsidR="00D3095A">
        <w:rPr>
          <w:lang w:val="fr-CH" w:eastAsia="ko-KR"/>
        </w:rPr>
        <w:t>,</w:t>
      </w:r>
      <w:r w:rsidR="00FC4233" w:rsidRPr="00E71D90">
        <w:rPr>
          <w:lang w:val="fr-CH" w:eastAsia="ko-KR"/>
        </w:rPr>
        <w:t>5-78 GHz au</w:t>
      </w:r>
      <w:r w:rsidR="00D3095A">
        <w:rPr>
          <w:lang w:val="fr-CH" w:eastAsia="ko-KR"/>
        </w:rPr>
        <w:t xml:space="preserve"> service</w:t>
      </w:r>
      <w:r w:rsidR="00FC4233" w:rsidRPr="00E71D90">
        <w:rPr>
          <w:lang w:val="fr-CH" w:eastAsia="ko-KR"/>
        </w:rPr>
        <w:t xml:space="preserve"> de radiolocalisation à titre primaire dans les trois Régions </w:t>
      </w:r>
      <w:r w:rsidR="00FC4233">
        <w:rPr>
          <w:lang w:val="fr-CH" w:eastAsia="ko-KR"/>
        </w:rPr>
        <w:t xml:space="preserve">est limitée aux </w:t>
      </w:r>
      <w:r w:rsidR="00D3095A">
        <w:rPr>
          <w:lang w:val="fr-CH" w:eastAsia="ko-KR"/>
        </w:rPr>
        <w:t xml:space="preserve">applications au sol des </w:t>
      </w:r>
      <w:r w:rsidR="00FC4233">
        <w:rPr>
          <w:lang w:val="fr-CH" w:eastAsia="ko-KR"/>
        </w:rPr>
        <w:t xml:space="preserve">radars à courte portée, y compris </w:t>
      </w:r>
      <w:r w:rsidR="002F7356">
        <w:rPr>
          <w:lang w:val="fr-CH" w:eastAsia="ko-KR"/>
        </w:rPr>
        <w:t xml:space="preserve">aux </w:t>
      </w:r>
      <w:r w:rsidR="00FC4233">
        <w:rPr>
          <w:lang w:val="fr-CH" w:eastAsia="ko-KR"/>
        </w:rPr>
        <w:t>radars automobiles, conformément au numéro</w:t>
      </w:r>
      <w:r w:rsidR="00FC4233" w:rsidRPr="00E71D90">
        <w:rPr>
          <w:lang w:val="fr-CH"/>
        </w:rPr>
        <w:t xml:space="preserve"> </w:t>
      </w:r>
      <w:r w:rsidR="00FC4233" w:rsidRPr="00E71D90">
        <w:rPr>
          <w:b/>
          <w:lang w:val="fr-CH"/>
        </w:rPr>
        <w:t>5.559B</w:t>
      </w:r>
      <w:r w:rsidR="00FC4233" w:rsidRPr="00D3095A">
        <w:rPr>
          <w:bCs/>
          <w:lang w:val="fr-CH" w:eastAsia="ko-KR"/>
        </w:rPr>
        <w:t>.</w:t>
      </w:r>
    </w:p>
    <w:p w:rsidR="00FC4233" w:rsidRPr="00642671" w:rsidRDefault="001512C2" w:rsidP="002F7356">
      <w:pPr>
        <w:pStyle w:val="enumlev1"/>
        <w:rPr>
          <w:lang w:val="fr-CH"/>
        </w:rPr>
      </w:pPr>
      <w:r w:rsidRPr="001512C2">
        <w:rPr>
          <w:lang w:val="fr-CH"/>
        </w:rPr>
        <w:t>•</w:t>
      </w:r>
      <w:r>
        <w:rPr>
          <w:lang w:val="fr-CH"/>
        </w:rPr>
        <w:tab/>
      </w:r>
      <w:r w:rsidR="00FC4233" w:rsidRPr="00642671">
        <w:rPr>
          <w:lang w:val="fr-CH" w:eastAsia="ko-KR"/>
        </w:rPr>
        <w:t>Pour l</w:t>
      </w:r>
      <w:r w:rsidR="002F7356">
        <w:rPr>
          <w:lang w:val="fr-CH" w:eastAsia="ko-KR"/>
        </w:rPr>
        <w:t>'</w:t>
      </w:r>
      <w:r w:rsidR="00FC4233" w:rsidRPr="00642671">
        <w:rPr>
          <w:lang w:val="fr-CH" w:eastAsia="ko-KR"/>
        </w:rPr>
        <w:t>application des dispositions réglementaires adoptées par la CMR</w:t>
      </w:r>
      <w:r w:rsidR="00D3095A">
        <w:rPr>
          <w:lang w:val="fr-CH" w:eastAsia="ko-KR"/>
        </w:rPr>
        <w:noBreakHyphen/>
      </w:r>
      <w:r w:rsidR="00FC4233" w:rsidRPr="00642671">
        <w:rPr>
          <w:lang w:val="fr-CH" w:eastAsia="ko-KR"/>
        </w:rPr>
        <w:t xml:space="preserve">15 qui </w:t>
      </w:r>
      <w:r w:rsidR="00D3095A">
        <w:rPr>
          <w:lang w:val="fr-CH" w:eastAsia="ko-KR"/>
        </w:rPr>
        <w:t>concern</w:t>
      </w:r>
      <w:r w:rsidR="00FC4233" w:rsidRPr="00642671">
        <w:rPr>
          <w:lang w:val="fr-CH" w:eastAsia="ko-KR"/>
        </w:rPr>
        <w:t xml:space="preserve">ent expressément </w:t>
      </w:r>
      <w:r w:rsidR="00D3095A">
        <w:rPr>
          <w:lang w:val="fr-CH" w:eastAsia="ko-KR"/>
        </w:rPr>
        <w:t>les</w:t>
      </w:r>
      <w:r w:rsidR="00FC4233" w:rsidRPr="00642671">
        <w:rPr>
          <w:lang w:val="fr-CH" w:eastAsia="ko-KR"/>
        </w:rPr>
        <w:t xml:space="preserve"> IMT, </w:t>
      </w:r>
      <w:proofErr w:type="spellStart"/>
      <w:r w:rsidR="00FC4233" w:rsidRPr="00642671">
        <w:rPr>
          <w:lang w:val="fr-CH" w:eastAsia="ko-KR"/>
        </w:rPr>
        <w:t>veuillez</w:t>
      </w:r>
      <w:r w:rsidR="002F7356">
        <w:rPr>
          <w:lang w:val="fr-CH" w:eastAsia="ko-KR"/>
        </w:rPr>
        <w:t xml:space="preserve"> </w:t>
      </w:r>
      <w:r w:rsidR="00FC4233" w:rsidRPr="00642671">
        <w:rPr>
          <w:lang w:val="fr-CH" w:eastAsia="ko-KR"/>
        </w:rPr>
        <w:t>vous</w:t>
      </w:r>
      <w:proofErr w:type="spellEnd"/>
      <w:r w:rsidR="00FC4233" w:rsidRPr="00642671">
        <w:rPr>
          <w:lang w:val="fr-CH" w:eastAsia="ko-KR"/>
        </w:rPr>
        <w:t xml:space="preserve"> reporter à la Lettre circulaire </w:t>
      </w:r>
      <w:r w:rsidR="00FC4233" w:rsidRPr="00642671">
        <w:rPr>
          <w:lang w:val="fr-CH"/>
        </w:rPr>
        <w:t>CR/391</w:t>
      </w:r>
      <w:r w:rsidR="00FC4233">
        <w:rPr>
          <w:lang w:val="fr-CH"/>
        </w:rPr>
        <w:t xml:space="preserve"> du 29 février 2016 relative à l</w:t>
      </w:r>
      <w:r w:rsidR="002F7356">
        <w:rPr>
          <w:lang w:val="fr-CH"/>
        </w:rPr>
        <w:t>'</w:t>
      </w:r>
      <w:r w:rsidR="00FC4233">
        <w:rPr>
          <w:lang w:val="fr-CH"/>
        </w:rPr>
        <w:t>identification des stations IMT du service mobile.</w:t>
      </w:r>
    </w:p>
    <w:p w:rsidR="00FC4233" w:rsidRPr="00642671" w:rsidRDefault="00FC4233" w:rsidP="00546263">
      <w:pPr>
        <w:keepNext/>
        <w:keepLines/>
        <w:rPr>
          <w:lang w:val="fr-CH"/>
        </w:rPr>
      </w:pPr>
      <w:r w:rsidRPr="00642671">
        <w:rPr>
          <w:lang w:val="fr-CH"/>
        </w:rPr>
        <w:lastRenderedPageBreak/>
        <w:t>3.4</w:t>
      </w:r>
      <w:r w:rsidRPr="00642671">
        <w:rPr>
          <w:lang w:val="fr-CH"/>
        </w:rPr>
        <w:tab/>
        <w:t>La CMR</w:t>
      </w:r>
      <w:r w:rsidR="00D3095A">
        <w:rPr>
          <w:lang w:val="fr-CH"/>
        </w:rPr>
        <w:noBreakHyphen/>
      </w:r>
      <w:r w:rsidRPr="00642671">
        <w:rPr>
          <w:lang w:val="fr-CH"/>
        </w:rPr>
        <w:t xml:space="preserve">15 a également apporté plusieurs </w:t>
      </w:r>
      <w:r w:rsidR="00D3095A">
        <w:rPr>
          <w:lang w:val="fr-CH"/>
        </w:rPr>
        <w:t>changements</w:t>
      </w:r>
      <w:r w:rsidRPr="00642671">
        <w:rPr>
          <w:lang w:val="fr-CH"/>
        </w:rPr>
        <w:t xml:space="preserve"> aux attributions concernant les services spatiaux,</w:t>
      </w:r>
      <w:r>
        <w:rPr>
          <w:lang w:val="fr-CH"/>
        </w:rPr>
        <w:t xml:space="preserve"> </w:t>
      </w:r>
      <w:r w:rsidR="00D3095A">
        <w:rPr>
          <w:lang w:val="fr-CH"/>
        </w:rPr>
        <w:t xml:space="preserve">qui ont modifié </w:t>
      </w:r>
      <w:r>
        <w:rPr>
          <w:lang w:val="fr-CH"/>
        </w:rPr>
        <w:t>les conditions d</w:t>
      </w:r>
      <w:r w:rsidR="002F7356">
        <w:rPr>
          <w:lang w:val="fr-CH"/>
        </w:rPr>
        <w:t>'</w:t>
      </w:r>
      <w:r>
        <w:rPr>
          <w:lang w:val="fr-CH"/>
        </w:rPr>
        <w:t xml:space="preserve">exploitation des services de Terre dans les bandes de fréquences respectives, comme </w:t>
      </w:r>
      <w:r w:rsidRPr="00642671">
        <w:rPr>
          <w:lang w:val="fr-CH"/>
        </w:rPr>
        <w:t>s</w:t>
      </w:r>
      <w:r>
        <w:rPr>
          <w:lang w:val="fr-CH"/>
        </w:rPr>
        <w:t>uit</w:t>
      </w:r>
      <w:r w:rsidRPr="00642671">
        <w:rPr>
          <w:lang w:val="fr-CH"/>
        </w:rPr>
        <w:t>:</w:t>
      </w:r>
    </w:p>
    <w:p w:rsidR="00FC4233" w:rsidRPr="00642671" w:rsidRDefault="00D3095A" w:rsidP="00546263">
      <w:pPr>
        <w:pStyle w:val="enumlev1"/>
        <w:keepNext/>
        <w:keepLines/>
        <w:rPr>
          <w:lang w:val="fr-CH"/>
        </w:rPr>
      </w:pPr>
      <w:r w:rsidRPr="00D3095A">
        <w:rPr>
          <w:lang w:val="fr-CH"/>
        </w:rPr>
        <w:t>•</w:t>
      </w:r>
      <w:r>
        <w:rPr>
          <w:lang w:val="fr-CH"/>
        </w:rPr>
        <w:tab/>
      </w:r>
      <w:r w:rsidRPr="00642671">
        <w:rPr>
          <w:lang w:val="fr-CH"/>
        </w:rPr>
        <w:t>A</w:t>
      </w:r>
      <w:r w:rsidR="00FC4233" w:rsidRPr="00642671">
        <w:rPr>
          <w:lang w:val="fr-CH"/>
        </w:rPr>
        <w:t>ttribution de la bande 13</w:t>
      </w:r>
      <w:r>
        <w:rPr>
          <w:lang w:val="fr-CH"/>
        </w:rPr>
        <w:t>,</w:t>
      </w:r>
      <w:r w:rsidR="00FC4233" w:rsidRPr="00642671">
        <w:rPr>
          <w:lang w:val="fr-CH"/>
        </w:rPr>
        <w:t>4</w:t>
      </w:r>
      <w:r>
        <w:rPr>
          <w:lang w:val="fr-CH"/>
        </w:rPr>
        <w:noBreakHyphen/>
      </w:r>
      <w:r w:rsidR="00FC4233" w:rsidRPr="00642671">
        <w:rPr>
          <w:lang w:val="fr-CH"/>
        </w:rPr>
        <w:t>13</w:t>
      </w:r>
      <w:r>
        <w:rPr>
          <w:lang w:val="fr-CH"/>
        </w:rPr>
        <w:t>,</w:t>
      </w:r>
      <w:r w:rsidR="00FC4233" w:rsidRPr="00642671">
        <w:rPr>
          <w:lang w:val="fr-CH"/>
        </w:rPr>
        <w:t>65 GHz au</w:t>
      </w:r>
      <w:r>
        <w:rPr>
          <w:lang w:val="fr-CH"/>
        </w:rPr>
        <w:t xml:space="preserve"> service</w:t>
      </w:r>
      <w:r w:rsidR="00FC4233" w:rsidRPr="00642671">
        <w:rPr>
          <w:lang w:val="fr-CH"/>
        </w:rPr>
        <w:t xml:space="preserve"> fixe par satellite (espace vers Terre) à titre primaire </w:t>
      </w:r>
      <w:r w:rsidR="00FC4233">
        <w:rPr>
          <w:lang w:val="fr-CH"/>
        </w:rPr>
        <w:t xml:space="preserve">dans la Région 1, limitée aux systèmes OSG. </w:t>
      </w:r>
      <w:r w:rsidR="00FC4233" w:rsidRPr="00642671">
        <w:rPr>
          <w:lang w:val="fr-CH"/>
        </w:rPr>
        <w:t>En conséquence, cette bande est devenue une bande utilisée en partage entre les services spatiaux et les services de Terre</w:t>
      </w:r>
      <w:r w:rsidR="00FC4233">
        <w:rPr>
          <w:lang w:val="fr-CH"/>
        </w:rPr>
        <w:t xml:space="preserve"> avec égalité des droits. </w:t>
      </w:r>
      <w:r w:rsidR="00FC4233" w:rsidRPr="00642671">
        <w:rPr>
          <w:lang w:val="fr-CH"/>
        </w:rPr>
        <w:t>Par conséquent</w:t>
      </w:r>
      <w:r>
        <w:rPr>
          <w:lang w:val="fr-CH"/>
        </w:rPr>
        <w:t>,</w:t>
      </w:r>
      <w:r w:rsidR="00FC4233" w:rsidRPr="00642671">
        <w:rPr>
          <w:lang w:val="fr-CH"/>
        </w:rPr>
        <w:t xml:space="preserve"> les stations d</w:t>
      </w:r>
      <w:r w:rsidR="002F7356">
        <w:rPr>
          <w:lang w:val="fr-CH"/>
        </w:rPr>
        <w:t>'</w:t>
      </w:r>
      <w:r w:rsidR="00FC4233" w:rsidRPr="00642671">
        <w:rPr>
          <w:lang w:val="fr-CH"/>
        </w:rPr>
        <w:t xml:space="preserve">émission des services fixe, mobile, </w:t>
      </w:r>
      <w:r>
        <w:rPr>
          <w:lang w:val="fr-CH"/>
        </w:rPr>
        <w:t xml:space="preserve">de </w:t>
      </w:r>
      <w:r w:rsidR="00FC4233" w:rsidRPr="00642671">
        <w:rPr>
          <w:lang w:val="fr-CH"/>
        </w:rPr>
        <w:t xml:space="preserve">radiolocalisation et de radionavigation </w:t>
      </w:r>
      <w:r w:rsidR="00FC4233">
        <w:rPr>
          <w:lang w:val="fr-CH"/>
        </w:rPr>
        <w:t>peuvent devoir effectuer la coordination avec les stations terriennes de réception du SFS</w:t>
      </w:r>
      <w:r>
        <w:rPr>
          <w:lang w:val="fr-CH"/>
        </w:rPr>
        <w:t>,</w:t>
      </w:r>
      <w:r w:rsidR="00FC4233">
        <w:rPr>
          <w:lang w:val="fr-CH"/>
        </w:rPr>
        <w:t xml:space="preserve"> conformément aux numéros</w:t>
      </w:r>
      <w:r w:rsidR="00FC4233" w:rsidRPr="00642671">
        <w:rPr>
          <w:lang w:val="fr-CH"/>
        </w:rPr>
        <w:t xml:space="preserve"> </w:t>
      </w:r>
      <w:r w:rsidR="00FC4233" w:rsidRPr="00642671">
        <w:rPr>
          <w:b/>
          <w:lang w:val="fr-CH"/>
        </w:rPr>
        <w:t>9.17</w:t>
      </w:r>
      <w:r w:rsidR="00FC4233" w:rsidRPr="00D3095A">
        <w:rPr>
          <w:bCs/>
          <w:lang w:val="fr-CH"/>
        </w:rPr>
        <w:t xml:space="preserve"> et </w:t>
      </w:r>
      <w:r w:rsidR="00FC4233" w:rsidRPr="00642671">
        <w:rPr>
          <w:b/>
          <w:bCs/>
          <w:lang w:val="fr-CH"/>
        </w:rPr>
        <w:t>9.18</w:t>
      </w:r>
      <w:r w:rsidR="00FC4233" w:rsidRPr="00642671">
        <w:rPr>
          <w:lang w:val="fr-CH"/>
        </w:rPr>
        <w:t>.</w:t>
      </w:r>
    </w:p>
    <w:p w:rsidR="00FC4233" w:rsidRPr="006C0ACF" w:rsidRDefault="00D3095A" w:rsidP="00D3095A">
      <w:pPr>
        <w:pStyle w:val="enumlev1"/>
        <w:rPr>
          <w:lang w:val="fr-CH"/>
        </w:rPr>
      </w:pPr>
      <w:r w:rsidRPr="00D3095A">
        <w:rPr>
          <w:lang w:val="fr-CH"/>
        </w:rPr>
        <w:t>•</w:t>
      </w:r>
      <w:r>
        <w:rPr>
          <w:lang w:val="fr-CH"/>
        </w:rPr>
        <w:tab/>
        <w:t>E</w:t>
      </w:r>
      <w:r w:rsidR="00FC4233" w:rsidRPr="006C0ACF">
        <w:rPr>
          <w:lang w:val="fr-CH"/>
        </w:rPr>
        <w:t>largissement des modalités d</w:t>
      </w:r>
      <w:r w:rsidR="002F7356">
        <w:rPr>
          <w:lang w:val="fr-CH"/>
        </w:rPr>
        <w:t>'</w:t>
      </w:r>
      <w:r w:rsidR="00FC4233" w:rsidRPr="006C0ACF">
        <w:rPr>
          <w:lang w:val="fr-CH"/>
        </w:rPr>
        <w:t>application de l</w:t>
      </w:r>
      <w:r w:rsidR="002F7356">
        <w:rPr>
          <w:lang w:val="fr-CH"/>
        </w:rPr>
        <w:t>'</w:t>
      </w:r>
      <w:r w:rsidR="00FC4233" w:rsidRPr="006C0ACF">
        <w:rPr>
          <w:lang w:val="fr-CH"/>
        </w:rPr>
        <w:t>attribution au SFS (Terre vers espace) dans la bande 14,</w:t>
      </w:r>
      <w:r w:rsidR="00FC4233">
        <w:rPr>
          <w:lang w:val="fr-CH"/>
        </w:rPr>
        <w:t>5</w:t>
      </w:r>
      <w:r>
        <w:rPr>
          <w:lang w:val="fr-CH"/>
        </w:rPr>
        <w:noBreakHyphen/>
      </w:r>
      <w:r w:rsidR="00FC4233">
        <w:rPr>
          <w:lang w:val="fr-CH"/>
        </w:rPr>
        <w:t>14,</w:t>
      </w:r>
      <w:r w:rsidR="00FC4233" w:rsidRPr="006C0ACF">
        <w:rPr>
          <w:lang w:val="fr-CH"/>
        </w:rPr>
        <w:t xml:space="preserve">8 GHz </w:t>
      </w:r>
      <w:r w:rsidR="00FC4233">
        <w:rPr>
          <w:lang w:val="fr-CH"/>
        </w:rPr>
        <w:t>aux applications autres que les liaisons de connexion du SRS, limité</w:t>
      </w:r>
      <w:r>
        <w:rPr>
          <w:lang w:val="fr-CH"/>
        </w:rPr>
        <w:t>e</w:t>
      </w:r>
      <w:r w:rsidR="00FC4233">
        <w:rPr>
          <w:lang w:val="fr-CH"/>
        </w:rPr>
        <w:t xml:space="preserve"> aux systèmes à satellites géostationnaires. Toutefois</w:t>
      </w:r>
      <w:r>
        <w:rPr>
          <w:lang w:val="fr-CH"/>
        </w:rPr>
        <w:t>,</w:t>
      </w:r>
      <w:r w:rsidR="00FC4233">
        <w:rPr>
          <w:lang w:val="fr-CH"/>
        </w:rPr>
        <w:t xml:space="preserve"> en raison des limitations imposées </w:t>
      </w:r>
      <w:r>
        <w:rPr>
          <w:lang w:val="fr-CH"/>
        </w:rPr>
        <w:t xml:space="preserve">expressément, </w:t>
      </w:r>
      <w:r w:rsidR="00FC4233">
        <w:rPr>
          <w:lang w:val="fr-CH"/>
        </w:rPr>
        <w:t>en vertu des numéros</w:t>
      </w:r>
      <w:r w:rsidR="00FC4233" w:rsidRPr="006C0ACF">
        <w:rPr>
          <w:lang w:val="fr-CH"/>
        </w:rPr>
        <w:t xml:space="preserve"> </w:t>
      </w:r>
      <w:r w:rsidR="00FC4233" w:rsidRPr="006C0ACF">
        <w:rPr>
          <w:b/>
          <w:bCs/>
          <w:lang w:val="fr-CH"/>
        </w:rPr>
        <w:t>5.509D</w:t>
      </w:r>
      <w:r w:rsidR="00FC4233" w:rsidRPr="006C0ACF">
        <w:rPr>
          <w:lang w:val="fr-CH"/>
        </w:rPr>
        <w:t xml:space="preserve"> et </w:t>
      </w:r>
      <w:r w:rsidR="00FC4233" w:rsidRPr="006C0ACF">
        <w:rPr>
          <w:b/>
          <w:bCs/>
          <w:lang w:val="fr-CH"/>
        </w:rPr>
        <w:t>5.509F</w:t>
      </w:r>
      <w:r>
        <w:rPr>
          <w:lang w:val="fr-CH"/>
        </w:rPr>
        <w:t xml:space="preserve">, </w:t>
      </w:r>
      <w:r w:rsidR="00FC4233" w:rsidRPr="006C0ACF">
        <w:rPr>
          <w:lang w:val="fr-CH"/>
        </w:rPr>
        <w:t>à ces liaisons de connexion, les numéros</w:t>
      </w:r>
      <w:r>
        <w:rPr>
          <w:lang w:val="fr-CH"/>
        </w:rPr>
        <w:t xml:space="preserve"> </w:t>
      </w:r>
      <w:r w:rsidR="00FC4233" w:rsidRPr="006C0ACF">
        <w:rPr>
          <w:b/>
          <w:bCs/>
          <w:lang w:val="fr-CH"/>
        </w:rPr>
        <w:t>9.17</w:t>
      </w:r>
      <w:r w:rsidR="00FC4233" w:rsidRPr="006C0ACF">
        <w:rPr>
          <w:lang w:val="fr-CH"/>
        </w:rPr>
        <w:t xml:space="preserve"> </w:t>
      </w:r>
      <w:r w:rsidR="00FC4233">
        <w:rPr>
          <w:lang w:val="fr-CH"/>
        </w:rPr>
        <w:t>et</w:t>
      </w:r>
      <w:r w:rsidR="00FC4233" w:rsidRPr="006C0ACF">
        <w:rPr>
          <w:lang w:val="fr-CH"/>
        </w:rPr>
        <w:t xml:space="preserve"> </w:t>
      </w:r>
      <w:r w:rsidR="00FC4233" w:rsidRPr="006C0ACF">
        <w:rPr>
          <w:b/>
          <w:bCs/>
          <w:lang w:val="fr-CH"/>
        </w:rPr>
        <w:t>9.18</w:t>
      </w:r>
      <w:r w:rsidR="00FC4233" w:rsidRPr="006C0ACF">
        <w:rPr>
          <w:lang w:val="fr-CH"/>
        </w:rPr>
        <w:t xml:space="preserve"> </w:t>
      </w:r>
      <w:r w:rsidR="00FC4233">
        <w:rPr>
          <w:lang w:val="fr-CH"/>
        </w:rPr>
        <w:t>ne s</w:t>
      </w:r>
      <w:r w:rsidR="002F7356">
        <w:rPr>
          <w:lang w:val="fr-CH"/>
        </w:rPr>
        <w:t>'</w:t>
      </w:r>
      <w:r w:rsidR="00FC4233">
        <w:rPr>
          <w:lang w:val="fr-CH"/>
        </w:rPr>
        <w:t>appliquent pas vis-à-vis de ces applications du SFS</w:t>
      </w:r>
      <w:r w:rsidR="00FC4233" w:rsidRPr="006C0ACF">
        <w:rPr>
          <w:lang w:val="fr-CH"/>
        </w:rPr>
        <w:t>.</w:t>
      </w:r>
    </w:p>
    <w:p w:rsidR="00FC4233" w:rsidRPr="00982C48" w:rsidRDefault="00D3095A" w:rsidP="00D3095A">
      <w:pPr>
        <w:pStyle w:val="enumlev1"/>
        <w:rPr>
          <w:lang w:val="fr-CH"/>
        </w:rPr>
      </w:pPr>
      <w:r w:rsidRPr="00D3095A">
        <w:rPr>
          <w:lang w:val="fr-CH" w:eastAsia="ko-KR"/>
        </w:rPr>
        <w:t>•</w:t>
      </w:r>
      <w:r>
        <w:rPr>
          <w:lang w:val="fr-CH" w:eastAsia="ko-KR"/>
        </w:rPr>
        <w:tab/>
      </w:r>
      <w:r w:rsidRPr="006C0ACF">
        <w:rPr>
          <w:lang w:val="fr-CH" w:eastAsia="ko-KR"/>
        </w:rPr>
        <w:t>A</w:t>
      </w:r>
      <w:r w:rsidR="00FC4233" w:rsidRPr="006C0ACF">
        <w:rPr>
          <w:lang w:val="fr-CH" w:eastAsia="ko-KR"/>
        </w:rPr>
        <w:t>brogation de l</w:t>
      </w:r>
      <w:r w:rsidR="002F7356">
        <w:rPr>
          <w:lang w:val="fr-CH" w:eastAsia="ko-KR"/>
        </w:rPr>
        <w:t>'</w:t>
      </w:r>
      <w:r w:rsidR="00FC4233" w:rsidRPr="006C0ACF">
        <w:rPr>
          <w:lang w:val="fr-CH" w:eastAsia="ko-KR"/>
        </w:rPr>
        <w:t>attribution au service fixe par satellite (espace vers Terre) dans la bande 15,43</w:t>
      </w:r>
      <w:r>
        <w:rPr>
          <w:lang w:val="fr-CH" w:eastAsia="ko-KR"/>
        </w:rPr>
        <w:noBreakHyphen/>
      </w:r>
      <w:r w:rsidR="00FC4233" w:rsidRPr="006C0ACF">
        <w:rPr>
          <w:lang w:val="fr-CH" w:eastAsia="ko-KR"/>
        </w:rPr>
        <w:t xml:space="preserve">15,63 GHz à la suite de la modification du numéro </w:t>
      </w:r>
      <w:r w:rsidR="00FC4233" w:rsidRPr="00982C48">
        <w:rPr>
          <w:b/>
          <w:bCs/>
          <w:lang w:val="fr-CH" w:eastAsia="ko-KR"/>
        </w:rPr>
        <w:t>5.511A</w:t>
      </w:r>
      <w:r w:rsidR="00FC4233" w:rsidRPr="00982C48">
        <w:rPr>
          <w:lang w:val="fr-CH" w:eastAsia="ko-KR"/>
        </w:rPr>
        <w:t>. En conséquence, la bande cesse d</w:t>
      </w:r>
      <w:r w:rsidR="002F7356">
        <w:rPr>
          <w:lang w:val="fr-CH" w:eastAsia="ko-KR"/>
        </w:rPr>
        <w:t>'</w:t>
      </w:r>
      <w:r w:rsidR="00FC4233" w:rsidRPr="00982C48">
        <w:rPr>
          <w:lang w:val="fr-CH" w:eastAsia="ko-KR"/>
        </w:rPr>
        <w:t xml:space="preserve">être utilisée en partage </w:t>
      </w:r>
      <w:r w:rsidR="00FC4233">
        <w:rPr>
          <w:lang w:val="fr-CH" w:eastAsia="ko-KR"/>
        </w:rPr>
        <w:t>entre les services spatiaux et les services de Terre</w:t>
      </w:r>
      <w:r>
        <w:rPr>
          <w:lang w:val="fr-CH" w:eastAsia="ko-KR"/>
        </w:rPr>
        <w:t xml:space="preserve">; il en découle des conséquences pour ce qui est de </w:t>
      </w:r>
      <w:r w:rsidR="00FC4233">
        <w:rPr>
          <w:lang w:val="fr-CH" w:eastAsia="ko-KR"/>
        </w:rPr>
        <w:t>la coordination des services de Terre</w:t>
      </w:r>
      <w:r w:rsidR="00FC4233" w:rsidRPr="00982C48">
        <w:rPr>
          <w:lang w:val="fr-CH" w:eastAsia="ko-KR"/>
        </w:rPr>
        <w:t>.</w:t>
      </w:r>
    </w:p>
    <w:p w:rsidR="00FC4233" w:rsidRPr="00D538B0" w:rsidRDefault="00D3095A" w:rsidP="00D3095A">
      <w:pPr>
        <w:pStyle w:val="enumlev1"/>
        <w:rPr>
          <w:lang w:val="fr-CH"/>
        </w:rPr>
      </w:pPr>
      <w:r w:rsidRPr="00D3095A">
        <w:rPr>
          <w:lang w:val="fr-CH" w:eastAsia="ko-KR"/>
        </w:rPr>
        <w:t>•</w:t>
      </w:r>
      <w:r>
        <w:rPr>
          <w:lang w:val="fr-CH" w:eastAsia="ko-KR"/>
        </w:rPr>
        <w:tab/>
      </w:r>
      <w:r w:rsidRPr="00D538B0">
        <w:rPr>
          <w:lang w:val="fr-CH" w:eastAsia="ko-KR"/>
        </w:rPr>
        <w:t>A</w:t>
      </w:r>
      <w:r w:rsidR="00FC4233" w:rsidRPr="00D538B0">
        <w:rPr>
          <w:lang w:val="fr-CH" w:eastAsia="ko-KR"/>
        </w:rPr>
        <w:t>brogation de l</w:t>
      </w:r>
      <w:r w:rsidR="002F7356">
        <w:rPr>
          <w:lang w:val="fr-CH" w:eastAsia="ko-KR"/>
        </w:rPr>
        <w:t>'</w:t>
      </w:r>
      <w:r w:rsidR="00FC4233" w:rsidRPr="00D538B0">
        <w:rPr>
          <w:lang w:val="fr-CH" w:eastAsia="ko-KR"/>
        </w:rPr>
        <w:t>attribution au service fixe par satellite dans les bandes 15</w:t>
      </w:r>
      <w:r>
        <w:rPr>
          <w:lang w:val="fr-CH" w:eastAsia="ko-KR"/>
        </w:rPr>
        <w:t>,</w:t>
      </w:r>
      <w:r w:rsidR="00FC4233" w:rsidRPr="00D538B0">
        <w:rPr>
          <w:lang w:val="fr-CH" w:eastAsia="ko-KR"/>
        </w:rPr>
        <w:t>4</w:t>
      </w:r>
      <w:r>
        <w:rPr>
          <w:lang w:val="fr-CH" w:eastAsia="ko-KR"/>
        </w:rPr>
        <w:noBreakHyphen/>
      </w:r>
      <w:r w:rsidR="00FC4233" w:rsidRPr="00D538B0">
        <w:rPr>
          <w:lang w:val="fr-CH" w:eastAsia="ko-KR"/>
        </w:rPr>
        <w:t>15</w:t>
      </w:r>
      <w:r>
        <w:rPr>
          <w:lang w:val="fr-CH" w:eastAsia="ko-KR"/>
        </w:rPr>
        <w:t>,</w:t>
      </w:r>
      <w:r w:rsidR="00FC4233" w:rsidRPr="00D538B0">
        <w:rPr>
          <w:lang w:val="fr-CH" w:eastAsia="ko-KR"/>
        </w:rPr>
        <w:t>43</w:t>
      </w:r>
      <w:r>
        <w:rPr>
          <w:lang w:val="fr-CH" w:eastAsia="ko-KR"/>
        </w:rPr>
        <w:t> </w:t>
      </w:r>
      <w:r w:rsidR="00FC4233" w:rsidRPr="00D538B0">
        <w:rPr>
          <w:lang w:val="fr-CH" w:eastAsia="ko-KR"/>
        </w:rPr>
        <w:t>GHz et 15</w:t>
      </w:r>
      <w:r>
        <w:rPr>
          <w:lang w:val="fr-CH" w:eastAsia="ko-KR"/>
        </w:rPr>
        <w:t>,</w:t>
      </w:r>
      <w:r w:rsidR="00FC4233" w:rsidRPr="00D538B0">
        <w:rPr>
          <w:lang w:val="fr-CH" w:eastAsia="ko-KR"/>
        </w:rPr>
        <w:t>63</w:t>
      </w:r>
      <w:r>
        <w:rPr>
          <w:lang w:val="fr-CH" w:eastAsia="ko-KR"/>
        </w:rPr>
        <w:noBreakHyphen/>
      </w:r>
      <w:r w:rsidR="00FC4233" w:rsidRPr="00D538B0">
        <w:rPr>
          <w:lang w:val="fr-CH" w:eastAsia="ko-KR"/>
        </w:rPr>
        <w:t>15</w:t>
      </w:r>
      <w:r>
        <w:rPr>
          <w:lang w:val="fr-CH" w:eastAsia="ko-KR"/>
        </w:rPr>
        <w:t>,</w:t>
      </w:r>
      <w:r w:rsidR="00FC4233" w:rsidRPr="00D538B0">
        <w:rPr>
          <w:lang w:val="fr-CH" w:eastAsia="ko-KR"/>
        </w:rPr>
        <w:t xml:space="preserve">7 GHz à la suite de la suppression du numéro </w:t>
      </w:r>
      <w:r w:rsidR="00FC4233" w:rsidRPr="00D538B0">
        <w:rPr>
          <w:b/>
          <w:bCs/>
          <w:lang w:val="fr-CH" w:eastAsia="ko-KR"/>
        </w:rPr>
        <w:t>5.511D</w:t>
      </w:r>
      <w:r w:rsidR="00FC4233" w:rsidRPr="00D538B0">
        <w:rPr>
          <w:lang w:val="fr-CH" w:eastAsia="ko-KR"/>
        </w:rPr>
        <w:t xml:space="preserve">. </w:t>
      </w:r>
      <w:r w:rsidR="00FC4233" w:rsidRPr="00982C48">
        <w:rPr>
          <w:lang w:val="fr-CH" w:eastAsia="ko-KR"/>
        </w:rPr>
        <w:t>En conséquence, la bande cesse d</w:t>
      </w:r>
      <w:r w:rsidR="002F7356">
        <w:rPr>
          <w:lang w:val="fr-CH" w:eastAsia="ko-KR"/>
        </w:rPr>
        <w:t>'</w:t>
      </w:r>
      <w:r w:rsidR="00FC4233" w:rsidRPr="00982C48">
        <w:rPr>
          <w:lang w:val="fr-CH" w:eastAsia="ko-KR"/>
        </w:rPr>
        <w:t xml:space="preserve">être utilisée en partage </w:t>
      </w:r>
      <w:r w:rsidR="00FC4233">
        <w:rPr>
          <w:lang w:val="fr-CH" w:eastAsia="ko-KR"/>
        </w:rPr>
        <w:t>entre les services spatiaux et les services de Terre</w:t>
      </w:r>
      <w:r>
        <w:rPr>
          <w:lang w:val="fr-CH" w:eastAsia="ko-KR"/>
        </w:rPr>
        <w:t xml:space="preserve">; il en découle des conséquences pour ce qui est de la </w:t>
      </w:r>
      <w:r w:rsidR="00FC4233">
        <w:rPr>
          <w:lang w:val="fr-CH" w:eastAsia="ko-KR"/>
        </w:rPr>
        <w:t>coordination des services de Terre</w:t>
      </w:r>
      <w:r w:rsidR="00FC4233" w:rsidRPr="00D538B0">
        <w:rPr>
          <w:lang w:val="fr-CH" w:eastAsia="ko-KR"/>
        </w:rPr>
        <w:t>.</w:t>
      </w:r>
    </w:p>
    <w:p w:rsidR="00FC4233" w:rsidRPr="006767F2" w:rsidRDefault="00FC4233" w:rsidP="00D3095A">
      <w:pPr>
        <w:rPr>
          <w:lang w:val="fr-CH"/>
        </w:rPr>
      </w:pPr>
      <w:r w:rsidRPr="006767F2">
        <w:rPr>
          <w:lang w:val="fr-CH"/>
        </w:rPr>
        <w:t>3.5</w:t>
      </w:r>
      <w:r w:rsidRPr="006767F2">
        <w:rPr>
          <w:lang w:val="fr-CH"/>
        </w:rPr>
        <w:tab/>
        <w:t>La CMR</w:t>
      </w:r>
      <w:r w:rsidR="00D3095A">
        <w:rPr>
          <w:lang w:val="fr-CH"/>
        </w:rPr>
        <w:noBreakHyphen/>
      </w:r>
      <w:r w:rsidRPr="006767F2">
        <w:rPr>
          <w:lang w:val="fr-CH"/>
        </w:rPr>
        <w:t xml:space="preserve">15 a modifié les dispositions des numéros </w:t>
      </w:r>
      <w:r w:rsidRPr="006767F2">
        <w:rPr>
          <w:b/>
          <w:bCs/>
          <w:lang w:val="fr-CH"/>
        </w:rPr>
        <w:t>9.47</w:t>
      </w:r>
      <w:r w:rsidRPr="006767F2">
        <w:rPr>
          <w:lang w:val="fr-CH"/>
        </w:rPr>
        <w:t xml:space="preserve"> et </w:t>
      </w:r>
      <w:r w:rsidRPr="006767F2">
        <w:rPr>
          <w:b/>
          <w:bCs/>
          <w:lang w:val="fr-CH"/>
        </w:rPr>
        <w:t>9.62</w:t>
      </w:r>
      <w:r w:rsidRPr="006767F2">
        <w:rPr>
          <w:lang w:val="fr-CH"/>
        </w:rPr>
        <w:t xml:space="preserve"> concernant les procédures de coordination prévues dans l</w:t>
      </w:r>
      <w:r w:rsidR="002F7356">
        <w:rPr>
          <w:lang w:val="fr-CH"/>
        </w:rPr>
        <w:t>'</w:t>
      </w:r>
      <w:r w:rsidRPr="006767F2">
        <w:rPr>
          <w:lang w:val="fr-CH"/>
        </w:rPr>
        <w:t xml:space="preserve">Article </w:t>
      </w:r>
      <w:r w:rsidRPr="006767F2">
        <w:rPr>
          <w:b/>
          <w:bCs/>
          <w:lang w:val="fr-CH"/>
        </w:rPr>
        <w:t>9</w:t>
      </w:r>
      <w:r w:rsidRPr="006767F2">
        <w:rPr>
          <w:lang w:val="fr-CH"/>
        </w:rPr>
        <w:t xml:space="preserve"> </w:t>
      </w:r>
      <w:r>
        <w:rPr>
          <w:lang w:val="fr-CH"/>
        </w:rPr>
        <w:t>en introduisant un rappel supplémentaire en cas d</w:t>
      </w:r>
      <w:r w:rsidR="002F7356">
        <w:rPr>
          <w:lang w:val="fr-CH"/>
        </w:rPr>
        <w:t>'</w:t>
      </w:r>
      <w:r>
        <w:rPr>
          <w:lang w:val="fr-CH"/>
        </w:rPr>
        <w:t>absence de réponse. Les administrations sont invitées à tenir compte de ces modifications dans leurs activités de coordination</w:t>
      </w:r>
      <w:r w:rsidRPr="006767F2">
        <w:rPr>
          <w:lang w:val="fr-CH"/>
        </w:rPr>
        <w:t>.</w:t>
      </w:r>
    </w:p>
    <w:p w:rsidR="00FC4233" w:rsidRDefault="00FC4233" w:rsidP="00D3095A">
      <w:pPr>
        <w:rPr>
          <w:lang w:val="fr-CH"/>
        </w:rPr>
      </w:pPr>
      <w:r w:rsidRPr="006767F2">
        <w:rPr>
          <w:lang w:val="fr-CH"/>
        </w:rPr>
        <w:t>3.6</w:t>
      </w:r>
      <w:r w:rsidRPr="006767F2">
        <w:rPr>
          <w:lang w:val="fr-CH"/>
        </w:rPr>
        <w:tab/>
        <w:t>La CMR</w:t>
      </w:r>
      <w:r w:rsidR="00D3095A">
        <w:rPr>
          <w:lang w:val="fr-CH"/>
        </w:rPr>
        <w:noBreakHyphen/>
      </w:r>
      <w:r w:rsidRPr="006767F2">
        <w:rPr>
          <w:lang w:val="fr-CH"/>
        </w:rPr>
        <w:t xml:space="preserve">15 a revu la description des éléments de données </w:t>
      </w:r>
      <w:r w:rsidRPr="006767F2">
        <w:rPr>
          <w:rFonts w:eastAsiaTheme="minorHAnsi"/>
          <w:b/>
          <w:bCs/>
          <w:lang w:val="fr-CH"/>
        </w:rPr>
        <w:t>1EO</w:t>
      </w:r>
      <w:r w:rsidRPr="006767F2">
        <w:rPr>
          <w:rFonts w:eastAsiaTheme="minorHAnsi"/>
          <w:lang w:val="fr-CH"/>
        </w:rPr>
        <w:t xml:space="preserve"> (1.5.10.1 –</w:t>
      </w:r>
      <w:r w:rsidR="00D3095A">
        <w:rPr>
          <w:rFonts w:eastAsiaTheme="minorHAnsi"/>
          <w:lang w:val="fr-CH"/>
        </w:rPr>
        <w:t xml:space="preserve"> </w:t>
      </w:r>
      <w:r w:rsidRPr="006767F2">
        <w:rPr>
          <w:rFonts w:eastAsiaTheme="minorHAnsi"/>
          <w:lang w:val="fr-CH"/>
        </w:rPr>
        <w:t xml:space="preserve">le décalage de fréquence), </w:t>
      </w:r>
      <w:r w:rsidRPr="006767F2">
        <w:rPr>
          <w:rFonts w:eastAsiaTheme="minorHAnsi"/>
          <w:b/>
          <w:bCs/>
          <w:lang w:val="fr-CH"/>
        </w:rPr>
        <w:t>7A</w:t>
      </w:r>
      <w:r w:rsidRPr="006767F2">
        <w:rPr>
          <w:rFonts w:eastAsiaTheme="minorHAnsi"/>
          <w:lang w:val="fr-CH"/>
        </w:rPr>
        <w:t xml:space="preserve"> (7.1 –</w:t>
      </w:r>
      <w:r w:rsidR="00D3095A">
        <w:rPr>
          <w:rFonts w:eastAsiaTheme="minorHAnsi"/>
          <w:lang w:val="fr-CH"/>
        </w:rPr>
        <w:t xml:space="preserve"> </w:t>
      </w:r>
      <w:r>
        <w:rPr>
          <w:rFonts w:eastAsiaTheme="minorHAnsi"/>
          <w:lang w:val="fr-CH"/>
        </w:rPr>
        <w:t>la classe d</w:t>
      </w:r>
      <w:r w:rsidR="002F7356">
        <w:rPr>
          <w:rFonts w:eastAsiaTheme="minorHAnsi"/>
          <w:lang w:val="fr-CH"/>
        </w:rPr>
        <w:t>'</w:t>
      </w:r>
      <w:r>
        <w:rPr>
          <w:rFonts w:eastAsiaTheme="minorHAnsi"/>
          <w:lang w:val="fr-CH"/>
        </w:rPr>
        <w:t>émission</w:t>
      </w:r>
      <w:r w:rsidRPr="006767F2">
        <w:rPr>
          <w:rFonts w:eastAsiaTheme="minorHAnsi"/>
          <w:lang w:val="fr-CH"/>
        </w:rPr>
        <w:t xml:space="preserve">) </w:t>
      </w:r>
      <w:r>
        <w:rPr>
          <w:rFonts w:eastAsiaTheme="minorHAnsi"/>
          <w:lang w:val="fr-CH"/>
        </w:rPr>
        <w:t>et</w:t>
      </w:r>
      <w:r w:rsidRPr="006767F2">
        <w:rPr>
          <w:rFonts w:eastAsiaTheme="minorHAnsi"/>
          <w:lang w:val="fr-CH"/>
        </w:rPr>
        <w:t xml:space="preserve"> </w:t>
      </w:r>
      <w:r w:rsidRPr="006767F2">
        <w:rPr>
          <w:rFonts w:eastAsiaTheme="minorHAnsi"/>
          <w:b/>
          <w:bCs/>
          <w:lang w:val="fr-CH"/>
        </w:rPr>
        <w:t>7AB</w:t>
      </w:r>
      <w:r w:rsidRPr="006767F2">
        <w:rPr>
          <w:rFonts w:eastAsiaTheme="minorHAnsi"/>
          <w:lang w:val="fr-CH"/>
        </w:rPr>
        <w:t xml:space="preserve"> (7.2</w:t>
      </w:r>
      <w:r w:rsidR="00D3095A">
        <w:rPr>
          <w:rFonts w:eastAsiaTheme="minorHAnsi"/>
          <w:lang w:val="fr-CH"/>
        </w:rPr>
        <w:t xml:space="preserve"> </w:t>
      </w:r>
      <w:r w:rsidR="00D3095A" w:rsidRPr="00D3095A">
        <w:rPr>
          <w:rFonts w:eastAsiaTheme="minorHAnsi"/>
          <w:lang w:val="fr-CH"/>
        </w:rPr>
        <w:t>–</w:t>
      </w:r>
      <w:r w:rsidR="00D3095A">
        <w:rPr>
          <w:rFonts w:eastAsiaTheme="minorHAnsi"/>
          <w:lang w:val="fr-CH"/>
        </w:rPr>
        <w:t xml:space="preserve"> </w:t>
      </w:r>
      <w:r>
        <w:rPr>
          <w:rFonts w:eastAsiaTheme="minorHAnsi"/>
          <w:lang w:val="fr-CH"/>
        </w:rPr>
        <w:t>la largeur de bande nécessaire</w:t>
      </w:r>
      <w:r w:rsidRPr="006767F2">
        <w:rPr>
          <w:rFonts w:eastAsiaTheme="minorHAnsi"/>
          <w:lang w:val="fr-CH"/>
        </w:rPr>
        <w:t>)</w:t>
      </w:r>
      <w:r>
        <w:rPr>
          <w:rFonts w:eastAsiaTheme="minorHAnsi"/>
          <w:lang w:val="fr-CH"/>
        </w:rPr>
        <w:t xml:space="preserve"> figurant dans le Tableau </w:t>
      </w:r>
      <w:r w:rsidRPr="006767F2">
        <w:rPr>
          <w:lang w:val="fr-CH"/>
        </w:rPr>
        <w:t>1 (</w:t>
      </w:r>
      <w:r>
        <w:rPr>
          <w:lang w:val="fr-CH"/>
        </w:rPr>
        <w:t>Caractéristiques des services de Terre) de l</w:t>
      </w:r>
      <w:r w:rsidR="002F7356">
        <w:rPr>
          <w:lang w:val="fr-CH"/>
        </w:rPr>
        <w:t>'</w:t>
      </w:r>
      <w:r>
        <w:rPr>
          <w:lang w:val="fr-CH"/>
        </w:rPr>
        <w:t xml:space="preserve">Appendice </w:t>
      </w:r>
      <w:r w:rsidRPr="006767F2">
        <w:rPr>
          <w:b/>
          <w:bCs/>
          <w:lang w:val="fr-CH"/>
        </w:rPr>
        <w:t>4</w:t>
      </w:r>
      <w:r w:rsidRPr="006767F2">
        <w:rPr>
          <w:lang w:val="fr-CH"/>
        </w:rPr>
        <w:t>. Ces éléments de données</w:t>
      </w:r>
      <w:r w:rsidR="00D3095A">
        <w:rPr>
          <w:lang w:val="fr-CH"/>
        </w:rPr>
        <w:t>,</w:t>
      </w:r>
      <w:r w:rsidRPr="006767F2">
        <w:rPr>
          <w:lang w:val="fr-CH"/>
        </w:rPr>
        <w:t xml:space="preserve"> qui devaient être au</w:t>
      </w:r>
      <w:r w:rsidR="00D3095A">
        <w:rPr>
          <w:lang w:val="fr-CH"/>
        </w:rPr>
        <w:t>paravant</w:t>
      </w:r>
      <w:r w:rsidRPr="006767F2">
        <w:rPr>
          <w:lang w:val="fr-CH"/>
        </w:rPr>
        <w:t xml:space="preserve"> fournis pour la notification</w:t>
      </w:r>
      <w:r>
        <w:rPr>
          <w:lang w:val="fr-CH"/>
        </w:rPr>
        <w:t xml:space="preserve"> </w:t>
      </w:r>
      <w:r w:rsidR="00D3095A" w:rsidRPr="006767F2">
        <w:rPr>
          <w:lang w:val="fr-CH"/>
        </w:rPr>
        <w:t>uniquement</w:t>
      </w:r>
      <w:r w:rsidR="00D3095A">
        <w:rPr>
          <w:lang w:val="fr-CH"/>
        </w:rPr>
        <w:t xml:space="preserve"> </w:t>
      </w:r>
      <w:r>
        <w:rPr>
          <w:lang w:val="fr-CH"/>
        </w:rPr>
        <w:t>dans la zone de planification et les bandes de l</w:t>
      </w:r>
      <w:r w:rsidR="002F7356">
        <w:rPr>
          <w:lang w:val="fr-CH"/>
        </w:rPr>
        <w:t>'</w:t>
      </w:r>
      <w:r>
        <w:rPr>
          <w:lang w:val="fr-CH"/>
        </w:rPr>
        <w:t>Accord GE</w:t>
      </w:r>
      <w:r w:rsidR="00D3095A">
        <w:rPr>
          <w:lang w:val="fr-CH"/>
        </w:rPr>
        <w:t xml:space="preserve">06, doivent désormais être obligatoirement fournis pour les notifications, conformément aux dispositions des numéros </w:t>
      </w:r>
      <w:r w:rsidR="00D3095A" w:rsidRPr="00D3095A">
        <w:rPr>
          <w:b/>
          <w:bCs/>
          <w:lang w:val="fr-CH"/>
        </w:rPr>
        <w:t>11.2</w:t>
      </w:r>
      <w:r w:rsidR="00D3095A">
        <w:rPr>
          <w:lang w:val="fr-CH"/>
        </w:rPr>
        <w:t xml:space="preserve"> et </w:t>
      </w:r>
      <w:r w:rsidR="00D3095A" w:rsidRPr="00D3095A">
        <w:rPr>
          <w:b/>
          <w:bCs/>
          <w:lang w:val="fr-CH"/>
        </w:rPr>
        <w:t>9.21</w:t>
      </w:r>
      <w:r w:rsidR="00D3095A">
        <w:rPr>
          <w:lang w:val="fr-CH"/>
        </w:rPr>
        <w:t>, également dans les pays et les bandes ne relevant pas de l'Accord GE06.</w:t>
      </w:r>
    </w:p>
    <w:p w:rsidR="00FC4233" w:rsidRPr="00770A00" w:rsidRDefault="00FC4233" w:rsidP="001D554D">
      <w:pPr>
        <w:rPr>
          <w:lang w:val="fr-CH"/>
        </w:rPr>
      </w:pPr>
      <w:r w:rsidRPr="005543B6">
        <w:rPr>
          <w:b/>
          <w:bCs/>
          <w:lang w:val="fr-CH"/>
        </w:rPr>
        <w:t>4</w:t>
      </w:r>
      <w:r w:rsidRPr="00770A00">
        <w:rPr>
          <w:lang w:val="fr-CH"/>
        </w:rPr>
        <w:tab/>
        <w:t xml:space="preserve">En ce qui concerne la Résolution </w:t>
      </w:r>
      <w:r w:rsidRPr="00770A00">
        <w:rPr>
          <w:b/>
          <w:bCs/>
          <w:lang w:val="fr-CH"/>
        </w:rPr>
        <w:t>809 (CMR-15)</w:t>
      </w:r>
      <w:r w:rsidRPr="00770A00">
        <w:rPr>
          <w:lang w:val="fr-CH"/>
        </w:rPr>
        <w:t>, relative à l</w:t>
      </w:r>
      <w:r w:rsidR="002F7356">
        <w:rPr>
          <w:lang w:val="fr-CH"/>
        </w:rPr>
        <w:t>'</w:t>
      </w:r>
      <w:r w:rsidRPr="00770A00">
        <w:rPr>
          <w:lang w:val="fr-CH"/>
        </w:rPr>
        <w:t>ordre du jour de la Conférence mondiale des radiocommunications de 2019</w:t>
      </w:r>
      <w:r w:rsidR="002F7356">
        <w:rPr>
          <w:lang w:val="fr-CH"/>
        </w:rPr>
        <w:t>,</w:t>
      </w:r>
      <w:r w:rsidRPr="00770A00">
        <w:rPr>
          <w:lang w:val="fr-CH"/>
        </w:rPr>
        <w:t xml:space="preserve"> et la Résolution </w:t>
      </w:r>
      <w:r w:rsidRPr="00770A00">
        <w:rPr>
          <w:b/>
          <w:bCs/>
          <w:lang w:val="fr-CH"/>
        </w:rPr>
        <w:t>810 (CMR</w:t>
      </w:r>
      <w:r w:rsidR="001D554D">
        <w:rPr>
          <w:b/>
          <w:bCs/>
          <w:lang w:val="fr-CH"/>
        </w:rPr>
        <w:noBreakHyphen/>
      </w:r>
      <w:r w:rsidRPr="00770A00">
        <w:rPr>
          <w:b/>
          <w:bCs/>
          <w:lang w:val="fr-CH"/>
        </w:rPr>
        <w:t>15)</w:t>
      </w:r>
      <w:r w:rsidRPr="00770A00">
        <w:rPr>
          <w:lang w:val="fr-CH"/>
        </w:rPr>
        <w:t xml:space="preserve">, </w:t>
      </w:r>
      <w:r>
        <w:rPr>
          <w:lang w:val="fr-CH"/>
        </w:rPr>
        <w:t>relative</w:t>
      </w:r>
      <w:r w:rsidRPr="00770A00">
        <w:rPr>
          <w:lang w:val="fr-CH"/>
        </w:rPr>
        <w:t xml:space="preserve"> à l</w:t>
      </w:r>
      <w:r w:rsidR="002F7356">
        <w:rPr>
          <w:lang w:val="fr-CH"/>
        </w:rPr>
        <w:t>'</w:t>
      </w:r>
      <w:r w:rsidRPr="00770A00">
        <w:rPr>
          <w:lang w:val="fr-CH"/>
        </w:rPr>
        <w:t>ordre du jour préliminaire de la Conférence mondiale des radiocommunications de 2023,</w:t>
      </w:r>
      <w:r>
        <w:rPr>
          <w:lang w:val="fr-CH"/>
        </w:rPr>
        <w:t xml:space="preserve"> conformément à la pratique actuellement suivie, les mesures préparatoires nécessaires ont été engagées et les résultats de la première session de la Réunion de préparation à la Conférence de 2019 </w:t>
      </w:r>
      <w:r w:rsidRPr="00770A00">
        <w:rPr>
          <w:lang w:val="fr-CH"/>
        </w:rPr>
        <w:t>(</w:t>
      </w:r>
      <w:r>
        <w:rPr>
          <w:lang w:val="fr-CH"/>
        </w:rPr>
        <w:t>RPC</w:t>
      </w:r>
      <w:r w:rsidRPr="00770A00">
        <w:rPr>
          <w:lang w:val="fr-CH"/>
        </w:rPr>
        <w:t xml:space="preserve">19-1) </w:t>
      </w:r>
      <w:r>
        <w:rPr>
          <w:lang w:val="fr-CH"/>
        </w:rPr>
        <w:t xml:space="preserve">ont été communiqués </w:t>
      </w:r>
      <w:r w:rsidRPr="00770A00">
        <w:rPr>
          <w:lang w:val="fr-CH"/>
        </w:rPr>
        <w:t>(</w:t>
      </w:r>
      <w:r>
        <w:rPr>
          <w:lang w:val="fr-CH"/>
        </w:rPr>
        <w:t xml:space="preserve">voir la Circulaire administrative </w:t>
      </w:r>
      <w:r w:rsidRPr="00770A00">
        <w:rPr>
          <w:b/>
          <w:bCs/>
          <w:lang w:val="fr-CH"/>
        </w:rPr>
        <w:t>CA/226</w:t>
      </w:r>
      <w:r>
        <w:rPr>
          <w:lang w:val="fr-CH"/>
        </w:rPr>
        <w:t xml:space="preserve"> du 23 décembre </w:t>
      </w:r>
      <w:r w:rsidRPr="00770A00">
        <w:rPr>
          <w:lang w:val="fr-CH"/>
        </w:rPr>
        <w:t>2015).</w:t>
      </w:r>
    </w:p>
    <w:p w:rsidR="00FC4233" w:rsidRPr="00770A00" w:rsidRDefault="00FC4233" w:rsidP="00FC4233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line="240" w:lineRule="auto"/>
        <w:rPr>
          <w:rFonts w:asciiTheme="minorHAnsi" w:hAnsiTheme="minorHAnsi"/>
          <w:szCs w:val="24"/>
          <w:lang w:val="fr-CH"/>
        </w:rPr>
      </w:pPr>
      <w:r w:rsidRPr="005543B6">
        <w:rPr>
          <w:rFonts w:asciiTheme="minorHAnsi" w:hAnsiTheme="minorHAnsi"/>
          <w:b/>
          <w:bCs/>
          <w:szCs w:val="24"/>
          <w:lang w:val="fr-CH"/>
        </w:rPr>
        <w:t>5</w:t>
      </w:r>
      <w:r w:rsidRPr="00770A00">
        <w:rPr>
          <w:rFonts w:asciiTheme="minorHAnsi" w:hAnsiTheme="minorHAnsi"/>
          <w:szCs w:val="24"/>
          <w:lang w:val="fr-CH"/>
        </w:rPr>
        <w:tab/>
      </w:r>
      <w:r w:rsidRPr="00770A00">
        <w:rPr>
          <w:color w:val="000000"/>
          <w:lang w:val="fr-CH"/>
        </w:rPr>
        <w:t xml:space="preserve">Enfin, je souhaite attirer votre attention sur les dispositions de l'article </w:t>
      </w:r>
      <w:r w:rsidRPr="002F7356">
        <w:rPr>
          <w:b/>
          <w:bCs/>
          <w:color w:val="000000"/>
          <w:lang w:val="fr-CH"/>
        </w:rPr>
        <w:t>54</w:t>
      </w:r>
      <w:r w:rsidRPr="00770A00">
        <w:rPr>
          <w:color w:val="000000"/>
          <w:lang w:val="fr-CH"/>
        </w:rPr>
        <w:t xml:space="preserve"> de la Constitution, qui invite les Etats Membres à indiquer au Secrétaire général leur consentement à être liés par les révisions du Règlement des radiocommunications</w:t>
      </w:r>
      <w:r w:rsidRPr="00770A00">
        <w:rPr>
          <w:rFonts w:asciiTheme="minorHAnsi" w:hAnsiTheme="minorHAnsi"/>
          <w:szCs w:val="24"/>
          <w:lang w:val="fr-CH"/>
        </w:rPr>
        <w:t xml:space="preserve">. </w:t>
      </w:r>
    </w:p>
    <w:p w:rsidR="002F7356" w:rsidRDefault="002F73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br w:type="page"/>
      </w:r>
    </w:p>
    <w:p w:rsidR="00FC4233" w:rsidRPr="00770A00" w:rsidRDefault="00FC4233" w:rsidP="001D554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line="240" w:lineRule="auto"/>
        <w:rPr>
          <w:rFonts w:asciiTheme="minorHAnsi" w:hAnsiTheme="minorHAnsi"/>
          <w:szCs w:val="24"/>
          <w:lang w:val="fr-CH"/>
        </w:rPr>
      </w:pPr>
      <w:r w:rsidRPr="005543B6">
        <w:rPr>
          <w:rFonts w:asciiTheme="minorHAnsi" w:hAnsiTheme="minorHAnsi"/>
          <w:b/>
          <w:bCs/>
          <w:szCs w:val="24"/>
          <w:lang w:val="fr-CH"/>
        </w:rPr>
        <w:lastRenderedPageBreak/>
        <w:t>6</w:t>
      </w:r>
      <w:r w:rsidRPr="00770A00">
        <w:rPr>
          <w:rFonts w:asciiTheme="minorHAnsi" w:hAnsiTheme="minorHAnsi"/>
          <w:szCs w:val="24"/>
          <w:lang w:val="fr-CH"/>
        </w:rPr>
        <w:tab/>
      </w:r>
      <w:r w:rsidRPr="00770A00">
        <w:rPr>
          <w:color w:val="000000"/>
          <w:lang w:val="fr-CH"/>
        </w:rPr>
        <w:t>Le Bureau reste à la disposition de votre Administration pour toute précision dont elle pourrait avoir besoin en ce qui concerne les sujets traités dans la présente Lettre circulaire</w:t>
      </w:r>
      <w:r w:rsidRPr="00770A00">
        <w:rPr>
          <w:rFonts w:asciiTheme="minorHAnsi" w:hAnsiTheme="minorHAnsi"/>
          <w:szCs w:val="24"/>
          <w:lang w:val="fr-CH"/>
        </w:rPr>
        <w:t>.</w:t>
      </w:r>
    </w:p>
    <w:p w:rsidR="00D21694" w:rsidRPr="00FC4233" w:rsidRDefault="00D21694" w:rsidP="001D554D">
      <w:pPr>
        <w:keepNext/>
        <w:keepLines/>
        <w:rPr>
          <w:rFonts w:asciiTheme="minorHAnsi" w:hAnsiTheme="minorHAnsi" w:cstheme="minorHAnsi"/>
          <w:szCs w:val="24"/>
          <w:lang w:val="fr-CH"/>
        </w:rPr>
      </w:pPr>
    </w:p>
    <w:p w:rsidR="00EE1A57" w:rsidRPr="00FC4233" w:rsidRDefault="00EE1A57" w:rsidP="001D554D">
      <w:pPr>
        <w:keepNext/>
        <w:keepLines/>
        <w:rPr>
          <w:rFonts w:asciiTheme="minorHAnsi" w:hAnsiTheme="minorHAnsi" w:cstheme="minorHAnsi"/>
          <w:szCs w:val="24"/>
          <w:lang w:val="fr-CH"/>
        </w:rPr>
      </w:pPr>
    </w:p>
    <w:p w:rsidR="00EE1A57" w:rsidRPr="00FC4233" w:rsidRDefault="00EE1A57" w:rsidP="001D554D">
      <w:pPr>
        <w:keepNext/>
        <w:keepLines/>
        <w:rPr>
          <w:rFonts w:asciiTheme="minorHAnsi" w:hAnsiTheme="minorHAnsi" w:cstheme="minorHAnsi"/>
          <w:szCs w:val="24"/>
          <w:lang w:val="fr-CH"/>
        </w:rPr>
      </w:pPr>
    </w:p>
    <w:p w:rsidR="00D35AB9" w:rsidRPr="00FC4233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2569F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F7356">
      <w:pPr>
        <w:rPr>
          <w:lang w:val="fr-FR"/>
        </w:rPr>
      </w:pPr>
    </w:p>
    <w:p w:rsidR="002F7356" w:rsidRDefault="002F7356" w:rsidP="002F7356">
      <w:pPr>
        <w:rPr>
          <w:lang w:val="fr-FR"/>
        </w:rPr>
      </w:pPr>
    </w:p>
    <w:p w:rsidR="001D554D" w:rsidRDefault="001D554D" w:rsidP="002F7356">
      <w:pPr>
        <w:rPr>
          <w:lang w:val="fr-FR"/>
        </w:rPr>
      </w:pPr>
    </w:p>
    <w:p w:rsidR="001D554D" w:rsidRDefault="001D554D" w:rsidP="002569F7">
      <w:pPr>
        <w:spacing w:before="0" w:line="240" w:lineRule="auto"/>
        <w:jc w:val="left"/>
        <w:rPr>
          <w:szCs w:val="24"/>
          <w:lang w:val="fr-FR"/>
        </w:rPr>
      </w:pPr>
      <w:r w:rsidRPr="001D554D">
        <w:rPr>
          <w:b/>
          <w:bCs/>
          <w:szCs w:val="24"/>
          <w:lang w:val="fr-FR"/>
        </w:rPr>
        <w:t>Annexes</w:t>
      </w:r>
      <w:r>
        <w:rPr>
          <w:szCs w:val="24"/>
          <w:lang w:val="fr-FR"/>
        </w:rPr>
        <w:t>: 2</w:t>
      </w:r>
    </w:p>
    <w:p w:rsidR="001D554D" w:rsidRDefault="001D554D" w:rsidP="001D554D">
      <w:pPr>
        <w:rPr>
          <w:lang w:val="fr-FR"/>
        </w:rPr>
      </w:pPr>
    </w:p>
    <w:p w:rsidR="001D554D" w:rsidRPr="001D554D" w:rsidRDefault="001D554D" w:rsidP="002F7356">
      <w:pPr>
        <w:rPr>
          <w:lang w:val="fr-FR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5543B6" w:rsidRDefault="005543B6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lang w:val="fr-CH"/>
        </w:rPr>
      </w:pPr>
    </w:p>
    <w:p w:rsidR="001D554D" w:rsidRPr="00770A00" w:rsidRDefault="001D554D" w:rsidP="001D554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u w:val="single"/>
          <w:lang w:val="fr-CH"/>
        </w:rPr>
      </w:pPr>
      <w:r w:rsidRPr="001D554D">
        <w:rPr>
          <w:bCs/>
          <w:sz w:val="18"/>
          <w:szCs w:val="18"/>
          <w:lang w:val="fr-CH"/>
        </w:rPr>
        <w:t>Distribution:</w:t>
      </w:r>
    </w:p>
    <w:p w:rsidR="001D554D" w:rsidRPr="00770A00" w:rsidRDefault="001D554D" w:rsidP="001D554D">
      <w:pPr>
        <w:spacing w:before="0" w:line="240" w:lineRule="auto"/>
        <w:rPr>
          <w:lang w:val="fr-CH"/>
        </w:rPr>
      </w:pPr>
      <w:r w:rsidRPr="001D554D">
        <w:rPr>
          <w:sz w:val="18"/>
          <w:szCs w:val="18"/>
          <w:lang w:val="fr-CH"/>
        </w:rPr>
        <w:t>–</w:t>
      </w:r>
      <w:r w:rsidRPr="001D554D">
        <w:rPr>
          <w:sz w:val="18"/>
          <w:szCs w:val="18"/>
          <w:lang w:val="fr-CH"/>
        </w:rPr>
        <w:tab/>
        <w:t>Administrations des Etats Membres de l</w:t>
      </w:r>
      <w:r w:rsidR="002F7356">
        <w:rPr>
          <w:sz w:val="18"/>
          <w:szCs w:val="18"/>
          <w:lang w:val="fr-CH"/>
        </w:rPr>
        <w:t>'</w:t>
      </w:r>
      <w:r w:rsidRPr="001D554D">
        <w:rPr>
          <w:sz w:val="18"/>
          <w:szCs w:val="18"/>
          <w:lang w:val="fr-CH"/>
        </w:rPr>
        <w:t>UIT</w:t>
      </w:r>
    </w:p>
    <w:p w:rsidR="001D554D" w:rsidRDefault="001D554D" w:rsidP="001D554D">
      <w:pPr>
        <w:spacing w:before="0" w:line="240" w:lineRule="auto"/>
        <w:rPr>
          <w:sz w:val="18"/>
          <w:szCs w:val="18"/>
          <w:lang w:val="fr-CH"/>
        </w:rPr>
      </w:pPr>
      <w:r w:rsidRPr="001D554D">
        <w:rPr>
          <w:sz w:val="18"/>
          <w:szCs w:val="18"/>
          <w:lang w:val="fr-CH"/>
        </w:rPr>
        <w:t>–</w:t>
      </w:r>
      <w:r w:rsidRPr="001D554D">
        <w:rPr>
          <w:sz w:val="18"/>
          <w:szCs w:val="18"/>
          <w:lang w:val="fr-CH"/>
        </w:rPr>
        <w:tab/>
      </w:r>
      <w:r w:rsidRPr="00770A00">
        <w:rPr>
          <w:sz w:val="18"/>
          <w:szCs w:val="18"/>
          <w:lang w:val="fr-CH"/>
        </w:rPr>
        <w:t>Membres du Comité du Règlement des radiocommunications</w:t>
      </w:r>
    </w:p>
    <w:p w:rsidR="001D554D" w:rsidRDefault="001D554D" w:rsidP="001D554D">
      <w:pPr>
        <w:spacing w:before="0" w:line="240" w:lineRule="auto"/>
        <w:rPr>
          <w:sz w:val="18"/>
          <w:szCs w:val="18"/>
          <w:lang w:val="fr-CH"/>
        </w:rPr>
      </w:pPr>
    </w:p>
    <w:p w:rsidR="001D554D" w:rsidRPr="008F5DE2" w:rsidRDefault="001D554D" w:rsidP="001D554D">
      <w:pPr>
        <w:pStyle w:val="AnnexNotitle0"/>
        <w:spacing w:after="80"/>
        <w:rPr>
          <w:rFonts w:asciiTheme="minorHAnsi" w:hAnsiTheme="minorHAnsi"/>
          <w:lang w:val="fr-CH"/>
        </w:rPr>
      </w:pPr>
      <w:r w:rsidRPr="00770A00">
        <w:rPr>
          <w:sz w:val="18"/>
          <w:szCs w:val="18"/>
          <w:lang w:val="fr-CH"/>
        </w:rPr>
        <w:br w:type="page"/>
      </w:r>
      <w:r w:rsidRPr="008F5DE2">
        <w:rPr>
          <w:rFonts w:asciiTheme="minorHAnsi" w:hAnsiTheme="minorHAnsi"/>
          <w:b w:val="0"/>
          <w:bCs/>
          <w:lang w:val="fr-CH"/>
        </w:rPr>
        <w:lastRenderedPageBreak/>
        <w:t>ANNEXE 1</w:t>
      </w:r>
    </w:p>
    <w:p w:rsidR="001D554D" w:rsidRPr="008F5DE2" w:rsidRDefault="001D554D" w:rsidP="001D554D">
      <w:pPr>
        <w:pStyle w:val="AnnexNotitle0"/>
        <w:spacing w:before="240"/>
        <w:rPr>
          <w:rFonts w:asciiTheme="minorHAnsi" w:hAnsiTheme="minorHAnsi"/>
          <w:lang w:val="fr-CH"/>
        </w:rPr>
      </w:pPr>
      <w:r w:rsidRPr="008F5DE2">
        <w:rPr>
          <w:rFonts w:asciiTheme="minorHAnsi" w:hAnsiTheme="minorHAnsi"/>
          <w:lang w:val="fr-CH"/>
        </w:rPr>
        <w:t>Tableau de correspondance entre les numéros provisoires et</w:t>
      </w:r>
      <w:r>
        <w:rPr>
          <w:rFonts w:asciiTheme="minorHAnsi" w:hAnsiTheme="minorHAnsi"/>
          <w:lang w:val="fr-CH"/>
        </w:rPr>
        <w:t xml:space="preserve"> les numéros définitifs des nouvelles Résolutions et Recommandations de la CMR</w:t>
      </w:r>
      <w:r>
        <w:rPr>
          <w:rFonts w:asciiTheme="minorHAnsi" w:hAnsiTheme="minorHAnsi"/>
          <w:lang w:val="fr-CH"/>
        </w:rPr>
        <w:noBreakHyphen/>
        <w:t>15</w:t>
      </w:r>
      <w:r w:rsidRPr="008F5DE2">
        <w:rPr>
          <w:rFonts w:asciiTheme="minorHAnsi" w:hAnsiTheme="minorHAnsi"/>
          <w:lang w:val="fr-CH"/>
        </w:rPr>
        <w:t xml:space="preserve"> </w:t>
      </w:r>
    </w:p>
    <w:p w:rsidR="001D554D" w:rsidRPr="008F5DE2" w:rsidRDefault="001D554D" w:rsidP="001D554D">
      <w:pPr>
        <w:rPr>
          <w:rFonts w:asciiTheme="minorHAnsi" w:hAnsiTheme="minorHAnsi"/>
          <w:lang w:val="fr-CH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58"/>
        <w:gridCol w:w="1502"/>
        <w:gridCol w:w="1783"/>
        <w:gridCol w:w="1477"/>
        <w:gridCol w:w="1809"/>
      </w:tblGrid>
      <w:tr w:rsidR="001D554D" w:rsidRPr="005D4395" w:rsidTr="00A12B26">
        <w:trPr>
          <w:jc w:val="center"/>
        </w:trPr>
        <w:tc>
          <w:tcPr>
            <w:tcW w:w="1526" w:type="dxa"/>
          </w:tcPr>
          <w:p w:rsidR="001D554D" w:rsidRPr="00B22D3D" w:rsidRDefault="001D554D" w:rsidP="00A12B26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CH"/>
              </w:rPr>
              <w:t>Numéro provisoire</w:t>
            </w:r>
          </w:p>
        </w:tc>
        <w:tc>
          <w:tcPr>
            <w:tcW w:w="1758" w:type="dxa"/>
          </w:tcPr>
          <w:p w:rsidR="001D554D" w:rsidRPr="00B22D3D" w:rsidRDefault="001D554D" w:rsidP="00A12B26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Numéro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définitif</w:t>
            </w:r>
            <w:proofErr w:type="spellEnd"/>
          </w:p>
        </w:tc>
        <w:tc>
          <w:tcPr>
            <w:tcW w:w="1502" w:type="dxa"/>
          </w:tcPr>
          <w:p w:rsidR="001D554D" w:rsidRPr="00B22D3D" w:rsidRDefault="001D554D" w:rsidP="001D554D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CH"/>
              </w:rPr>
              <w:t>Numéro provisoire</w:t>
            </w:r>
          </w:p>
        </w:tc>
        <w:tc>
          <w:tcPr>
            <w:tcW w:w="1783" w:type="dxa"/>
          </w:tcPr>
          <w:p w:rsidR="001D554D" w:rsidRPr="00B22D3D" w:rsidRDefault="001D554D" w:rsidP="001D554D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Numéro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définitif</w:t>
            </w:r>
            <w:proofErr w:type="spellEnd"/>
          </w:p>
        </w:tc>
        <w:tc>
          <w:tcPr>
            <w:tcW w:w="1477" w:type="dxa"/>
          </w:tcPr>
          <w:p w:rsidR="001D554D" w:rsidRPr="00B22D3D" w:rsidRDefault="001D554D" w:rsidP="001D554D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CH"/>
              </w:rPr>
              <w:t>Numéro provisoire</w:t>
            </w:r>
          </w:p>
        </w:tc>
        <w:tc>
          <w:tcPr>
            <w:tcW w:w="1809" w:type="dxa"/>
          </w:tcPr>
          <w:p w:rsidR="001D554D" w:rsidRPr="00B22D3D" w:rsidRDefault="001D554D" w:rsidP="00A12B26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Numéro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définitif</w:t>
            </w:r>
            <w:proofErr w:type="spellEnd"/>
          </w:p>
        </w:tc>
      </w:tr>
      <w:tr w:rsidR="001D554D" w:rsidRPr="005D4395" w:rsidTr="00A12B26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COM5/8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556</w:t>
            </w:r>
          </w:p>
        </w:tc>
        <w:tc>
          <w:tcPr>
            <w:tcW w:w="1477" w:type="dxa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COM6/14</w:t>
            </w:r>
          </w:p>
        </w:tc>
        <w:tc>
          <w:tcPr>
            <w:tcW w:w="1809" w:type="dxa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767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958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764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809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810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B22D3D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158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361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159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659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238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160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239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161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557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162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99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426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163</w:t>
            </w:r>
          </w:p>
        </w:tc>
      </w:tr>
      <w:tr w:rsidR="001D554D" w:rsidRPr="005D4395" w:rsidTr="00A12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D" w:rsidRPr="005D4395" w:rsidRDefault="001D554D" w:rsidP="00A12B26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164</w:t>
            </w:r>
          </w:p>
        </w:tc>
      </w:tr>
    </w:tbl>
    <w:p w:rsidR="001D554D" w:rsidRPr="00D74614" w:rsidRDefault="001D554D" w:rsidP="001D554D">
      <w:pPr>
        <w:rPr>
          <w:rFonts w:asciiTheme="minorHAnsi" w:hAnsiTheme="minorHAnsi"/>
        </w:rPr>
      </w:pPr>
    </w:p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/>
    <w:p w:rsidR="001D554D" w:rsidRDefault="001D554D" w:rsidP="001D554D">
      <w:r>
        <w:br w:type="page"/>
      </w:r>
    </w:p>
    <w:p w:rsidR="001D554D" w:rsidRPr="00EC4E10" w:rsidRDefault="001D554D" w:rsidP="001D554D">
      <w:pPr>
        <w:pStyle w:val="AnnexNotitle0"/>
        <w:spacing w:after="80"/>
        <w:rPr>
          <w:rFonts w:asciiTheme="minorHAnsi" w:hAnsiTheme="minorHAnsi"/>
        </w:rPr>
      </w:pPr>
      <w:r w:rsidRPr="00EC4E10">
        <w:rPr>
          <w:rFonts w:asciiTheme="minorHAnsi" w:hAnsiTheme="minorHAnsi"/>
          <w:b w:val="0"/>
          <w:bCs/>
        </w:rPr>
        <w:lastRenderedPageBreak/>
        <w:t>ANNEX</w:t>
      </w:r>
      <w:r>
        <w:rPr>
          <w:rFonts w:asciiTheme="minorHAnsi" w:hAnsiTheme="minorHAnsi"/>
          <w:b w:val="0"/>
          <w:bCs/>
        </w:rPr>
        <w:t>E</w:t>
      </w:r>
      <w:r w:rsidRPr="00EC4E10">
        <w:rPr>
          <w:rFonts w:asciiTheme="minorHAnsi" w:hAnsiTheme="minorHAnsi"/>
          <w:b w:val="0"/>
          <w:bCs/>
        </w:rPr>
        <w:t xml:space="preserve"> 2</w:t>
      </w:r>
    </w:p>
    <w:p w:rsidR="001D554D" w:rsidRPr="008F5DE2" w:rsidRDefault="001D554D" w:rsidP="001D554D">
      <w:pPr>
        <w:keepNext/>
        <w:keepLines/>
        <w:tabs>
          <w:tab w:val="left" w:pos="1134"/>
          <w:tab w:val="left" w:pos="1871"/>
          <w:tab w:val="left" w:pos="2268"/>
        </w:tabs>
        <w:jc w:val="center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8F5DE2">
        <w:rPr>
          <w:rFonts w:asciiTheme="minorHAnsi" w:hAnsiTheme="minorHAnsi"/>
          <w:b/>
          <w:bCs/>
          <w:sz w:val="28"/>
          <w:szCs w:val="28"/>
          <w:lang w:val="fr-CH"/>
        </w:rPr>
        <w:t>Tableau de correspondance entre les numéros provisoires et les numéros définitifs des nouveaux renvois de</w:t>
      </w:r>
      <w:r>
        <w:rPr>
          <w:rFonts w:asciiTheme="minorHAnsi" w:hAnsiTheme="minorHAnsi"/>
          <w:b/>
          <w:bCs/>
          <w:sz w:val="28"/>
          <w:szCs w:val="28"/>
          <w:lang w:val="fr-CH"/>
        </w:rPr>
        <w:t xml:space="preserve"> l</w:t>
      </w:r>
      <w:r w:rsidR="002F7356">
        <w:rPr>
          <w:rFonts w:asciiTheme="minorHAnsi" w:hAnsiTheme="minorHAnsi"/>
          <w:b/>
          <w:bCs/>
          <w:sz w:val="28"/>
          <w:szCs w:val="28"/>
          <w:lang w:val="fr-CH"/>
        </w:rPr>
        <w:t>'</w:t>
      </w:r>
      <w:r>
        <w:rPr>
          <w:rFonts w:asciiTheme="minorHAnsi" w:hAnsiTheme="minorHAnsi"/>
          <w:b/>
          <w:bCs/>
          <w:sz w:val="28"/>
          <w:szCs w:val="28"/>
          <w:lang w:val="fr-CH"/>
        </w:rPr>
        <w:t>Article 5 adoptés par la CMR</w:t>
      </w:r>
      <w:r>
        <w:rPr>
          <w:rFonts w:asciiTheme="minorHAnsi" w:hAnsiTheme="minorHAnsi"/>
          <w:b/>
          <w:bCs/>
          <w:sz w:val="28"/>
          <w:szCs w:val="28"/>
          <w:lang w:val="fr-CH"/>
        </w:rPr>
        <w:noBreakHyphen/>
        <w:t>15</w:t>
      </w:r>
    </w:p>
    <w:p w:rsidR="001D554D" w:rsidRPr="008F5DE2" w:rsidRDefault="001D554D" w:rsidP="001D554D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1D554D" w:rsidRPr="00C3187D" w:rsidTr="001D554D">
        <w:trPr>
          <w:trHeight w:val="298"/>
          <w:tblHeader/>
        </w:trPr>
        <w:tc>
          <w:tcPr>
            <w:tcW w:w="4750" w:type="dxa"/>
            <w:shd w:val="clear" w:color="auto" w:fill="BFBFBF" w:themeFill="background1" w:themeFillShade="BF"/>
            <w:vAlign w:val="center"/>
          </w:tcPr>
          <w:p w:rsidR="001D554D" w:rsidRPr="001D554D" w:rsidRDefault="001D554D" w:rsidP="001D554D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80" w:after="8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D554D">
              <w:rPr>
                <w:rFonts w:asciiTheme="minorHAnsi" w:hAnsiTheme="minorHAnsi"/>
                <w:b/>
                <w:bCs/>
                <w:sz w:val="20"/>
                <w:szCs w:val="20"/>
                <w:lang w:val="fr-CH"/>
              </w:rPr>
              <w:t>Numéro provisoire</w:t>
            </w:r>
          </w:p>
        </w:tc>
        <w:tc>
          <w:tcPr>
            <w:tcW w:w="4750" w:type="dxa"/>
            <w:shd w:val="clear" w:color="auto" w:fill="BFBFBF" w:themeFill="background1" w:themeFillShade="BF"/>
            <w:vAlign w:val="center"/>
          </w:tcPr>
          <w:p w:rsidR="001D554D" w:rsidRPr="001D554D" w:rsidRDefault="001D554D" w:rsidP="001D554D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80" w:after="8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1D554D">
              <w:rPr>
                <w:rFonts w:asciiTheme="minorHAnsi" w:hAnsiTheme="minorHAnsi"/>
                <w:b/>
                <w:bCs/>
                <w:sz w:val="20"/>
                <w:szCs w:val="20"/>
              </w:rPr>
              <w:t>Numéro</w:t>
            </w:r>
            <w:proofErr w:type="spellEnd"/>
            <w:r w:rsidRPr="001D554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554D">
              <w:rPr>
                <w:rFonts w:asciiTheme="minorHAnsi" w:hAnsiTheme="minorHAnsi"/>
                <w:b/>
                <w:bCs/>
                <w:sz w:val="20"/>
                <w:szCs w:val="20"/>
              </w:rPr>
              <w:t>définitif</w:t>
            </w:r>
            <w:proofErr w:type="spellEnd"/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5.A14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5.133B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5.228AA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5.A911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5.265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5.idR2a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5.295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5.idR3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5.296A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5.allocateR2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5.308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5.idR2</w:t>
            </w:r>
            <w:r w:rsidRPr="00B22D3D">
              <w:rPr>
                <w:rFonts w:asciiTheme="majorBidi" w:hAnsiTheme="majorBidi" w:cstheme="majorBidi"/>
                <w:iCs/>
                <w:sz w:val="20"/>
              </w:rPr>
              <w:t>b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5.308A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5.A25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5.328AA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5.R1a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5.R2a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5.R3g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5.341C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5.R1b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5.346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5.R3h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5.346A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5.R1a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5.R1b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5.429C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5.429D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5.R3d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5.429E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5.R3e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5.429F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5.IMT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5.431B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5.IMT2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5.434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5.A117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5.436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5.B117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5.437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5.441A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5.R3f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5.441B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5.460A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5.460B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5.A192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5.461AA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5.B192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5.461AB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5.C112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5.D112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5.474C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5.B112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5.474D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5.A15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5.484B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5.A161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5.X161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lastRenderedPageBreak/>
              <w:t>5.B161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5.499C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5.B161A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5.499D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5.C161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5.499E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5.509B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5.509C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5.D16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5.509D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5.E16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5.509E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5.F16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5.509F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5.C16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5.509G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5.5X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5.527A</w:t>
            </w:r>
          </w:p>
        </w:tc>
      </w:tr>
      <w:tr w:rsidR="001D554D" w:rsidRPr="00090F69" w:rsidTr="00A12B26">
        <w:trPr>
          <w:trHeight w:hRule="exact" w:val="340"/>
        </w:trPr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5.A118</w:t>
            </w:r>
          </w:p>
        </w:tc>
        <w:tc>
          <w:tcPr>
            <w:tcW w:w="4750" w:type="dxa"/>
          </w:tcPr>
          <w:p w:rsidR="001D554D" w:rsidRPr="00090F69" w:rsidRDefault="001D554D" w:rsidP="00A12B26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5.559B</w:t>
            </w:r>
          </w:p>
        </w:tc>
      </w:tr>
    </w:tbl>
    <w:p w:rsidR="001D554D" w:rsidRDefault="001D554D" w:rsidP="001D554D"/>
    <w:p w:rsidR="001D554D" w:rsidRDefault="001D554D" w:rsidP="001D554D">
      <w:pPr>
        <w:rPr>
          <w:lang w:val="fr-FR"/>
        </w:rPr>
      </w:pPr>
    </w:p>
    <w:p w:rsidR="001D554D" w:rsidRDefault="001D554D" w:rsidP="001D554D">
      <w:pPr>
        <w:rPr>
          <w:lang w:val="fr-FR"/>
        </w:rPr>
      </w:pPr>
    </w:p>
    <w:p w:rsidR="001D554D" w:rsidRDefault="001D554D" w:rsidP="0032202E">
      <w:pPr>
        <w:pStyle w:val="Reasons"/>
      </w:pPr>
    </w:p>
    <w:p w:rsidR="001D554D" w:rsidRDefault="001D554D">
      <w:pPr>
        <w:jc w:val="center"/>
      </w:pPr>
      <w:r>
        <w:t>______________</w:t>
      </w:r>
    </w:p>
    <w:p w:rsidR="001D554D" w:rsidRPr="002569F7" w:rsidRDefault="001D554D" w:rsidP="001D554D">
      <w:pPr>
        <w:rPr>
          <w:lang w:val="fr-FR"/>
        </w:rPr>
      </w:pPr>
    </w:p>
    <w:sectPr w:rsidR="001D554D" w:rsidRPr="002569F7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CF" w:rsidRDefault="00FB46CF">
      <w:r>
        <w:separator/>
      </w:r>
    </w:p>
  </w:endnote>
  <w:endnote w:type="continuationSeparator" w:id="0">
    <w:p w:rsidR="00FB46CF" w:rsidRDefault="00FB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C700E3" w:rsidRDefault="00C236AF" w:rsidP="00C70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C700E3" w:rsidRDefault="00C236AF" w:rsidP="00C70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B4319B">
      <w:rPr>
        <w:color w:val="3E8EDE"/>
        <w:sz w:val="18"/>
        <w:szCs w:val="18"/>
        <w:lang w:val="fr-CH"/>
      </w:rPr>
      <w:t>Union internationale des télécommunications • Place des Nations • CH</w:t>
    </w:r>
    <w:r w:rsidRPr="00B4319B">
      <w:rPr>
        <w:color w:val="3E8EDE"/>
        <w:sz w:val="18"/>
        <w:szCs w:val="18"/>
        <w:lang w:val="fr-CH"/>
      </w:rPr>
      <w:noBreakHyphen/>
      <w:t xml:space="preserve">1211 Genève 20 • Suisse </w:t>
    </w:r>
    <w:r w:rsidRPr="00B4319B">
      <w:rPr>
        <w:color w:val="3E8EDE"/>
        <w:sz w:val="18"/>
        <w:szCs w:val="18"/>
        <w:lang w:val="fr-CH"/>
      </w:rPr>
      <w:br/>
      <w:t>Tél</w:t>
    </w:r>
    <w:r w:rsidR="001D554D">
      <w:rPr>
        <w:color w:val="3E8EDE"/>
        <w:sz w:val="18"/>
        <w:szCs w:val="18"/>
        <w:lang w:val="fr-CH"/>
      </w:rPr>
      <w:t>.</w:t>
    </w:r>
    <w:r w:rsidRPr="00B4319B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B4319B">
      <w:rPr>
        <w:color w:val="3E8EDE"/>
        <w:sz w:val="18"/>
        <w:szCs w:val="18"/>
        <w:lang w:val="fr-CH"/>
      </w:rPr>
      <w:br/>
    </w:r>
    <w:r w:rsidRPr="00B4319B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B4319B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B4319B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B4319B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B4319B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B4319B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CF" w:rsidRDefault="00FB46CF">
      <w:r>
        <w:t>____________________</w:t>
      </w:r>
    </w:p>
  </w:footnote>
  <w:footnote w:type="continuationSeparator" w:id="0">
    <w:p w:rsidR="00FB46CF" w:rsidRDefault="00FB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C700E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F70FB8">
      <w:rPr>
        <w:rStyle w:val="PageNumber"/>
        <w:noProof/>
        <w:sz w:val="18"/>
        <w:szCs w:val="16"/>
      </w:rPr>
      <w:t>8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C700E3">
      <w:rPr>
        <w:rStyle w:val="PageNumber"/>
        <w:sz w:val="18"/>
        <w:szCs w:val="16"/>
      </w:rPr>
      <w:br/>
      <w:t>CR/406-F</w:t>
    </w:r>
    <w:r w:rsidR="00C700E3">
      <w:rPr>
        <w:rStyle w:val="PageNumber"/>
        <w:sz w:val="18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D554D" w:rsidRDefault="001D554D" w:rsidP="00C700E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F70FB8">
      <w:rPr>
        <w:rStyle w:val="PageNumber"/>
        <w:noProof/>
        <w:sz w:val="18"/>
        <w:szCs w:val="16"/>
      </w:rPr>
      <w:t>7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C700E3">
      <w:rPr>
        <w:rStyle w:val="PageNumber"/>
        <w:sz w:val="18"/>
        <w:szCs w:val="16"/>
      </w:rPr>
      <w:br/>
      <w:t>CR/406-F</w:t>
    </w:r>
    <w:r w:rsidR="00C700E3">
      <w:rPr>
        <w:rStyle w:val="PageNumber"/>
        <w:sz w:val="18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431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693"/>
    <w:rsid w:val="00117282"/>
    <w:rsid w:val="00117389"/>
    <w:rsid w:val="00121C2D"/>
    <w:rsid w:val="00134404"/>
    <w:rsid w:val="00144DFB"/>
    <w:rsid w:val="001512C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54D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2F7356"/>
    <w:rsid w:val="003033A0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6263"/>
    <w:rsid w:val="00553DD7"/>
    <w:rsid w:val="005543B6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092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319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00E3"/>
    <w:rsid w:val="00C76D7F"/>
    <w:rsid w:val="00C80A17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095A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340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0FB8"/>
    <w:rsid w:val="00F73DBD"/>
    <w:rsid w:val="00F8310E"/>
    <w:rsid w:val="00F914DD"/>
    <w:rsid w:val="00FA2358"/>
    <w:rsid w:val="00FB2592"/>
    <w:rsid w:val="00FB2810"/>
    <w:rsid w:val="00FB46CF"/>
    <w:rsid w:val="00FB7A2C"/>
    <w:rsid w:val="00FC2947"/>
    <w:rsid w:val="00FC4233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AF5CFE5-1D62-484E-B793-4D73E5C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C42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C423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FC4233"/>
    <w:rPr>
      <w:rFonts w:ascii="Times New Roman" w:hAnsi="Times New Roman"/>
      <w:b/>
    </w:rPr>
  </w:style>
  <w:style w:type="paragraph" w:customStyle="1" w:styleId="AnnexNotitle0">
    <w:name w:val="Annex_No &amp; title"/>
    <w:basedOn w:val="Normal"/>
    <w:next w:val="Normal"/>
    <w:uiPriority w:val="99"/>
    <w:rsid w:val="001D554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D554D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1D55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9FA9C8BE2F46C6821FAF991640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F47D7-AA64-462F-9F4E-1A7749F3B80E}"/>
      </w:docPartPr>
      <w:docPartBody>
        <w:p w:rsidR="00474E9F" w:rsidRDefault="00474E9F">
          <w:pPr>
            <w:pStyle w:val="849FA9C8BE2F46C6821FAF9916406EE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F"/>
    <w:rsid w:val="00474E9F"/>
    <w:rsid w:val="00E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9FA9C8BE2F46C6821FAF9916406EEE">
    <w:name w:val="849FA9C8BE2F46C6821FAF9916406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13CB-5F9B-4BA7-98AA-3222409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21</TotalTime>
  <Pages>8</Pages>
  <Words>2428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15805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Gimenez, Christine</cp:lastModifiedBy>
  <cp:revision>6</cp:revision>
  <cp:lastPrinted>2016-07-04T13:43:00Z</cp:lastPrinted>
  <dcterms:created xsi:type="dcterms:W3CDTF">2016-06-28T09:13:00Z</dcterms:created>
  <dcterms:modified xsi:type="dcterms:W3CDTF">2016-07-04T13:46:00Z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