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286CD3" w:rsidTr="00EA15B3">
        <w:tc>
          <w:tcPr>
            <w:tcW w:w="9889" w:type="dxa"/>
            <w:gridSpan w:val="3"/>
            <w:shd w:val="clear" w:color="auto" w:fill="auto"/>
          </w:tcPr>
          <w:p w:rsidR="00EA15B3" w:rsidRPr="00286CD3" w:rsidRDefault="008E38B4" w:rsidP="00117282">
            <w:pPr>
              <w:spacing w:before="0"/>
              <w:jc w:val="left"/>
              <w:rPr>
                <w:rFonts w:cstheme="minorHAnsi"/>
                <w:b/>
                <w:bCs/>
                <w:color w:val="808080"/>
                <w:sz w:val="28"/>
                <w:szCs w:val="28"/>
                <w:lang w:val="en-GB"/>
              </w:rPr>
            </w:pPr>
            <w:r w:rsidRPr="00286CD3">
              <w:rPr>
                <w:rFonts w:cstheme="minorHAnsi"/>
                <w:b/>
                <w:bCs/>
                <w:color w:val="808080"/>
                <w:sz w:val="28"/>
                <w:szCs w:val="28"/>
                <w:lang w:val="en-GB"/>
              </w:rPr>
              <w:t xml:space="preserve">Radiocommunication </w:t>
            </w:r>
            <w:r w:rsidR="00AF70DA" w:rsidRPr="00286CD3">
              <w:rPr>
                <w:rFonts w:cstheme="minorHAnsi"/>
                <w:b/>
                <w:bCs/>
                <w:color w:val="808080"/>
                <w:sz w:val="28"/>
                <w:szCs w:val="28"/>
                <w:lang w:val="en-GB"/>
              </w:rPr>
              <w:t>Bureau (BR)</w:t>
            </w:r>
          </w:p>
          <w:p w:rsidR="008E38B4" w:rsidRPr="00286CD3" w:rsidRDefault="008E38B4" w:rsidP="00117282">
            <w:pPr>
              <w:spacing w:before="0"/>
              <w:jc w:val="left"/>
              <w:rPr>
                <w:rFonts w:cstheme="minorHAnsi"/>
                <w:b/>
                <w:bCs/>
                <w:color w:val="808080"/>
                <w:sz w:val="28"/>
                <w:szCs w:val="28"/>
                <w:lang w:val="en-GB"/>
              </w:rPr>
            </w:pPr>
          </w:p>
          <w:p w:rsidR="008E38B4" w:rsidRPr="00286CD3" w:rsidRDefault="008E38B4" w:rsidP="00117282">
            <w:pPr>
              <w:spacing w:before="0"/>
              <w:jc w:val="left"/>
              <w:rPr>
                <w:rFonts w:cs="Times New Roman Bold"/>
                <w:b/>
                <w:bCs/>
                <w:color w:val="808080"/>
                <w:sz w:val="28"/>
                <w:szCs w:val="28"/>
                <w:lang w:val="en-GB"/>
              </w:rPr>
            </w:pPr>
          </w:p>
        </w:tc>
      </w:tr>
      <w:tr w:rsidR="00651777" w:rsidRPr="00286CD3" w:rsidTr="00034340">
        <w:tc>
          <w:tcPr>
            <w:tcW w:w="7054" w:type="dxa"/>
            <w:gridSpan w:val="2"/>
            <w:shd w:val="clear" w:color="auto" w:fill="auto"/>
          </w:tcPr>
          <w:p w:rsidR="00C76D7F" w:rsidRPr="00286CD3" w:rsidRDefault="00841B33" w:rsidP="00E17344">
            <w:pPr>
              <w:spacing w:before="0"/>
              <w:jc w:val="left"/>
              <w:rPr>
                <w:szCs w:val="24"/>
                <w:lang w:val="en-GB"/>
              </w:rPr>
            </w:pPr>
            <w:r w:rsidRPr="00286CD3">
              <w:rPr>
                <w:szCs w:val="24"/>
                <w:lang w:val="en-GB"/>
              </w:rPr>
              <w:t>Circular Letter</w:t>
            </w:r>
          </w:p>
          <w:p w:rsidR="00651777" w:rsidRPr="00286CD3" w:rsidRDefault="00E17344" w:rsidP="00BD20E4">
            <w:pPr>
              <w:spacing w:before="0"/>
              <w:jc w:val="left"/>
              <w:rPr>
                <w:b/>
                <w:bCs/>
                <w:szCs w:val="24"/>
                <w:lang w:val="en-GB"/>
              </w:rPr>
            </w:pPr>
            <w:r w:rsidRPr="00286CD3">
              <w:rPr>
                <w:b/>
                <w:bCs/>
                <w:szCs w:val="24"/>
                <w:lang w:val="en-GB"/>
              </w:rPr>
              <w:t>C</w:t>
            </w:r>
            <w:r w:rsidR="00841B33" w:rsidRPr="00286CD3">
              <w:rPr>
                <w:b/>
                <w:bCs/>
                <w:szCs w:val="24"/>
                <w:lang w:val="en-GB"/>
              </w:rPr>
              <w:t>R</w:t>
            </w:r>
            <w:r w:rsidR="00BD20E4" w:rsidRPr="00286CD3">
              <w:rPr>
                <w:b/>
                <w:bCs/>
                <w:szCs w:val="24"/>
                <w:lang w:val="en-GB"/>
              </w:rPr>
              <w:t>/40</w:t>
            </w:r>
            <w:r w:rsidR="001F4F32">
              <w:rPr>
                <w:b/>
                <w:bCs/>
                <w:szCs w:val="24"/>
                <w:lang w:val="en-GB"/>
              </w:rPr>
              <w:t>6</w:t>
            </w:r>
          </w:p>
        </w:tc>
        <w:tc>
          <w:tcPr>
            <w:tcW w:w="2835" w:type="dxa"/>
            <w:shd w:val="clear" w:color="auto" w:fill="auto"/>
          </w:tcPr>
          <w:p w:rsidR="00651777" w:rsidRPr="00286CD3" w:rsidRDefault="00973F2F" w:rsidP="00973F2F">
            <w:pPr>
              <w:spacing w:before="0"/>
              <w:jc w:val="right"/>
              <w:rPr>
                <w:szCs w:val="24"/>
                <w:lang w:val="en-GB"/>
              </w:rPr>
            </w:pPr>
            <w:r>
              <w:rPr>
                <w:szCs w:val="24"/>
                <w:lang w:val="en-GB"/>
              </w:rPr>
              <w:t>4 July</w:t>
            </w:r>
            <w:r w:rsidR="008D47D1" w:rsidRPr="00286CD3">
              <w:rPr>
                <w:szCs w:val="24"/>
                <w:lang w:val="en-GB"/>
              </w:rPr>
              <w:t xml:space="preserve"> 201</w:t>
            </w:r>
            <w:r w:rsidR="005722A7" w:rsidRPr="00286CD3">
              <w:rPr>
                <w:szCs w:val="24"/>
                <w:lang w:val="en-GB"/>
              </w:rPr>
              <w:t>6</w:t>
            </w:r>
          </w:p>
        </w:tc>
      </w:tr>
      <w:tr w:rsidR="0037309C" w:rsidRPr="00286CD3" w:rsidTr="004D02EC">
        <w:tc>
          <w:tcPr>
            <w:tcW w:w="9889" w:type="dxa"/>
            <w:gridSpan w:val="3"/>
            <w:shd w:val="clear" w:color="auto" w:fill="auto"/>
          </w:tcPr>
          <w:p w:rsidR="0037309C" w:rsidRPr="00286CD3" w:rsidRDefault="0037309C" w:rsidP="006047E5">
            <w:pPr>
              <w:spacing w:before="0"/>
              <w:jc w:val="left"/>
              <w:rPr>
                <w:rFonts w:cs="Arial"/>
                <w:szCs w:val="24"/>
                <w:lang w:val="en-GB"/>
              </w:rPr>
            </w:pPr>
          </w:p>
        </w:tc>
      </w:tr>
      <w:tr w:rsidR="0037309C" w:rsidRPr="00286CD3" w:rsidTr="00D374CD">
        <w:tc>
          <w:tcPr>
            <w:tcW w:w="9889" w:type="dxa"/>
            <w:gridSpan w:val="3"/>
            <w:shd w:val="clear" w:color="auto" w:fill="auto"/>
          </w:tcPr>
          <w:p w:rsidR="0037309C" w:rsidRPr="00286CD3" w:rsidRDefault="0037309C" w:rsidP="00D374CD">
            <w:pPr>
              <w:spacing w:before="0"/>
              <w:jc w:val="left"/>
              <w:rPr>
                <w:szCs w:val="24"/>
                <w:lang w:val="en-GB"/>
              </w:rPr>
            </w:pPr>
          </w:p>
        </w:tc>
      </w:tr>
      <w:tr w:rsidR="0037309C" w:rsidRPr="00286CD3" w:rsidTr="004D02EC">
        <w:tc>
          <w:tcPr>
            <w:tcW w:w="9889" w:type="dxa"/>
            <w:gridSpan w:val="3"/>
            <w:shd w:val="clear" w:color="auto" w:fill="auto"/>
          </w:tcPr>
          <w:p w:rsidR="0037309C" w:rsidRPr="00286CD3" w:rsidRDefault="0037309C" w:rsidP="006047E5">
            <w:pPr>
              <w:spacing w:before="0"/>
              <w:jc w:val="left"/>
              <w:rPr>
                <w:b/>
                <w:bCs/>
                <w:szCs w:val="24"/>
                <w:lang w:val="en-GB"/>
              </w:rPr>
            </w:pPr>
            <w:r w:rsidRPr="00286CD3">
              <w:rPr>
                <w:b/>
                <w:bCs/>
                <w:szCs w:val="24"/>
                <w:lang w:val="en-GB"/>
              </w:rPr>
              <w:t>To Administrati</w:t>
            </w:r>
            <w:r w:rsidR="00BE35C0" w:rsidRPr="00286CD3">
              <w:rPr>
                <w:b/>
                <w:bCs/>
                <w:szCs w:val="24"/>
                <w:lang w:val="en-GB"/>
              </w:rPr>
              <w:t>ons of Member States of the ITU</w:t>
            </w:r>
          </w:p>
          <w:p w:rsidR="00D21694" w:rsidRPr="00286CD3" w:rsidRDefault="00D21694" w:rsidP="006047E5">
            <w:pPr>
              <w:spacing w:before="0"/>
              <w:jc w:val="left"/>
              <w:rPr>
                <w:b/>
                <w:bCs/>
                <w:szCs w:val="24"/>
                <w:lang w:val="en-GB"/>
              </w:rPr>
            </w:pPr>
          </w:p>
          <w:p w:rsidR="00D21694" w:rsidRPr="00286CD3" w:rsidRDefault="00D21694" w:rsidP="006047E5">
            <w:pPr>
              <w:spacing w:before="0"/>
              <w:jc w:val="left"/>
              <w:rPr>
                <w:b/>
                <w:bCs/>
                <w:szCs w:val="24"/>
                <w:lang w:val="en-GB"/>
              </w:rPr>
            </w:pPr>
          </w:p>
        </w:tc>
      </w:tr>
      <w:tr w:rsidR="0037309C" w:rsidRPr="00286CD3" w:rsidTr="004D02EC">
        <w:tc>
          <w:tcPr>
            <w:tcW w:w="9889" w:type="dxa"/>
            <w:gridSpan w:val="3"/>
            <w:shd w:val="clear" w:color="auto" w:fill="auto"/>
          </w:tcPr>
          <w:p w:rsidR="0037309C" w:rsidRPr="00286CD3" w:rsidRDefault="0037309C" w:rsidP="006047E5">
            <w:pPr>
              <w:spacing w:before="0"/>
              <w:jc w:val="left"/>
              <w:rPr>
                <w:szCs w:val="24"/>
                <w:lang w:val="en-GB"/>
              </w:rPr>
            </w:pPr>
          </w:p>
        </w:tc>
      </w:tr>
      <w:tr w:rsidR="0037309C" w:rsidRPr="00286CD3" w:rsidTr="000F6E6D">
        <w:trPr>
          <w:trHeight w:val="74"/>
        </w:trPr>
        <w:tc>
          <w:tcPr>
            <w:tcW w:w="9889" w:type="dxa"/>
            <w:gridSpan w:val="3"/>
            <w:shd w:val="clear" w:color="auto" w:fill="auto"/>
          </w:tcPr>
          <w:p w:rsidR="0037309C" w:rsidRPr="00286CD3" w:rsidRDefault="0037309C" w:rsidP="006047E5">
            <w:pPr>
              <w:spacing w:before="0"/>
              <w:jc w:val="left"/>
              <w:rPr>
                <w:szCs w:val="24"/>
                <w:lang w:val="en-GB"/>
              </w:rPr>
            </w:pPr>
          </w:p>
        </w:tc>
      </w:tr>
      <w:tr w:rsidR="00B4054B" w:rsidRPr="00286CD3" w:rsidTr="0037309C">
        <w:tc>
          <w:tcPr>
            <w:tcW w:w="1526" w:type="dxa"/>
            <w:shd w:val="clear" w:color="auto" w:fill="auto"/>
          </w:tcPr>
          <w:p w:rsidR="00B4054B" w:rsidRPr="00286CD3" w:rsidRDefault="00B4054B" w:rsidP="006A0053">
            <w:pPr>
              <w:spacing w:before="0"/>
              <w:jc w:val="left"/>
              <w:rPr>
                <w:szCs w:val="24"/>
                <w:lang w:val="en-GB"/>
              </w:rPr>
            </w:pPr>
            <w:r w:rsidRPr="00286CD3">
              <w:rPr>
                <w:szCs w:val="24"/>
                <w:lang w:val="en-GB"/>
              </w:rPr>
              <w:t>Subject:</w:t>
            </w:r>
          </w:p>
        </w:tc>
        <w:tc>
          <w:tcPr>
            <w:tcW w:w="8363" w:type="dxa"/>
            <w:gridSpan w:val="2"/>
            <w:vMerge w:val="restart"/>
            <w:shd w:val="clear" w:color="auto" w:fill="auto"/>
          </w:tcPr>
          <w:p w:rsidR="00B4054B" w:rsidRPr="001F4F32" w:rsidRDefault="001F4F32" w:rsidP="00101C8D">
            <w:pPr>
              <w:spacing w:before="0"/>
              <w:jc w:val="left"/>
              <w:rPr>
                <w:b/>
                <w:bCs/>
                <w:szCs w:val="24"/>
              </w:rPr>
            </w:pPr>
            <w:r>
              <w:rPr>
                <w:b/>
                <w:bCs/>
                <w:szCs w:val="24"/>
                <w:lang w:val="en-GB"/>
              </w:rPr>
              <w:t>Implementation of decisions of the World Radiocommunication Conference, Geneva, 2015 (WRC-15) and associated transitional arrangements related to terrestrial services</w:t>
            </w:r>
            <w:r w:rsidR="00317539" w:rsidRPr="00286CD3">
              <w:rPr>
                <w:b/>
                <w:bCs/>
                <w:szCs w:val="24"/>
                <w:lang w:val="en-GB"/>
              </w:rPr>
              <w:t xml:space="preserve"> </w:t>
            </w:r>
          </w:p>
        </w:tc>
      </w:tr>
      <w:tr w:rsidR="00B4054B" w:rsidRPr="00286CD3" w:rsidTr="006A0053">
        <w:tc>
          <w:tcPr>
            <w:tcW w:w="1526" w:type="dxa"/>
            <w:shd w:val="clear" w:color="auto" w:fill="auto"/>
          </w:tcPr>
          <w:p w:rsidR="00B4054B" w:rsidRPr="00286CD3" w:rsidRDefault="00B4054B" w:rsidP="006A0053">
            <w:pPr>
              <w:spacing w:before="0"/>
              <w:jc w:val="left"/>
              <w:rPr>
                <w:b/>
                <w:bCs/>
                <w:szCs w:val="24"/>
                <w:lang w:val="en-GB"/>
              </w:rPr>
            </w:pPr>
          </w:p>
        </w:tc>
        <w:tc>
          <w:tcPr>
            <w:tcW w:w="8363" w:type="dxa"/>
            <w:gridSpan w:val="2"/>
            <w:vMerge/>
            <w:shd w:val="clear" w:color="auto" w:fill="auto"/>
          </w:tcPr>
          <w:p w:rsidR="00B4054B" w:rsidRPr="00286CD3" w:rsidRDefault="00B4054B" w:rsidP="006A0053">
            <w:pPr>
              <w:spacing w:before="0"/>
              <w:rPr>
                <w:b/>
                <w:bCs/>
                <w:szCs w:val="24"/>
                <w:lang w:val="en-GB"/>
              </w:rPr>
            </w:pPr>
          </w:p>
        </w:tc>
      </w:tr>
      <w:tr w:rsidR="00B4054B" w:rsidRPr="00286CD3" w:rsidTr="006A0053">
        <w:tc>
          <w:tcPr>
            <w:tcW w:w="1526" w:type="dxa"/>
            <w:shd w:val="clear" w:color="auto" w:fill="auto"/>
          </w:tcPr>
          <w:p w:rsidR="00B4054B" w:rsidRPr="00286CD3" w:rsidRDefault="00B4054B" w:rsidP="006A0053">
            <w:pPr>
              <w:spacing w:before="0"/>
              <w:jc w:val="left"/>
              <w:rPr>
                <w:b/>
                <w:bCs/>
                <w:szCs w:val="24"/>
                <w:lang w:val="en-GB"/>
              </w:rPr>
            </w:pPr>
          </w:p>
        </w:tc>
        <w:tc>
          <w:tcPr>
            <w:tcW w:w="8363" w:type="dxa"/>
            <w:gridSpan w:val="2"/>
            <w:vMerge/>
            <w:shd w:val="clear" w:color="auto" w:fill="auto"/>
          </w:tcPr>
          <w:p w:rsidR="00B4054B" w:rsidRPr="00286CD3" w:rsidRDefault="00B4054B" w:rsidP="006A0053">
            <w:pPr>
              <w:spacing w:before="0"/>
              <w:rPr>
                <w:b/>
                <w:bCs/>
                <w:szCs w:val="24"/>
                <w:lang w:val="en-GB"/>
              </w:rPr>
            </w:pPr>
          </w:p>
        </w:tc>
      </w:tr>
      <w:tr w:rsidR="00C51E92" w:rsidRPr="00286CD3" w:rsidTr="00F72DBF">
        <w:tc>
          <w:tcPr>
            <w:tcW w:w="9889" w:type="dxa"/>
            <w:gridSpan w:val="3"/>
            <w:shd w:val="clear" w:color="auto" w:fill="auto"/>
          </w:tcPr>
          <w:p w:rsidR="00C51E92" w:rsidRPr="00286CD3" w:rsidRDefault="00C51E92" w:rsidP="00F72DBF">
            <w:pPr>
              <w:spacing w:before="0"/>
              <w:jc w:val="left"/>
              <w:rPr>
                <w:b/>
                <w:bCs/>
                <w:szCs w:val="24"/>
                <w:lang w:val="en-GB"/>
              </w:rPr>
            </w:pPr>
          </w:p>
        </w:tc>
      </w:tr>
      <w:tr w:rsidR="00C51E92" w:rsidRPr="00286CD3" w:rsidTr="00F72DBF">
        <w:tc>
          <w:tcPr>
            <w:tcW w:w="9889" w:type="dxa"/>
            <w:gridSpan w:val="3"/>
            <w:shd w:val="clear" w:color="auto" w:fill="auto"/>
          </w:tcPr>
          <w:p w:rsidR="00C51E92" w:rsidRPr="00286CD3" w:rsidRDefault="00C51E92" w:rsidP="00F72DBF">
            <w:pPr>
              <w:spacing w:before="0"/>
              <w:jc w:val="left"/>
              <w:rPr>
                <w:b/>
                <w:bCs/>
                <w:szCs w:val="24"/>
                <w:lang w:val="en-GB"/>
              </w:rPr>
            </w:pPr>
          </w:p>
        </w:tc>
      </w:tr>
    </w:tbl>
    <w:p w:rsidR="001F4F32" w:rsidRPr="001F4F32" w:rsidRDefault="001F4F32" w:rsidP="001F4F32">
      <w:pPr>
        <w:tabs>
          <w:tab w:val="clear" w:pos="794"/>
          <w:tab w:val="clear" w:pos="1191"/>
          <w:tab w:val="clear" w:pos="1588"/>
          <w:tab w:val="clear" w:pos="1985"/>
          <w:tab w:val="left" w:pos="0"/>
        </w:tabs>
        <w:spacing w:before="240"/>
        <w:rPr>
          <w:rFonts w:asciiTheme="minorHAnsi" w:hAnsiTheme="minorHAnsi"/>
          <w:szCs w:val="24"/>
          <w:lang w:eastAsia="zh-CN"/>
        </w:rPr>
      </w:pPr>
      <w:r w:rsidRPr="00917434">
        <w:rPr>
          <w:rFonts w:asciiTheme="minorHAnsi" w:hAnsiTheme="minorHAnsi"/>
          <w:b/>
          <w:bCs/>
          <w:szCs w:val="24"/>
        </w:rPr>
        <w:t>1</w:t>
      </w:r>
      <w:r w:rsidRPr="001F4F32">
        <w:rPr>
          <w:rFonts w:asciiTheme="minorHAnsi" w:hAnsiTheme="minorHAnsi"/>
          <w:szCs w:val="24"/>
        </w:rPr>
        <w:tab/>
        <w:t>The World Radiocommunication Conference, Geneva, 2015 (WRC-15), adopted a partial revision of the Radio Regulations and decided that the revised provisions shall enter into force on 1 January 2017, with the exception of those provisions for which another date was specifically indicated. The purpose of this Circular Letter is to highlight the most relevant decisions of the Conference related to terrestrial services with a view to facilitating their implementation. For the complete list of decisions, please refer to the Final Acts of the Conference and to Circular Letter CR/389 of 29 January 2016 relating to the WRC-15 decisions included in the Minutes of Plenary meetings.</w:t>
      </w:r>
    </w:p>
    <w:p w:rsidR="001F4F32" w:rsidRPr="001F4F32" w:rsidRDefault="001F4F32" w:rsidP="001F4F32">
      <w:pPr>
        <w:tabs>
          <w:tab w:val="clear" w:pos="794"/>
          <w:tab w:val="clear" w:pos="1191"/>
          <w:tab w:val="clear" w:pos="1588"/>
          <w:tab w:val="clear" w:pos="1985"/>
          <w:tab w:val="left" w:pos="0"/>
        </w:tabs>
        <w:spacing w:before="240"/>
        <w:rPr>
          <w:rFonts w:asciiTheme="minorHAnsi" w:hAnsiTheme="minorHAnsi"/>
          <w:szCs w:val="24"/>
        </w:rPr>
      </w:pPr>
      <w:r w:rsidRPr="00917434">
        <w:rPr>
          <w:rFonts w:asciiTheme="minorHAnsi" w:hAnsiTheme="minorHAnsi"/>
          <w:b/>
          <w:bCs/>
          <w:szCs w:val="24"/>
        </w:rPr>
        <w:t>2</w:t>
      </w:r>
      <w:r w:rsidRPr="001F4F32">
        <w:rPr>
          <w:rFonts w:asciiTheme="minorHAnsi" w:hAnsiTheme="minorHAnsi"/>
          <w:szCs w:val="24"/>
        </w:rPr>
        <w:tab/>
      </w:r>
      <w:r w:rsidRPr="001F4F32">
        <w:rPr>
          <w:rFonts w:asciiTheme="minorHAnsi" w:hAnsiTheme="minorHAnsi"/>
          <w:b/>
          <w:bCs/>
          <w:szCs w:val="24"/>
        </w:rPr>
        <w:t xml:space="preserve">Decisions that entered into force on </w:t>
      </w:r>
      <w:r w:rsidRPr="001F4F32">
        <w:rPr>
          <w:rFonts w:asciiTheme="minorHAnsi" w:hAnsiTheme="minorHAnsi"/>
          <w:b/>
          <w:bCs/>
          <w:szCs w:val="24"/>
          <w:lang w:eastAsia="zh-CN"/>
        </w:rPr>
        <w:t>28 November 2015</w:t>
      </w:r>
    </w:p>
    <w:p w:rsidR="001F4F32" w:rsidRPr="001F4F32" w:rsidRDefault="001F4F32" w:rsidP="001F4F32">
      <w:pPr>
        <w:tabs>
          <w:tab w:val="clear" w:pos="794"/>
          <w:tab w:val="clear" w:pos="1191"/>
          <w:tab w:val="clear" w:pos="1588"/>
          <w:tab w:val="clear" w:pos="1985"/>
          <w:tab w:val="left" w:pos="0"/>
        </w:tabs>
        <w:spacing w:before="240"/>
        <w:rPr>
          <w:rFonts w:asciiTheme="minorHAnsi" w:hAnsiTheme="minorHAnsi"/>
          <w:szCs w:val="24"/>
        </w:rPr>
      </w:pPr>
      <w:r w:rsidRPr="001F4F32">
        <w:rPr>
          <w:rFonts w:asciiTheme="minorHAnsi" w:hAnsiTheme="minorHAnsi"/>
          <w:szCs w:val="24"/>
        </w:rPr>
        <w:t>2.1</w:t>
      </w:r>
      <w:r w:rsidRPr="001F4F32">
        <w:rPr>
          <w:rFonts w:asciiTheme="minorHAnsi" w:hAnsiTheme="minorHAnsi"/>
          <w:szCs w:val="24"/>
        </w:rPr>
        <w:tab/>
        <w:t xml:space="preserve">WRC-15 revised several Resolutions and Recommendations from previous conferences and adopted several new Resolutions. Among those, the following Resolutions, which relate to terrestrial services and are in force as of 28 November 2015, </w:t>
      </w:r>
      <w:r w:rsidRPr="001F4F32">
        <w:rPr>
          <w:rFonts w:asciiTheme="minorHAnsi" w:hAnsiTheme="minorHAnsi"/>
          <w:szCs w:val="24"/>
          <w:lang w:eastAsia="zh-CN"/>
        </w:rPr>
        <w:t xml:space="preserve">need to </w:t>
      </w:r>
      <w:proofErr w:type="gramStart"/>
      <w:r w:rsidRPr="001F4F32">
        <w:rPr>
          <w:rFonts w:asciiTheme="minorHAnsi" w:hAnsiTheme="minorHAnsi"/>
          <w:szCs w:val="24"/>
          <w:lang w:eastAsia="zh-CN"/>
        </w:rPr>
        <w:t>be taken</w:t>
      </w:r>
      <w:proofErr w:type="gramEnd"/>
      <w:r w:rsidRPr="001F4F32">
        <w:rPr>
          <w:rFonts w:asciiTheme="minorHAnsi" w:hAnsiTheme="minorHAnsi"/>
          <w:szCs w:val="24"/>
          <w:lang w:eastAsia="zh-CN"/>
        </w:rPr>
        <w:t xml:space="preserve"> into account by administrations in the relevant activities</w:t>
      </w:r>
      <w:r w:rsidRPr="001F4F32">
        <w:rPr>
          <w:rFonts w:asciiTheme="minorHAnsi" w:hAnsiTheme="minorHAnsi"/>
          <w:szCs w:val="24"/>
        </w:rPr>
        <w:t>:</w:t>
      </w:r>
    </w:p>
    <w:p w:rsidR="001F4F32" w:rsidRPr="001F4F32" w:rsidRDefault="001F4F32" w:rsidP="001F4F32">
      <w:pPr>
        <w:pStyle w:val="BodyText"/>
        <w:numPr>
          <w:ilvl w:val="0"/>
          <w:numId w:val="4"/>
        </w:numPr>
        <w:jc w:val="both"/>
        <w:rPr>
          <w:rFonts w:asciiTheme="minorHAnsi" w:hAnsiTheme="minorHAnsi"/>
        </w:rPr>
      </w:pPr>
      <w:r w:rsidRPr="001F4F32">
        <w:rPr>
          <w:rFonts w:asciiTheme="minorHAnsi" w:hAnsiTheme="minorHAnsi"/>
          <w:i/>
          <w:iCs/>
        </w:rPr>
        <w:t xml:space="preserve">Resolution </w:t>
      </w:r>
      <w:r w:rsidRPr="001F4F32">
        <w:rPr>
          <w:rFonts w:asciiTheme="minorHAnsi" w:hAnsiTheme="minorHAnsi"/>
          <w:b/>
          <w:bCs/>
          <w:i/>
          <w:iCs/>
        </w:rPr>
        <w:t>647 (Rev. WRC-15)</w:t>
      </w:r>
      <w:r w:rsidRPr="001F4F32">
        <w:rPr>
          <w:rFonts w:asciiTheme="minorHAnsi" w:hAnsiTheme="minorHAnsi"/>
          <w:i/>
          <w:iCs/>
        </w:rPr>
        <w:t xml:space="preserve"> dealing with spectrum management guidelines for emergency and disaster relief radiocommunications</w:t>
      </w:r>
      <w:r w:rsidRPr="001F4F32">
        <w:rPr>
          <w:rFonts w:asciiTheme="minorHAnsi" w:hAnsiTheme="minorHAnsi"/>
        </w:rPr>
        <w:t xml:space="preserve">. WRC-15 encouraged administrations to communicate to the Bureau </w:t>
      </w:r>
      <w:r w:rsidRPr="001F4F32">
        <w:rPr>
          <w:rFonts w:asciiTheme="minorHAnsi" w:eastAsia="SimSun" w:hAnsiTheme="minorHAnsi"/>
        </w:rPr>
        <w:t xml:space="preserve">the </w:t>
      </w:r>
      <w:r w:rsidRPr="001F4F32">
        <w:rPr>
          <w:rFonts w:asciiTheme="minorHAnsi" w:hAnsiTheme="minorHAnsi"/>
        </w:rPr>
        <w:t>up</w:t>
      </w:r>
      <w:r w:rsidRPr="001F4F32">
        <w:rPr>
          <w:rFonts w:asciiTheme="minorHAnsi" w:hAnsiTheme="minorHAnsi"/>
        </w:rPr>
        <w:noBreakHyphen/>
        <w:t xml:space="preserve">to-date administration contact information and, where available, the frequencies or frequency bands for use in emergency and disaster relief operations. The Bureau will continue maintaining its database containing information from administrations for use in </w:t>
      </w:r>
      <w:proofErr w:type="gramStart"/>
      <w:r w:rsidRPr="001F4F32">
        <w:rPr>
          <w:rFonts w:asciiTheme="minorHAnsi" w:hAnsiTheme="minorHAnsi"/>
        </w:rPr>
        <w:t>emergency situations</w:t>
      </w:r>
      <w:proofErr w:type="gramEnd"/>
      <w:r w:rsidR="004C740D">
        <w:rPr>
          <w:rFonts w:asciiTheme="minorHAnsi" w:hAnsiTheme="minorHAnsi"/>
        </w:rPr>
        <w:t>.</w:t>
      </w:r>
    </w:p>
    <w:p w:rsidR="001F4F32" w:rsidRPr="001F4F32" w:rsidRDefault="001F4F32" w:rsidP="001F4F32">
      <w:pPr>
        <w:numPr>
          <w:ilvl w:val="0"/>
          <w:numId w:val="4"/>
        </w:numPr>
        <w:tabs>
          <w:tab w:val="clear" w:pos="794"/>
          <w:tab w:val="clear" w:pos="1191"/>
          <w:tab w:val="clear" w:pos="1588"/>
          <w:tab w:val="clear" w:pos="1985"/>
          <w:tab w:val="left" w:pos="0"/>
        </w:tabs>
        <w:overflowPunct/>
        <w:autoSpaceDE/>
        <w:autoSpaceDN/>
        <w:adjustRightInd/>
        <w:spacing w:before="120" w:line="240" w:lineRule="auto"/>
        <w:jc w:val="left"/>
        <w:textAlignment w:val="auto"/>
        <w:rPr>
          <w:rFonts w:asciiTheme="minorHAnsi" w:hAnsiTheme="minorHAnsi"/>
          <w:szCs w:val="24"/>
        </w:rPr>
      </w:pPr>
      <w:r w:rsidRPr="001F4F32">
        <w:rPr>
          <w:rFonts w:asciiTheme="minorHAnsi" w:hAnsiTheme="minorHAnsi"/>
          <w:i/>
          <w:iCs/>
          <w:szCs w:val="24"/>
          <w:lang w:eastAsia="ko-KR"/>
        </w:rPr>
        <w:t xml:space="preserve">Resolution </w:t>
      </w:r>
      <w:r w:rsidRPr="001F4F32">
        <w:rPr>
          <w:rFonts w:asciiTheme="minorHAnsi" w:hAnsiTheme="minorHAnsi"/>
          <w:b/>
          <w:bCs/>
          <w:i/>
          <w:iCs/>
          <w:szCs w:val="24"/>
        </w:rPr>
        <w:t>760 (</w:t>
      </w:r>
      <w:r w:rsidRPr="001F4F32">
        <w:rPr>
          <w:rFonts w:asciiTheme="minorHAnsi" w:hAnsiTheme="minorHAnsi"/>
          <w:b/>
          <w:bCs/>
          <w:i/>
          <w:iCs/>
          <w:szCs w:val="24"/>
          <w:lang w:eastAsia="ko-KR"/>
        </w:rPr>
        <w:t>WRC-15</w:t>
      </w:r>
      <w:r w:rsidRPr="001F4F32">
        <w:rPr>
          <w:rFonts w:asciiTheme="minorHAnsi" w:hAnsiTheme="minorHAnsi"/>
          <w:b/>
          <w:bCs/>
          <w:i/>
          <w:iCs/>
          <w:szCs w:val="24"/>
        </w:rPr>
        <w:t>)</w:t>
      </w:r>
      <w:r w:rsidRPr="001F4F32">
        <w:rPr>
          <w:rFonts w:asciiTheme="minorHAnsi" w:hAnsiTheme="minorHAnsi"/>
          <w:i/>
          <w:iCs/>
          <w:szCs w:val="24"/>
        </w:rPr>
        <w:t xml:space="preserve"> dealing with the use of the band 694-790 MHz in Region 1 by the mobile, except aeronautical mobile, service and by other services</w:t>
      </w:r>
      <w:r w:rsidRPr="001F4F32">
        <w:rPr>
          <w:rFonts w:asciiTheme="minorHAnsi" w:hAnsiTheme="minorHAnsi"/>
          <w:szCs w:val="24"/>
          <w:lang w:eastAsia="ko-KR"/>
        </w:rPr>
        <w:t>. Through this Resolution WRC-15 introduced new criteria t</w:t>
      </w:r>
      <w:r w:rsidRPr="001F4F32">
        <w:rPr>
          <w:rFonts w:asciiTheme="minorHAnsi" w:hAnsiTheme="minorHAnsi"/>
          <w:szCs w:val="24"/>
        </w:rPr>
        <w:t>o identify administrations potentially affected by the mobile service under No. </w:t>
      </w:r>
      <w:r w:rsidRPr="001F4F32">
        <w:rPr>
          <w:rFonts w:asciiTheme="minorHAnsi" w:hAnsiTheme="minorHAnsi"/>
          <w:b/>
          <w:bCs/>
          <w:szCs w:val="24"/>
        </w:rPr>
        <w:t>9.21</w:t>
      </w:r>
      <w:r w:rsidRPr="001F4F32">
        <w:rPr>
          <w:rFonts w:asciiTheme="minorHAnsi" w:hAnsiTheme="minorHAnsi"/>
          <w:szCs w:val="24"/>
        </w:rPr>
        <w:t xml:space="preserve"> with respect to the aeronautical radionavigation service operating in countries mentioned in No. </w:t>
      </w:r>
      <w:r w:rsidRPr="001F4F32">
        <w:rPr>
          <w:rFonts w:asciiTheme="minorHAnsi" w:hAnsiTheme="minorHAnsi"/>
          <w:b/>
          <w:bCs/>
          <w:szCs w:val="24"/>
        </w:rPr>
        <w:t>5.312</w:t>
      </w:r>
      <w:r w:rsidRPr="001F4F32">
        <w:rPr>
          <w:rFonts w:asciiTheme="minorHAnsi" w:hAnsiTheme="minorHAnsi"/>
          <w:szCs w:val="24"/>
        </w:rPr>
        <w:t xml:space="preserve">. Administrations may use these criteria for establishment of coordination requirements for their mobile service stations. The Bureau </w:t>
      </w:r>
      <w:r w:rsidRPr="001F4F32">
        <w:rPr>
          <w:rFonts w:asciiTheme="minorHAnsi" w:hAnsiTheme="minorHAnsi"/>
          <w:szCs w:val="24"/>
        </w:rPr>
        <w:lastRenderedPageBreak/>
        <w:t xml:space="preserve">will apply them when processing the relevant No. </w:t>
      </w:r>
      <w:r w:rsidRPr="001F4F32">
        <w:rPr>
          <w:rFonts w:asciiTheme="minorHAnsi" w:hAnsiTheme="minorHAnsi"/>
          <w:b/>
          <w:bCs/>
          <w:szCs w:val="24"/>
        </w:rPr>
        <w:t>9.21</w:t>
      </w:r>
      <w:r w:rsidRPr="001F4F32">
        <w:rPr>
          <w:rFonts w:asciiTheme="minorHAnsi" w:hAnsiTheme="minorHAnsi"/>
          <w:szCs w:val="24"/>
        </w:rPr>
        <w:t xml:space="preserve"> submissions for the identification of affected administrations.</w:t>
      </w:r>
    </w:p>
    <w:p w:rsidR="001F4F32" w:rsidRPr="001F4F32" w:rsidRDefault="001F4F32" w:rsidP="001F4F32">
      <w:pPr>
        <w:numPr>
          <w:ilvl w:val="0"/>
          <w:numId w:val="4"/>
        </w:numPr>
        <w:tabs>
          <w:tab w:val="clear" w:pos="794"/>
          <w:tab w:val="clear" w:pos="1191"/>
          <w:tab w:val="clear" w:pos="1588"/>
          <w:tab w:val="clear" w:pos="1985"/>
          <w:tab w:val="left" w:pos="0"/>
        </w:tabs>
        <w:overflowPunct/>
        <w:autoSpaceDE/>
        <w:autoSpaceDN/>
        <w:adjustRightInd/>
        <w:spacing w:before="120" w:line="240" w:lineRule="auto"/>
        <w:jc w:val="left"/>
        <w:textAlignment w:val="auto"/>
        <w:rPr>
          <w:rFonts w:asciiTheme="minorHAnsi" w:hAnsiTheme="minorHAnsi"/>
          <w:szCs w:val="24"/>
        </w:rPr>
      </w:pPr>
      <w:r w:rsidRPr="001F4F32">
        <w:rPr>
          <w:rFonts w:asciiTheme="minorHAnsi" w:hAnsiTheme="minorHAnsi"/>
          <w:szCs w:val="24"/>
        </w:rPr>
        <w:t xml:space="preserve">WRC-15 also modified Resolutions </w:t>
      </w:r>
      <w:r w:rsidRPr="001F4F32">
        <w:rPr>
          <w:rFonts w:asciiTheme="minorHAnsi" w:hAnsiTheme="minorHAnsi"/>
          <w:b/>
          <w:bCs/>
          <w:szCs w:val="24"/>
        </w:rPr>
        <w:t>207, 417, 418, 517, 535, 705, 748, 749</w:t>
      </w:r>
      <w:r w:rsidRPr="001F4F32">
        <w:rPr>
          <w:rFonts w:asciiTheme="minorHAnsi" w:hAnsiTheme="minorHAnsi"/>
          <w:szCs w:val="24"/>
        </w:rPr>
        <w:t xml:space="preserve"> and </w:t>
      </w:r>
      <w:r w:rsidRPr="001F4F32">
        <w:rPr>
          <w:rFonts w:asciiTheme="minorHAnsi" w:hAnsiTheme="minorHAnsi"/>
          <w:b/>
          <w:bCs/>
          <w:szCs w:val="24"/>
        </w:rPr>
        <w:t>906</w:t>
      </w:r>
      <w:r w:rsidRPr="001F4F32">
        <w:rPr>
          <w:rFonts w:asciiTheme="minorHAnsi" w:hAnsiTheme="minorHAnsi"/>
          <w:szCs w:val="24"/>
        </w:rPr>
        <w:t xml:space="preserve"> that </w:t>
      </w:r>
      <w:proofErr w:type="gramStart"/>
      <w:r w:rsidRPr="001F4F32">
        <w:rPr>
          <w:rFonts w:asciiTheme="minorHAnsi" w:hAnsiTheme="minorHAnsi"/>
          <w:szCs w:val="24"/>
        </w:rPr>
        <w:t>are related</w:t>
      </w:r>
      <w:proofErr w:type="gramEnd"/>
      <w:r w:rsidRPr="001F4F32">
        <w:rPr>
          <w:rFonts w:asciiTheme="minorHAnsi" w:hAnsiTheme="minorHAnsi"/>
          <w:szCs w:val="24"/>
        </w:rPr>
        <w:t xml:space="preserve"> to terrestrial services. However, these modifications have an editorial nature and therefore do not have impact on the activities of administrations and the Bureau.</w:t>
      </w:r>
    </w:p>
    <w:p w:rsidR="001F4F32" w:rsidRPr="001F4F32" w:rsidRDefault="001F4F32" w:rsidP="001F4F32">
      <w:pPr>
        <w:numPr>
          <w:ilvl w:val="0"/>
          <w:numId w:val="4"/>
        </w:numPr>
        <w:tabs>
          <w:tab w:val="clear" w:pos="794"/>
          <w:tab w:val="clear" w:pos="1191"/>
          <w:tab w:val="clear" w:pos="1588"/>
          <w:tab w:val="clear" w:pos="1985"/>
          <w:tab w:val="left" w:pos="0"/>
        </w:tabs>
        <w:overflowPunct/>
        <w:autoSpaceDE/>
        <w:autoSpaceDN/>
        <w:adjustRightInd/>
        <w:spacing w:before="120" w:line="240" w:lineRule="auto"/>
        <w:jc w:val="left"/>
        <w:textAlignment w:val="auto"/>
        <w:rPr>
          <w:rFonts w:asciiTheme="minorHAnsi" w:hAnsiTheme="minorHAnsi"/>
          <w:szCs w:val="24"/>
        </w:rPr>
      </w:pPr>
      <w:r w:rsidRPr="001F4F32">
        <w:rPr>
          <w:rFonts w:asciiTheme="minorHAnsi" w:hAnsiTheme="minorHAnsi"/>
          <w:szCs w:val="24"/>
        </w:rPr>
        <w:t xml:space="preserve">WRC-15 abrogated the following resolutions dealing with terrestrial services as of 28 November 2015: </w:t>
      </w:r>
      <w:r w:rsidRPr="001F4F32">
        <w:rPr>
          <w:rFonts w:asciiTheme="minorHAnsi" w:hAnsiTheme="minorHAnsi"/>
          <w:b/>
          <w:bCs/>
          <w:szCs w:val="24"/>
        </w:rPr>
        <w:t>67, 153, 232, 233, 358, 423, 644, 648, 649, 653, 654, 755, 806, 807, 808</w:t>
      </w:r>
      <w:r w:rsidRPr="001F4F32">
        <w:rPr>
          <w:rFonts w:asciiTheme="minorHAnsi" w:hAnsiTheme="minorHAnsi"/>
          <w:szCs w:val="24"/>
        </w:rPr>
        <w:t xml:space="preserve"> and </w:t>
      </w:r>
      <w:r w:rsidRPr="001F4F32">
        <w:rPr>
          <w:rFonts w:asciiTheme="minorHAnsi" w:hAnsiTheme="minorHAnsi"/>
          <w:b/>
          <w:bCs/>
          <w:szCs w:val="24"/>
        </w:rPr>
        <w:t>957</w:t>
      </w:r>
      <w:r w:rsidRPr="001F4F32">
        <w:rPr>
          <w:rFonts w:asciiTheme="minorHAnsi" w:hAnsiTheme="minorHAnsi"/>
          <w:szCs w:val="24"/>
        </w:rPr>
        <w:t xml:space="preserve"> due to the fact that the concerned activities have been completed or the objectives are no longer relevant. </w:t>
      </w:r>
    </w:p>
    <w:p w:rsidR="001F4F32" w:rsidRPr="001F4F32" w:rsidRDefault="001F4F32" w:rsidP="001F4F32">
      <w:pPr>
        <w:rPr>
          <w:rFonts w:asciiTheme="minorHAnsi" w:hAnsiTheme="minorHAnsi"/>
          <w:szCs w:val="24"/>
        </w:rPr>
      </w:pPr>
      <w:r w:rsidRPr="001F4F32">
        <w:rPr>
          <w:rFonts w:asciiTheme="minorHAnsi" w:hAnsiTheme="minorHAnsi"/>
          <w:szCs w:val="24"/>
        </w:rPr>
        <w:t>2.2</w:t>
      </w:r>
      <w:r w:rsidRPr="001F4F32">
        <w:rPr>
          <w:rFonts w:asciiTheme="minorHAnsi" w:hAnsiTheme="minorHAnsi"/>
          <w:szCs w:val="24"/>
        </w:rPr>
        <w:tab/>
        <w:t xml:space="preserve">WRC-15 introduced the allocation to the mobile, except aeronautical mobile, service in the band 694–790 MHz in Region 1 into the Table of Frequency Allocations and established the conditions for the use of this service. This allocation entered into force on </w:t>
      </w:r>
      <w:r w:rsidRPr="001F4F32">
        <w:rPr>
          <w:rFonts w:asciiTheme="minorHAnsi" w:hAnsiTheme="minorHAnsi"/>
          <w:szCs w:val="24"/>
          <w:lang w:eastAsia="en-GB"/>
        </w:rPr>
        <w:t>28 November 2015 as decided by</w:t>
      </w:r>
      <w:r w:rsidRPr="001F4F32">
        <w:rPr>
          <w:rFonts w:asciiTheme="minorHAnsi" w:hAnsiTheme="minorHAnsi"/>
          <w:szCs w:val="24"/>
        </w:rPr>
        <w:t xml:space="preserve"> WRC-12 in </w:t>
      </w:r>
      <w:r w:rsidRPr="001F4F32">
        <w:rPr>
          <w:rFonts w:asciiTheme="minorHAnsi" w:hAnsiTheme="minorHAnsi"/>
          <w:i/>
          <w:iCs/>
          <w:szCs w:val="24"/>
          <w:lang w:eastAsia="en-GB"/>
        </w:rPr>
        <w:t>resolves 2</w:t>
      </w:r>
      <w:r w:rsidRPr="001F4F32">
        <w:rPr>
          <w:rFonts w:asciiTheme="minorHAnsi" w:hAnsiTheme="minorHAnsi"/>
          <w:szCs w:val="24"/>
          <w:lang w:eastAsia="en-GB"/>
        </w:rPr>
        <w:t xml:space="preserve"> of Resolution </w:t>
      </w:r>
      <w:r w:rsidRPr="001F4F32">
        <w:rPr>
          <w:rFonts w:asciiTheme="minorHAnsi" w:hAnsiTheme="minorHAnsi"/>
          <w:b/>
          <w:bCs/>
          <w:szCs w:val="24"/>
          <w:lang w:eastAsia="en-GB"/>
        </w:rPr>
        <w:t xml:space="preserve">232 (WRC-12). </w:t>
      </w:r>
      <w:proofErr w:type="gramStart"/>
      <w:r w:rsidRPr="001F4F32">
        <w:rPr>
          <w:rFonts w:asciiTheme="minorHAnsi" w:hAnsiTheme="minorHAnsi"/>
          <w:szCs w:val="24"/>
        </w:rPr>
        <w:t xml:space="preserve">The </w:t>
      </w:r>
      <w:r w:rsidRPr="001F4F32">
        <w:rPr>
          <w:rFonts w:asciiTheme="minorHAnsi" w:eastAsiaTheme="minorEastAsia" w:hAnsiTheme="minorHAnsi" w:cstheme="majorBidi"/>
          <w:szCs w:val="24"/>
          <w:lang w:eastAsia="zh-CN"/>
        </w:rPr>
        <w:t>attention of administrations is drawn to</w:t>
      </w:r>
      <w:r w:rsidRPr="001F4F32">
        <w:rPr>
          <w:rFonts w:asciiTheme="minorHAnsi" w:hAnsiTheme="minorHAnsi"/>
          <w:szCs w:val="24"/>
        </w:rPr>
        <w:t xml:space="preserve"> the fact that implementation of stations in the mobile service in this band shall be subject to the applications of procedures contained in the GE06 Agreement with respect to the broadcasting service and the No. </w:t>
      </w:r>
      <w:r w:rsidRPr="001F4F32">
        <w:rPr>
          <w:rFonts w:asciiTheme="minorHAnsi" w:hAnsiTheme="minorHAnsi"/>
          <w:b/>
          <w:bCs/>
          <w:szCs w:val="24"/>
        </w:rPr>
        <w:t>9.21</w:t>
      </w:r>
      <w:r w:rsidRPr="001F4F32">
        <w:rPr>
          <w:rFonts w:asciiTheme="minorHAnsi" w:hAnsiTheme="minorHAnsi"/>
          <w:szCs w:val="24"/>
        </w:rPr>
        <w:t xml:space="preserve"> procedure with respect to the aeronautical radionavigation service in countries listed in No. </w:t>
      </w:r>
      <w:r w:rsidRPr="001F4F32">
        <w:rPr>
          <w:rFonts w:asciiTheme="minorHAnsi" w:hAnsiTheme="minorHAnsi"/>
          <w:b/>
          <w:bCs/>
          <w:szCs w:val="24"/>
        </w:rPr>
        <w:t>5.312</w:t>
      </w:r>
      <w:r w:rsidRPr="001F4F32">
        <w:rPr>
          <w:rFonts w:asciiTheme="minorHAnsi" w:hAnsiTheme="minorHAnsi"/>
          <w:szCs w:val="24"/>
        </w:rPr>
        <w:t xml:space="preserve"> according to Resolutions </w:t>
      </w:r>
      <w:r w:rsidRPr="001F4F32">
        <w:rPr>
          <w:rFonts w:asciiTheme="minorHAnsi" w:hAnsiTheme="minorHAnsi"/>
          <w:b/>
          <w:bCs/>
          <w:szCs w:val="24"/>
        </w:rPr>
        <w:t>224 (Rev.WRC-15)</w:t>
      </w:r>
      <w:r w:rsidRPr="001F4F32">
        <w:rPr>
          <w:rFonts w:asciiTheme="minorHAnsi" w:hAnsiTheme="minorHAnsi"/>
          <w:szCs w:val="24"/>
        </w:rPr>
        <w:t xml:space="preserve"> and </w:t>
      </w:r>
      <w:r w:rsidRPr="001F4F32">
        <w:rPr>
          <w:rFonts w:asciiTheme="minorHAnsi" w:hAnsiTheme="minorHAnsi"/>
          <w:b/>
          <w:bCs/>
          <w:szCs w:val="24"/>
        </w:rPr>
        <w:t>760 (WRC-15)</w:t>
      </w:r>
      <w:r w:rsidRPr="001F4F32">
        <w:rPr>
          <w:rFonts w:asciiTheme="minorHAnsi" w:hAnsiTheme="minorHAnsi"/>
          <w:szCs w:val="24"/>
        </w:rPr>
        <w:t>.</w:t>
      </w:r>
      <w:proofErr w:type="gramEnd"/>
    </w:p>
    <w:p w:rsidR="001F4F32" w:rsidRPr="001F4F32" w:rsidRDefault="00917434" w:rsidP="001F4F32">
      <w:pPr>
        <w:rPr>
          <w:rFonts w:asciiTheme="minorHAnsi" w:hAnsiTheme="minorHAnsi"/>
          <w:color w:val="44546A"/>
          <w:szCs w:val="24"/>
          <w:lang w:eastAsia="en-GB"/>
        </w:rPr>
      </w:pPr>
      <w:r>
        <w:rPr>
          <w:rFonts w:asciiTheme="minorHAnsi" w:hAnsiTheme="minorHAnsi"/>
          <w:b/>
          <w:bCs/>
          <w:szCs w:val="24"/>
        </w:rPr>
        <w:t>3</w:t>
      </w:r>
      <w:r w:rsidR="001F4F32" w:rsidRPr="001F4F32">
        <w:rPr>
          <w:rFonts w:asciiTheme="minorHAnsi" w:hAnsiTheme="minorHAnsi"/>
          <w:b/>
          <w:bCs/>
          <w:szCs w:val="24"/>
        </w:rPr>
        <w:tab/>
        <w:t>Decisions that enter into force on 1 January 2017</w:t>
      </w:r>
    </w:p>
    <w:p w:rsidR="001F4F32" w:rsidRPr="001F4F32" w:rsidRDefault="001F4F32" w:rsidP="001F4F32">
      <w:pPr>
        <w:tabs>
          <w:tab w:val="clear" w:pos="794"/>
          <w:tab w:val="clear" w:pos="1191"/>
          <w:tab w:val="clear" w:pos="1588"/>
          <w:tab w:val="clear" w:pos="1985"/>
        </w:tabs>
        <w:overflowPunct/>
        <w:spacing w:before="240"/>
        <w:textAlignment w:val="auto"/>
        <w:rPr>
          <w:rFonts w:asciiTheme="minorHAnsi" w:hAnsiTheme="minorHAnsi"/>
          <w:b/>
          <w:bCs/>
          <w:szCs w:val="24"/>
        </w:rPr>
      </w:pPr>
      <w:r w:rsidRPr="001F4F32">
        <w:rPr>
          <w:rFonts w:asciiTheme="minorHAnsi" w:hAnsiTheme="minorHAnsi"/>
          <w:szCs w:val="24"/>
        </w:rPr>
        <w:t>3.1</w:t>
      </w:r>
      <w:r w:rsidRPr="001F4F32">
        <w:rPr>
          <w:rFonts w:asciiTheme="minorHAnsi" w:hAnsiTheme="minorHAnsi"/>
          <w:szCs w:val="24"/>
        </w:rPr>
        <w:tab/>
        <w:t xml:space="preserve">WRC-15 introduced new definitions of meteorological aids land station and meteorological aids mobile station in Nos. </w:t>
      </w:r>
      <w:r w:rsidRPr="001F4F32">
        <w:rPr>
          <w:rFonts w:asciiTheme="minorHAnsi" w:hAnsiTheme="minorHAnsi"/>
          <w:b/>
          <w:bCs/>
          <w:szCs w:val="24"/>
        </w:rPr>
        <w:t>1.108A</w:t>
      </w:r>
      <w:r w:rsidRPr="001F4F32">
        <w:rPr>
          <w:rFonts w:asciiTheme="minorHAnsi" w:hAnsiTheme="minorHAnsi"/>
          <w:szCs w:val="24"/>
        </w:rPr>
        <w:t xml:space="preserve"> and </w:t>
      </w:r>
      <w:r w:rsidRPr="001F4F32">
        <w:rPr>
          <w:rFonts w:asciiTheme="minorHAnsi" w:hAnsiTheme="minorHAnsi"/>
          <w:b/>
          <w:bCs/>
          <w:szCs w:val="24"/>
        </w:rPr>
        <w:t>1.108B.</w:t>
      </w:r>
    </w:p>
    <w:p w:rsidR="001F4F32" w:rsidRPr="001F4F32" w:rsidRDefault="001F4F32" w:rsidP="005A5D06">
      <w:pPr>
        <w:pStyle w:val="BodyText"/>
        <w:tabs>
          <w:tab w:val="left" w:pos="709"/>
        </w:tabs>
        <w:spacing w:before="120"/>
        <w:jc w:val="both"/>
        <w:rPr>
          <w:rFonts w:asciiTheme="minorHAnsi" w:hAnsiTheme="minorHAnsi"/>
        </w:rPr>
      </w:pPr>
      <w:r w:rsidRPr="001F4F32">
        <w:rPr>
          <w:rFonts w:asciiTheme="minorHAnsi" w:hAnsiTheme="minorHAnsi"/>
        </w:rPr>
        <w:t>3.2</w:t>
      </w:r>
      <w:r w:rsidRPr="001F4F32">
        <w:rPr>
          <w:rFonts w:asciiTheme="minorHAnsi" w:hAnsiTheme="minorHAnsi"/>
        </w:rPr>
        <w:tab/>
        <w:t xml:space="preserve">WRC-15 adopted provision No. </w:t>
      </w:r>
      <w:r w:rsidRPr="001F4F32">
        <w:rPr>
          <w:rFonts w:asciiTheme="minorHAnsi" w:hAnsiTheme="minorHAnsi"/>
          <w:b/>
          <w:bCs/>
        </w:rPr>
        <w:t>5.265</w:t>
      </w:r>
      <w:r w:rsidRPr="001F4F32">
        <w:rPr>
          <w:rFonts w:asciiTheme="minorHAnsi" w:hAnsiTheme="minorHAnsi"/>
        </w:rPr>
        <w:t xml:space="preserve"> that makes mandatory the application of Resolution </w:t>
      </w:r>
      <w:r w:rsidRPr="001F4F32">
        <w:rPr>
          <w:rFonts w:asciiTheme="minorHAnsi" w:hAnsiTheme="minorHAnsi"/>
          <w:b/>
          <w:bCs/>
        </w:rPr>
        <w:t>205 (Rev.WRC-15)</w:t>
      </w:r>
      <w:r w:rsidRPr="001F4F32">
        <w:rPr>
          <w:rFonts w:asciiTheme="minorHAnsi" w:hAnsiTheme="minorHAnsi"/>
        </w:rPr>
        <w:t xml:space="preserve"> in the band 403–410 </w:t>
      </w:r>
      <w:proofErr w:type="spellStart"/>
      <w:r w:rsidRPr="001F4F32">
        <w:rPr>
          <w:rFonts w:asciiTheme="minorHAnsi" w:hAnsiTheme="minorHAnsi"/>
        </w:rPr>
        <w:t>MHz.</w:t>
      </w:r>
      <w:proofErr w:type="spellEnd"/>
      <w:r w:rsidRPr="001F4F32">
        <w:rPr>
          <w:rFonts w:asciiTheme="minorHAnsi" w:hAnsiTheme="minorHAnsi"/>
        </w:rPr>
        <w:t xml:space="preserve"> The Resolution deals with</w:t>
      </w:r>
      <w:bookmarkStart w:id="0" w:name="_Toc327364380"/>
      <w:r w:rsidRPr="001F4F32">
        <w:rPr>
          <w:rFonts w:asciiTheme="minorHAnsi" w:hAnsiTheme="minorHAnsi"/>
        </w:rPr>
        <w:t xml:space="preserve"> protection of the systems operating in the mobile-</w:t>
      </w:r>
      <w:r w:rsidRPr="001F4F32">
        <w:rPr>
          <w:rFonts w:asciiTheme="minorHAnsi" w:hAnsiTheme="minorHAnsi"/>
          <w:lang w:eastAsia="ja-JP"/>
        </w:rPr>
        <w:t>satellite service in the frequency band 406-406.1 </w:t>
      </w:r>
      <w:proofErr w:type="spellStart"/>
      <w:r w:rsidRPr="001F4F32">
        <w:rPr>
          <w:rFonts w:asciiTheme="minorHAnsi" w:hAnsiTheme="minorHAnsi"/>
          <w:lang w:eastAsia="ja-JP"/>
        </w:rPr>
        <w:t>MHz</w:t>
      </w:r>
      <w:bookmarkEnd w:id="0"/>
      <w:r w:rsidRPr="001F4F32">
        <w:rPr>
          <w:rFonts w:asciiTheme="minorHAnsi" w:hAnsiTheme="minorHAnsi"/>
          <w:lang w:eastAsia="ja-JP"/>
        </w:rPr>
        <w:t>.</w:t>
      </w:r>
      <w:proofErr w:type="spellEnd"/>
      <w:r w:rsidRPr="001F4F32">
        <w:rPr>
          <w:rFonts w:asciiTheme="minorHAnsi" w:hAnsiTheme="minorHAnsi"/>
          <w:lang w:eastAsia="ja-JP"/>
        </w:rPr>
        <w:t xml:space="preserve"> </w:t>
      </w:r>
      <w:r w:rsidRPr="001F4F32">
        <w:rPr>
          <w:rFonts w:asciiTheme="minorHAnsi" w:hAnsiTheme="minorHAnsi"/>
        </w:rPr>
        <w:t>WRC-15 added two new substantive elements to this Resolution:</w:t>
      </w:r>
    </w:p>
    <w:p w:rsidR="001F4F32" w:rsidRPr="001F4F32" w:rsidRDefault="001F4F32" w:rsidP="001F4F32">
      <w:pPr>
        <w:pStyle w:val="BodyText"/>
        <w:tabs>
          <w:tab w:val="num" w:pos="9999"/>
        </w:tabs>
        <w:spacing w:before="120"/>
        <w:ind w:left="349"/>
        <w:jc w:val="both"/>
        <w:rPr>
          <w:rFonts w:asciiTheme="minorHAnsi" w:hAnsiTheme="minorHAnsi"/>
        </w:rPr>
      </w:pPr>
      <w:r w:rsidRPr="001F4F32">
        <w:rPr>
          <w:rFonts w:asciiTheme="minorHAnsi" w:hAnsiTheme="minorHAnsi"/>
        </w:rPr>
        <w:t xml:space="preserve">- in </w:t>
      </w:r>
      <w:r w:rsidRPr="001F4F32">
        <w:rPr>
          <w:rFonts w:asciiTheme="minorHAnsi" w:hAnsiTheme="minorHAnsi"/>
          <w:i/>
          <w:iCs/>
        </w:rPr>
        <w:t xml:space="preserve">resolves 1 </w:t>
      </w:r>
      <w:r w:rsidRPr="001F4F32">
        <w:rPr>
          <w:rFonts w:asciiTheme="minorHAnsi" w:hAnsiTheme="minorHAnsi"/>
        </w:rPr>
        <w:t>administrations are requested not to make new assignments within the frequency bands 405.9-406 MHz and 406.1-406.2 MHz under the mobile and fixed services; and</w:t>
      </w:r>
    </w:p>
    <w:p w:rsidR="001F4F32" w:rsidRPr="001F4F32" w:rsidRDefault="001F4F32" w:rsidP="001F4F32">
      <w:pPr>
        <w:pStyle w:val="BodyText"/>
        <w:tabs>
          <w:tab w:val="num" w:pos="9999"/>
        </w:tabs>
        <w:spacing w:before="120"/>
        <w:ind w:left="349"/>
        <w:jc w:val="both"/>
        <w:rPr>
          <w:rFonts w:asciiTheme="minorHAnsi" w:hAnsiTheme="minorHAnsi"/>
        </w:rPr>
      </w:pPr>
      <w:r w:rsidRPr="001F4F32">
        <w:rPr>
          <w:rFonts w:asciiTheme="minorHAnsi" w:hAnsiTheme="minorHAnsi"/>
        </w:rPr>
        <w:t xml:space="preserve">- by </w:t>
      </w:r>
      <w:r w:rsidRPr="001F4F32">
        <w:rPr>
          <w:rFonts w:asciiTheme="minorHAnsi" w:hAnsiTheme="minorHAnsi"/>
          <w:i/>
          <w:iCs/>
        </w:rPr>
        <w:t>instructs 1 the Director of the BR</w:t>
      </w:r>
      <w:r w:rsidRPr="001F4F32">
        <w:rPr>
          <w:rFonts w:asciiTheme="minorHAnsi" w:hAnsiTheme="minorHAnsi"/>
        </w:rPr>
        <w:t>, the BR is instructed to organize monitoring programmes on impact of unwanted emissions from systems operating in the frequency bands 405.9-406 MHz and 406.1-406.2 MHz on MSS reception in the band 406-406.1 </w:t>
      </w:r>
      <w:proofErr w:type="spellStart"/>
      <w:r w:rsidRPr="001F4F32">
        <w:rPr>
          <w:rFonts w:asciiTheme="minorHAnsi" w:hAnsiTheme="minorHAnsi"/>
        </w:rPr>
        <w:t>MHz.</w:t>
      </w:r>
      <w:proofErr w:type="spellEnd"/>
    </w:p>
    <w:p w:rsidR="001F4F32" w:rsidRPr="001F4F32" w:rsidRDefault="001F4F32" w:rsidP="001F4F32">
      <w:pPr>
        <w:pStyle w:val="BodyText"/>
        <w:spacing w:before="120"/>
        <w:jc w:val="both"/>
        <w:rPr>
          <w:rFonts w:asciiTheme="minorHAnsi" w:hAnsiTheme="minorHAnsi"/>
        </w:rPr>
      </w:pPr>
      <w:r w:rsidRPr="001F4F32">
        <w:rPr>
          <w:rFonts w:asciiTheme="minorHAnsi" w:hAnsiTheme="minorHAnsi"/>
        </w:rPr>
        <w:t>Consequently, as from 1 January 2017 the Bureau will be requesting the administrations, in case they submit assignments to fixed and mobile service stations in the bands 405.9-406 MHz and 406.1-406.2 MHz, to refrain from assigning these frequencies.  The Bureau will also organize the above-mentioned monitoring programmes and inform administrations accordingly.</w:t>
      </w:r>
    </w:p>
    <w:p w:rsidR="001F4F32" w:rsidRPr="001F4F32" w:rsidRDefault="001F4F32" w:rsidP="005A5D06">
      <w:pPr>
        <w:pStyle w:val="BodyText"/>
        <w:tabs>
          <w:tab w:val="left" w:pos="709"/>
        </w:tabs>
        <w:spacing w:before="120"/>
        <w:jc w:val="both"/>
        <w:rPr>
          <w:rFonts w:asciiTheme="minorHAnsi" w:hAnsiTheme="minorHAnsi"/>
        </w:rPr>
      </w:pPr>
      <w:r w:rsidRPr="001F4F32">
        <w:rPr>
          <w:rFonts w:asciiTheme="minorHAnsi" w:hAnsiTheme="minorHAnsi"/>
        </w:rPr>
        <w:t>3.3</w:t>
      </w:r>
      <w:r w:rsidR="005A5D06">
        <w:rPr>
          <w:rFonts w:asciiTheme="minorHAnsi" w:hAnsiTheme="minorHAnsi"/>
        </w:rPr>
        <w:tab/>
      </w:r>
      <w:r w:rsidRPr="001F4F32">
        <w:rPr>
          <w:rFonts w:asciiTheme="minorHAnsi" w:hAnsiTheme="minorHAnsi"/>
        </w:rPr>
        <w:t>WRC-15 made the following changes in allocations related to terrestrial services and identifications for specific applications, together with the associated conditions for operation of the concerned services in the respective frequency bands:</w:t>
      </w:r>
    </w:p>
    <w:p w:rsidR="001F4F32" w:rsidRPr="001F4F32" w:rsidRDefault="001F4F32" w:rsidP="002D2C8A">
      <w:pPr>
        <w:pStyle w:val="BodyText"/>
        <w:numPr>
          <w:ilvl w:val="0"/>
          <w:numId w:val="7"/>
        </w:numPr>
        <w:tabs>
          <w:tab w:val="left" w:pos="3402"/>
        </w:tabs>
        <w:spacing w:before="120"/>
        <w:jc w:val="both"/>
        <w:rPr>
          <w:rFonts w:asciiTheme="minorHAnsi" w:hAnsiTheme="minorHAnsi"/>
        </w:rPr>
      </w:pPr>
      <w:r w:rsidRPr="001F4F32">
        <w:rPr>
          <w:rFonts w:asciiTheme="minorHAnsi" w:hAnsiTheme="minorHAnsi" w:cstheme="majorBidi"/>
          <w:bCs/>
        </w:rPr>
        <w:t xml:space="preserve">Allocation to the mobile service and identification for IMT of different parts of the band 470-698 MHz in some Region 2 countries and identification for IMT in several region 3 countries, </w:t>
      </w:r>
      <w:r w:rsidRPr="001F4F32">
        <w:rPr>
          <w:rFonts w:asciiTheme="minorHAnsi" w:hAnsiTheme="minorHAnsi"/>
        </w:rPr>
        <w:t xml:space="preserve">subject to the application of No. </w:t>
      </w:r>
      <w:r w:rsidRPr="001F4F32">
        <w:rPr>
          <w:rFonts w:asciiTheme="minorHAnsi" w:hAnsiTheme="minorHAnsi"/>
          <w:b/>
          <w:bCs/>
        </w:rPr>
        <w:t>9.21</w:t>
      </w:r>
      <w:r w:rsidRPr="001F4F32">
        <w:rPr>
          <w:rFonts w:asciiTheme="minorHAnsi" w:hAnsiTheme="minorHAnsi"/>
        </w:rPr>
        <w:t xml:space="preserve"> and, in some cases, the condition of operation on non-interference basis,</w:t>
      </w:r>
      <w:r w:rsidRPr="001F4F32">
        <w:rPr>
          <w:rFonts w:asciiTheme="minorHAnsi" w:hAnsiTheme="minorHAnsi" w:cstheme="majorBidi"/>
          <w:bCs/>
        </w:rPr>
        <w:t xml:space="preserve"> as stipulated in Nos. </w:t>
      </w:r>
      <w:r w:rsidRPr="001F4F32">
        <w:rPr>
          <w:rFonts w:asciiTheme="minorHAnsi" w:hAnsiTheme="minorHAnsi" w:cstheme="majorBidi"/>
          <w:b/>
        </w:rPr>
        <w:t>5.295</w:t>
      </w:r>
      <w:r w:rsidRPr="001F4F32">
        <w:rPr>
          <w:rFonts w:asciiTheme="minorHAnsi" w:hAnsiTheme="minorHAnsi" w:cstheme="majorBidi"/>
          <w:bCs/>
        </w:rPr>
        <w:t>,</w:t>
      </w:r>
      <w:r w:rsidRPr="001F4F32">
        <w:rPr>
          <w:rFonts w:asciiTheme="minorHAnsi" w:hAnsiTheme="minorHAnsi" w:cstheme="majorBidi"/>
          <w:b/>
        </w:rPr>
        <w:t xml:space="preserve"> 5.296A,</w:t>
      </w:r>
      <w:r w:rsidRPr="001F4F32">
        <w:rPr>
          <w:rFonts w:asciiTheme="minorHAnsi" w:hAnsiTheme="minorHAnsi" w:cstheme="majorBidi"/>
          <w:bCs/>
        </w:rPr>
        <w:t xml:space="preserve"> </w:t>
      </w:r>
      <w:r w:rsidRPr="001F4F32">
        <w:rPr>
          <w:rFonts w:asciiTheme="minorHAnsi" w:hAnsiTheme="minorHAnsi" w:cstheme="majorBidi"/>
          <w:b/>
        </w:rPr>
        <w:t xml:space="preserve">5.308 </w:t>
      </w:r>
      <w:r w:rsidRPr="001F4F32">
        <w:rPr>
          <w:rFonts w:asciiTheme="minorHAnsi" w:hAnsiTheme="minorHAnsi" w:cstheme="majorBidi"/>
          <w:bCs/>
        </w:rPr>
        <w:t>and</w:t>
      </w:r>
      <w:r w:rsidRPr="001F4F32">
        <w:rPr>
          <w:rFonts w:asciiTheme="minorHAnsi" w:hAnsiTheme="minorHAnsi" w:cstheme="majorBidi"/>
          <w:b/>
        </w:rPr>
        <w:t xml:space="preserve"> 5.308A</w:t>
      </w:r>
      <w:r w:rsidRPr="001F4F32">
        <w:rPr>
          <w:rFonts w:asciiTheme="minorHAnsi" w:hAnsiTheme="minorHAnsi"/>
        </w:rPr>
        <w:t>.</w:t>
      </w:r>
    </w:p>
    <w:p w:rsidR="001F4F32" w:rsidRPr="001F4F32" w:rsidRDefault="001F4F32" w:rsidP="002D2C8A">
      <w:pPr>
        <w:pStyle w:val="BodyText"/>
        <w:numPr>
          <w:ilvl w:val="0"/>
          <w:numId w:val="6"/>
        </w:numPr>
        <w:tabs>
          <w:tab w:val="num" w:pos="360"/>
          <w:tab w:val="left" w:pos="3402"/>
        </w:tabs>
        <w:spacing w:before="120"/>
        <w:ind w:left="720"/>
        <w:jc w:val="both"/>
        <w:rPr>
          <w:rFonts w:asciiTheme="minorHAnsi" w:hAnsiTheme="minorHAnsi" w:cstheme="majorBidi"/>
          <w:b/>
          <w:bCs/>
          <w:i/>
          <w:iCs/>
        </w:rPr>
      </w:pPr>
      <w:r w:rsidRPr="001F4F32">
        <w:rPr>
          <w:rFonts w:asciiTheme="minorHAnsi" w:hAnsiTheme="minorHAnsi" w:cstheme="majorBidi"/>
          <w:bCs/>
        </w:rPr>
        <w:t>I</w:t>
      </w:r>
      <w:r w:rsidRPr="001F4F32">
        <w:rPr>
          <w:rStyle w:val="Artdef"/>
          <w:rFonts w:asciiTheme="minorHAnsi" w:hAnsiTheme="minorHAnsi" w:cstheme="majorBidi"/>
        </w:rPr>
        <w:t>dentification of the band</w:t>
      </w:r>
      <w:r w:rsidRPr="001F4F32">
        <w:rPr>
          <w:rStyle w:val="Artdef"/>
          <w:rFonts w:asciiTheme="minorHAnsi" w:hAnsiTheme="minorHAnsi" w:cstheme="majorBidi"/>
          <w:bCs/>
        </w:rPr>
        <w:t xml:space="preserve"> </w:t>
      </w:r>
      <w:r w:rsidRPr="001F4F32">
        <w:rPr>
          <w:rFonts w:asciiTheme="minorHAnsi" w:hAnsiTheme="minorHAnsi" w:cstheme="majorBidi"/>
          <w:lang w:eastAsia="ja-JP"/>
        </w:rPr>
        <w:t>1 427-1 518 </w:t>
      </w:r>
      <w:r w:rsidRPr="001F4F32">
        <w:rPr>
          <w:rFonts w:asciiTheme="minorHAnsi" w:hAnsiTheme="minorHAnsi" w:cstheme="majorBidi"/>
        </w:rPr>
        <w:t xml:space="preserve">MHz </w:t>
      </w:r>
      <w:r w:rsidRPr="001F4F32">
        <w:rPr>
          <w:rFonts w:asciiTheme="minorHAnsi" w:hAnsiTheme="minorHAnsi" w:cstheme="majorBidi"/>
          <w:bCs/>
        </w:rPr>
        <w:t>for IMT in all three Regions, with exception of the band 1</w:t>
      </w:r>
      <w:r w:rsidR="002D2C8A">
        <w:rPr>
          <w:rFonts w:asciiTheme="minorHAnsi" w:hAnsiTheme="minorHAnsi" w:cstheme="majorBidi"/>
          <w:bCs/>
        </w:rPr>
        <w:t> </w:t>
      </w:r>
      <w:r w:rsidRPr="001F4F32">
        <w:rPr>
          <w:rFonts w:asciiTheme="minorHAnsi" w:hAnsiTheme="minorHAnsi" w:cstheme="majorBidi"/>
          <w:bCs/>
        </w:rPr>
        <w:t>452–1</w:t>
      </w:r>
      <w:r w:rsidR="002D2C8A">
        <w:rPr>
          <w:rFonts w:asciiTheme="minorHAnsi" w:hAnsiTheme="minorHAnsi" w:cstheme="majorBidi"/>
          <w:bCs/>
        </w:rPr>
        <w:t> </w:t>
      </w:r>
      <w:r w:rsidRPr="001F4F32">
        <w:rPr>
          <w:rFonts w:asciiTheme="minorHAnsi" w:hAnsiTheme="minorHAnsi" w:cstheme="majorBidi"/>
          <w:bCs/>
        </w:rPr>
        <w:t xml:space="preserve">492 MHz where the identification in Region 1 is limited to 54 countries. </w:t>
      </w:r>
      <w:r w:rsidRPr="001F4F32">
        <w:rPr>
          <w:rFonts w:asciiTheme="minorHAnsi" w:hAnsiTheme="minorHAnsi" w:cstheme="majorBidi"/>
          <w:bCs/>
        </w:rPr>
        <w:lastRenderedPageBreak/>
        <w:t xml:space="preserve">The identification is </w:t>
      </w:r>
      <w:r w:rsidRPr="001F4F32">
        <w:rPr>
          <w:rFonts w:asciiTheme="minorHAnsi" w:hAnsiTheme="minorHAnsi" w:cstheme="majorBidi"/>
        </w:rPr>
        <w:t xml:space="preserve">subject to the application of No. </w:t>
      </w:r>
      <w:r w:rsidRPr="001F4F32">
        <w:rPr>
          <w:rFonts w:asciiTheme="minorHAnsi" w:hAnsiTheme="minorHAnsi" w:cstheme="majorBidi"/>
          <w:b/>
          <w:bCs/>
        </w:rPr>
        <w:t>9.21</w:t>
      </w:r>
      <w:r w:rsidRPr="001F4F32">
        <w:rPr>
          <w:rFonts w:asciiTheme="minorHAnsi" w:hAnsiTheme="minorHAnsi" w:cstheme="majorBidi"/>
        </w:rPr>
        <w:t xml:space="preserve"> in Regions 1 and 3,</w:t>
      </w:r>
      <w:r w:rsidRPr="001F4F32">
        <w:rPr>
          <w:rFonts w:asciiTheme="minorHAnsi" w:hAnsiTheme="minorHAnsi" w:cstheme="majorBidi"/>
          <w:bCs/>
        </w:rPr>
        <w:t xml:space="preserve"> as stipulated in Nos. </w:t>
      </w:r>
      <w:r w:rsidRPr="001F4F32">
        <w:rPr>
          <w:rFonts w:asciiTheme="minorHAnsi" w:hAnsiTheme="minorHAnsi" w:cstheme="majorBidi"/>
          <w:b/>
        </w:rPr>
        <w:t>5.341A</w:t>
      </w:r>
      <w:r w:rsidRPr="001F4F32">
        <w:rPr>
          <w:rStyle w:val="Artdef"/>
          <w:rFonts w:asciiTheme="minorHAnsi" w:hAnsiTheme="minorHAnsi" w:cstheme="majorBidi"/>
        </w:rPr>
        <w:t xml:space="preserve">, </w:t>
      </w:r>
      <w:r w:rsidRPr="001F4F32">
        <w:rPr>
          <w:rFonts w:asciiTheme="minorHAnsi" w:hAnsiTheme="minorHAnsi" w:cstheme="majorBidi"/>
          <w:b/>
        </w:rPr>
        <w:t>5.341B</w:t>
      </w:r>
      <w:r w:rsidRPr="001F4F32">
        <w:rPr>
          <w:rStyle w:val="Artdef"/>
          <w:rFonts w:asciiTheme="minorHAnsi" w:hAnsiTheme="minorHAnsi" w:cstheme="majorBidi"/>
        </w:rPr>
        <w:t xml:space="preserve">, </w:t>
      </w:r>
      <w:r w:rsidRPr="001F4F32">
        <w:rPr>
          <w:rFonts w:asciiTheme="minorHAnsi" w:hAnsiTheme="minorHAnsi" w:cstheme="majorBidi"/>
          <w:b/>
        </w:rPr>
        <w:t>5.341C</w:t>
      </w:r>
      <w:r w:rsidRPr="001F4F32">
        <w:rPr>
          <w:rStyle w:val="Artdef"/>
          <w:rFonts w:asciiTheme="minorHAnsi" w:hAnsiTheme="minorHAnsi" w:cstheme="majorBidi"/>
          <w:bCs/>
        </w:rPr>
        <w:t xml:space="preserve">, </w:t>
      </w:r>
      <w:r w:rsidRPr="001F4F32">
        <w:rPr>
          <w:rFonts w:asciiTheme="minorHAnsi" w:hAnsiTheme="minorHAnsi" w:cstheme="majorBidi"/>
          <w:b/>
        </w:rPr>
        <w:t xml:space="preserve">5.346 </w:t>
      </w:r>
      <w:r w:rsidRPr="001F4F32">
        <w:rPr>
          <w:rStyle w:val="Artdef"/>
          <w:rFonts w:asciiTheme="minorHAnsi" w:hAnsiTheme="minorHAnsi" w:cstheme="majorBidi"/>
          <w:bCs/>
        </w:rPr>
        <w:t>and</w:t>
      </w:r>
      <w:r w:rsidRPr="001F4F32">
        <w:rPr>
          <w:rStyle w:val="Artdef"/>
          <w:rFonts w:asciiTheme="minorHAnsi" w:hAnsiTheme="minorHAnsi" w:cstheme="majorBidi"/>
        </w:rPr>
        <w:t xml:space="preserve"> </w:t>
      </w:r>
      <w:r w:rsidRPr="001F4F32">
        <w:rPr>
          <w:rFonts w:asciiTheme="minorHAnsi" w:hAnsiTheme="minorHAnsi" w:cstheme="majorBidi"/>
          <w:b/>
        </w:rPr>
        <w:t>5.346A</w:t>
      </w:r>
      <w:r w:rsidRPr="001F4F32">
        <w:rPr>
          <w:rFonts w:asciiTheme="minorHAnsi" w:hAnsiTheme="minorHAnsi" w:cstheme="majorBidi"/>
        </w:rPr>
        <w:t>.</w:t>
      </w:r>
    </w:p>
    <w:p w:rsidR="001F4F32" w:rsidRPr="001F4F32" w:rsidRDefault="001F4F32" w:rsidP="002D2C8A">
      <w:pPr>
        <w:pStyle w:val="BodyText"/>
        <w:numPr>
          <w:ilvl w:val="0"/>
          <w:numId w:val="6"/>
        </w:numPr>
        <w:tabs>
          <w:tab w:val="num" w:pos="360"/>
          <w:tab w:val="left" w:pos="3402"/>
        </w:tabs>
        <w:spacing w:before="120"/>
        <w:ind w:left="720"/>
        <w:jc w:val="both"/>
        <w:rPr>
          <w:rFonts w:asciiTheme="minorHAnsi" w:hAnsiTheme="minorHAnsi" w:cstheme="majorBidi"/>
          <w:bCs/>
        </w:rPr>
      </w:pPr>
      <w:proofErr w:type="gramStart"/>
      <w:r w:rsidRPr="001F4F32">
        <w:rPr>
          <w:rFonts w:asciiTheme="minorHAnsi" w:hAnsiTheme="minorHAnsi" w:cstheme="majorBidi"/>
          <w:bCs/>
        </w:rPr>
        <w:t>Allocation of the band 3</w:t>
      </w:r>
      <w:r w:rsidR="002D2C8A">
        <w:rPr>
          <w:rFonts w:asciiTheme="minorHAnsi" w:hAnsiTheme="minorHAnsi" w:cstheme="majorBidi"/>
          <w:bCs/>
        </w:rPr>
        <w:t> 300</w:t>
      </w:r>
      <w:r w:rsidRPr="001F4F32">
        <w:rPr>
          <w:rFonts w:asciiTheme="minorHAnsi" w:hAnsiTheme="minorHAnsi" w:cstheme="majorBidi"/>
          <w:bCs/>
        </w:rPr>
        <w:t>–3</w:t>
      </w:r>
      <w:r w:rsidR="002D2C8A">
        <w:rPr>
          <w:rFonts w:asciiTheme="minorHAnsi" w:hAnsiTheme="minorHAnsi" w:cstheme="majorBidi"/>
          <w:bCs/>
        </w:rPr>
        <w:t> </w:t>
      </w:r>
      <w:r w:rsidRPr="001F4F32">
        <w:rPr>
          <w:rFonts w:asciiTheme="minorHAnsi" w:hAnsiTheme="minorHAnsi" w:cstheme="majorBidi"/>
          <w:bCs/>
        </w:rPr>
        <w:t xml:space="preserve">400 MHz to the mobile, </w:t>
      </w:r>
      <w:r w:rsidRPr="001F4F32">
        <w:rPr>
          <w:rFonts w:asciiTheme="minorHAnsi" w:hAnsiTheme="minorHAnsi"/>
        </w:rPr>
        <w:t>except aeronautical mobile</w:t>
      </w:r>
      <w:r w:rsidRPr="001F4F32">
        <w:rPr>
          <w:rFonts w:asciiTheme="minorHAnsi" w:hAnsiTheme="minorHAnsi"/>
          <w:lang w:eastAsia="ja-JP"/>
        </w:rPr>
        <w:t>,</w:t>
      </w:r>
      <w:r w:rsidRPr="001F4F32">
        <w:rPr>
          <w:rFonts w:asciiTheme="minorHAnsi" w:hAnsiTheme="minorHAnsi"/>
        </w:rPr>
        <w:t xml:space="preserve"> </w:t>
      </w:r>
      <w:r w:rsidRPr="001F4F32">
        <w:rPr>
          <w:rFonts w:asciiTheme="minorHAnsi" w:hAnsiTheme="minorHAnsi" w:cstheme="majorBidi"/>
          <w:bCs/>
        </w:rPr>
        <w:t xml:space="preserve">service on a primary basis and identification for IMT in a number of countries of all three Regions, on a non-interference basis with respect to the radiolocation service and/or </w:t>
      </w:r>
      <w:r w:rsidRPr="001F4F32">
        <w:rPr>
          <w:rFonts w:asciiTheme="minorHAnsi" w:hAnsiTheme="minorHAnsi" w:cstheme="majorBidi"/>
        </w:rPr>
        <w:t xml:space="preserve">subject to the application of No. </w:t>
      </w:r>
      <w:r w:rsidRPr="001F4F32">
        <w:rPr>
          <w:rFonts w:asciiTheme="minorHAnsi" w:hAnsiTheme="minorHAnsi" w:cstheme="majorBidi"/>
          <w:b/>
          <w:bCs/>
        </w:rPr>
        <w:t>9.21</w:t>
      </w:r>
      <w:r w:rsidRPr="001F4F32">
        <w:rPr>
          <w:rFonts w:asciiTheme="minorHAnsi" w:hAnsiTheme="minorHAnsi" w:cstheme="majorBidi"/>
        </w:rPr>
        <w:t xml:space="preserve"> procedure</w:t>
      </w:r>
      <w:r w:rsidRPr="001F4F32">
        <w:rPr>
          <w:rFonts w:asciiTheme="minorHAnsi" w:hAnsiTheme="minorHAnsi" w:cstheme="majorBidi"/>
          <w:bCs/>
        </w:rPr>
        <w:t>, as stipulated in Nos.</w:t>
      </w:r>
      <w:r w:rsidRPr="001F4F32">
        <w:rPr>
          <w:rFonts w:asciiTheme="minorHAnsi" w:hAnsiTheme="minorHAnsi" w:cstheme="majorBidi"/>
          <w:b/>
        </w:rPr>
        <w:t xml:space="preserve"> 5.429A</w:t>
      </w:r>
      <w:r w:rsidRPr="001F4F32">
        <w:rPr>
          <w:rStyle w:val="Artdef"/>
          <w:rFonts w:asciiTheme="minorHAnsi" w:hAnsiTheme="minorHAnsi" w:cstheme="majorBidi"/>
        </w:rPr>
        <w:t xml:space="preserve">, </w:t>
      </w:r>
      <w:r w:rsidRPr="001F4F32">
        <w:rPr>
          <w:rFonts w:asciiTheme="minorHAnsi" w:hAnsiTheme="minorHAnsi" w:cstheme="majorBidi"/>
          <w:b/>
        </w:rPr>
        <w:t>5.429B</w:t>
      </w:r>
      <w:r w:rsidRPr="001F4F32">
        <w:rPr>
          <w:rStyle w:val="Artdef"/>
          <w:rFonts w:asciiTheme="minorHAnsi" w:hAnsiTheme="minorHAnsi" w:cstheme="majorBidi"/>
        </w:rPr>
        <w:t xml:space="preserve">, </w:t>
      </w:r>
      <w:r w:rsidRPr="001F4F32">
        <w:rPr>
          <w:rFonts w:asciiTheme="minorHAnsi" w:hAnsiTheme="minorHAnsi" w:cstheme="majorBidi"/>
          <w:b/>
        </w:rPr>
        <w:t>5.429C</w:t>
      </w:r>
      <w:r w:rsidRPr="001F4F32">
        <w:rPr>
          <w:rStyle w:val="Artdef"/>
          <w:rFonts w:asciiTheme="minorHAnsi" w:hAnsiTheme="minorHAnsi" w:cstheme="majorBidi"/>
        </w:rPr>
        <w:t xml:space="preserve">, </w:t>
      </w:r>
      <w:r w:rsidRPr="001F4F32">
        <w:rPr>
          <w:rFonts w:asciiTheme="minorHAnsi" w:hAnsiTheme="minorHAnsi" w:cstheme="majorBidi"/>
          <w:b/>
        </w:rPr>
        <w:t>5.429D</w:t>
      </w:r>
      <w:r w:rsidRPr="001F4F32">
        <w:rPr>
          <w:rStyle w:val="Artdef"/>
          <w:rFonts w:asciiTheme="minorHAnsi" w:hAnsiTheme="minorHAnsi" w:cstheme="majorBidi"/>
        </w:rPr>
        <w:t xml:space="preserve">, </w:t>
      </w:r>
      <w:r w:rsidRPr="001F4F32">
        <w:rPr>
          <w:rFonts w:asciiTheme="minorHAnsi" w:hAnsiTheme="minorHAnsi" w:cstheme="majorBidi"/>
          <w:b/>
        </w:rPr>
        <w:t>5.429E</w:t>
      </w:r>
      <w:r w:rsidRPr="001F4F32">
        <w:rPr>
          <w:rStyle w:val="Artdef"/>
          <w:rFonts w:asciiTheme="minorHAnsi" w:hAnsiTheme="minorHAnsi" w:cstheme="majorBidi"/>
          <w:bCs/>
        </w:rPr>
        <w:t xml:space="preserve"> and </w:t>
      </w:r>
      <w:r w:rsidRPr="001F4F32">
        <w:rPr>
          <w:rFonts w:asciiTheme="minorHAnsi" w:hAnsiTheme="minorHAnsi" w:cstheme="majorBidi"/>
          <w:b/>
        </w:rPr>
        <w:t>5.429F</w:t>
      </w:r>
      <w:r w:rsidRPr="001F4F32">
        <w:rPr>
          <w:rStyle w:val="Artdef"/>
          <w:rFonts w:asciiTheme="minorHAnsi" w:hAnsiTheme="minorHAnsi" w:cstheme="majorBidi"/>
        </w:rPr>
        <w:t>.</w:t>
      </w:r>
      <w:proofErr w:type="gramEnd"/>
      <w:r w:rsidRPr="001F4F32">
        <w:rPr>
          <w:rStyle w:val="Artdef"/>
          <w:rFonts w:asciiTheme="minorHAnsi" w:hAnsiTheme="minorHAnsi" w:cstheme="majorBidi"/>
          <w:bCs/>
        </w:rPr>
        <w:t xml:space="preserve"> </w:t>
      </w:r>
      <w:r w:rsidRPr="001F4F32">
        <w:rPr>
          <w:rFonts w:asciiTheme="minorHAnsi" w:hAnsiTheme="minorHAnsi" w:cstheme="majorBidi"/>
          <w:bCs/>
        </w:rPr>
        <w:t xml:space="preserve">No. </w:t>
      </w:r>
      <w:r w:rsidRPr="001F4F32">
        <w:rPr>
          <w:rFonts w:asciiTheme="minorHAnsi" w:hAnsiTheme="minorHAnsi" w:cstheme="majorBidi"/>
          <w:b/>
        </w:rPr>
        <w:t xml:space="preserve">5.429C </w:t>
      </w:r>
      <w:r w:rsidRPr="001F4F32">
        <w:rPr>
          <w:rFonts w:asciiTheme="minorHAnsi" w:hAnsiTheme="minorHAnsi" w:cstheme="majorBidi"/>
          <w:bCs/>
        </w:rPr>
        <w:t xml:space="preserve">also allocates this band </w:t>
      </w:r>
      <w:proofErr w:type="gramStart"/>
      <w:r w:rsidRPr="001F4F32">
        <w:rPr>
          <w:rFonts w:asciiTheme="minorHAnsi" w:hAnsiTheme="minorHAnsi" w:cstheme="majorBidi"/>
          <w:bCs/>
        </w:rPr>
        <w:t>to the fixed service in some Region 2 countries on a primary basis subject to specific conditions</w:t>
      </w:r>
      <w:proofErr w:type="gramEnd"/>
      <w:r w:rsidRPr="001F4F32">
        <w:rPr>
          <w:rFonts w:asciiTheme="minorHAnsi" w:hAnsiTheme="minorHAnsi" w:cstheme="majorBidi"/>
          <w:bCs/>
        </w:rPr>
        <w:t xml:space="preserve">. </w:t>
      </w:r>
    </w:p>
    <w:p w:rsidR="001F4F32" w:rsidRPr="001F4F32" w:rsidRDefault="001F4F32" w:rsidP="001F4F32">
      <w:pPr>
        <w:pStyle w:val="BodyText"/>
        <w:numPr>
          <w:ilvl w:val="0"/>
          <w:numId w:val="6"/>
        </w:numPr>
        <w:tabs>
          <w:tab w:val="num" w:pos="360"/>
          <w:tab w:val="left" w:pos="3402"/>
        </w:tabs>
        <w:spacing w:before="120"/>
        <w:ind w:left="720"/>
        <w:jc w:val="both"/>
        <w:rPr>
          <w:rFonts w:asciiTheme="minorHAnsi" w:hAnsiTheme="minorHAnsi" w:cstheme="majorBidi"/>
        </w:rPr>
      </w:pPr>
      <w:r w:rsidRPr="001F4F32">
        <w:rPr>
          <w:rFonts w:asciiTheme="minorHAnsi" w:hAnsiTheme="minorHAnsi" w:cstheme="majorBidi"/>
          <w:bCs/>
        </w:rPr>
        <w:t xml:space="preserve">Geographical extension of the primary allocation to the mobile, except aeronautical mobile, service in 3 400-3 600 MHz to entire Region 1 and in some Region 3 countries. Geographical extension of the primary allocation to the mobile, except aeronautical mobile, service in the band 3 400-3 500 MHz to entire Region 2. Abrogation of the secondary allocation to the aeronautical mobile service in the band 3 400 – </w:t>
      </w:r>
      <w:proofErr w:type="gramStart"/>
      <w:r w:rsidRPr="001F4F32">
        <w:rPr>
          <w:rFonts w:asciiTheme="minorHAnsi" w:hAnsiTheme="minorHAnsi" w:cstheme="majorBidi"/>
          <w:bCs/>
        </w:rPr>
        <w:t>3</w:t>
      </w:r>
      <w:proofErr w:type="gramEnd"/>
      <w:r w:rsidR="002D2C8A">
        <w:rPr>
          <w:rFonts w:asciiTheme="minorHAnsi" w:hAnsiTheme="minorHAnsi" w:cstheme="majorBidi"/>
          <w:bCs/>
        </w:rPr>
        <w:t xml:space="preserve"> </w:t>
      </w:r>
      <w:r w:rsidRPr="001F4F32">
        <w:rPr>
          <w:rFonts w:asciiTheme="minorHAnsi" w:hAnsiTheme="minorHAnsi" w:cstheme="majorBidi"/>
          <w:bCs/>
        </w:rPr>
        <w:t xml:space="preserve">600 </w:t>
      </w:r>
      <w:r w:rsidR="002D2C8A">
        <w:rPr>
          <w:rFonts w:asciiTheme="minorHAnsi" w:hAnsiTheme="minorHAnsi" w:cstheme="majorBidi"/>
          <w:bCs/>
        </w:rPr>
        <w:t>MHz in Region 1 and in the band</w:t>
      </w:r>
      <w:r w:rsidR="002D2C8A">
        <w:rPr>
          <w:rFonts w:asciiTheme="minorHAnsi" w:hAnsiTheme="minorHAnsi" w:cstheme="majorBidi"/>
          <w:bCs/>
        </w:rPr>
        <w:br/>
      </w:r>
      <w:r w:rsidRPr="001F4F32">
        <w:rPr>
          <w:rFonts w:asciiTheme="minorHAnsi" w:hAnsiTheme="minorHAnsi" w:cstheme="majorBidi"/>
          <w:bCs/>
        </w:rPr>
        <w:t xml:space="preserve">3 400-3 500 MHz in Regions 2 and 3. Extension of the identification for IMT of </w:t>
      </w:r>
      <w:r w:rsidR="002D2C8A">
        <w:rPr>
          <w:rFonts w:asciiTheme="minorHAnsi" w:hAnsiTheme="minorHAnsi" w:cstheme="majorBidi"/>
          <w:bCs/>
        </w:rPr>
        <w:t>the band</w:t>
      </w:r>
      <w:r w:rsidR="002D2C8A">
        <w:rPr>
          <w:rFonts w:asciiTheme="minorHAnsi" w:hAnsiTheme="minorHAnsi" w:cstheme="majorBidi"/>
          <w:bCs/>
        </w:rPr>
        <w:br/>
      </w:r>
      <w:r w:rsidRPr="001F4F32">
        <w:rPr>
          <w:rFonts w:asciiTheme="minorHAnsi" w:hAnsiTheme="minorHAnsi" w:cstheme="majorBidi"/>
          <w:bCs/>
        </w:rPr>
        <w:t>3 400 – 3 600 MHz to entire Regions 1 and 2 as well as in a number of Region 3 countries, as stipulated in Nos.</w:t>
      </w:r>
      <w:r w:rsidRPr="001F4F32">
        <w:rPr>
          <w:rFonts w:asciiTheme="minorHAnsi" w:hAnsiTheme="minorHAnsi" w:cstheme="majorBidi"/>
          <w:b/>
        </w:rPr>
        <w:t xml:space="preserve"> </w:t>
      </w:r>
      <w:r w:rsidRPr="001F4F32">
        <w:rPr>
          <w:rStyle w:val="Artdef"/>
          <w:rFonts w:asciiTheme="minorHAnsi" w:hAnsiTheme="minorHAnsi" w:cstheme="majorBidi"/>
          <w:bCs/>
        </w:rPr>
        <w:t>5.430A, 5.431B</w:t>
      </w:r>
      <w:r w:rsidRPr="001F4F32">
        <w:rPr>
          <w:rStyle w:val="Artdef"/>
          <w:rFonts w:asciiTheme="minorHAnsi" w:hAnsiTheme="minorHAnsi" w:cstheme="majorBidi"/>
        </w:rPr>
        <w:t xml:space="preserve">, </w:t>
      </w:r>
      <w:r w:rsidRPr="001F4F32">
        <w:rPr>
          <w:rStyle w:val="Artdef"/>
          <w:rFonts w:asciiTheme="minorHAnsi" w:hAnsiTheme="minorHAnsi" w:cstheme="majorBidi"/>
          <w:bCs/>
        </w:rPr>
        <w:t xml:space="preserve">5.432B </w:t>
      </w:r>
      <w:r w:rsidRPr="001F4F32">
        <w:rPr>
          <w:rStyle w:val="Artdef"/>
          <w:rFonts w:asciiTheme="minorHAnsi" w:hAnsiTheme="minorHAnsi" w:cstheme="majorBidi"/>
        </w:rPr>
        <w:t>and</w:t>
      </w:r>
      <w:r w:rsidRPr="001F4F32">
        <w:rPr>
          <w:rStyle w:val="Artdef"/>
          <w:rFonts w:asciiTheme="minorHAnsi" w:hAnsiTheme="minorHAnsi" w:cstheme="majorBidi"/>
          <w:bCs/>
        </w:rPr>
        <w:t xml:space="preserve"> 5.433A</w:t>
      </w:r>
      <w:r w:rsidRPr="001F4F32">
        <w:rPr>
          <w:rFonts w:asciiTheme="minorHAnsi" w:hAnsiTheme="minorHAnsi" w:cstheme="majorBidi"/>
          <w:bCs/>
        </w:rPr>
        <w:t xml:space="preserve">. These allocations/identifications are </w:t>
      </w:r>
      <w:r w:rsidRPr="001F4F32">
        <w:rPr>
          <w:rFonts w:asciiTheme="minorHAnsi" w:hAnsiTheme="minorHAnsi" w:cstheme="majorBidi"/>
        </w:rPr>
        <w:t xml:space="preserve">subject to the applications of Nos. </w:t>
      </w:r>
      <w:r w:rsidRPr="001F4F32">
        <w:rPr>
          <w:rFonts w:asciiTheme="minorHAnsi" w:hAnsiTheme="minorHAnsi" w:cstheme="majorBidi"/>
          <w:b/>
          <w:bCs/>
        </w:rPr>
        <w:t xml:space="preserve">9.17, 9.18 </w:t>
      </w:r>
      <w:r w:rsidRPr="001F4F32">
        <w:rPr>
          <w:rFonts w:asciiTheme="minorHAnsi" w:hAnsiTheme="minorHAnsi" w:cstheme="majorBidi"/>
        </w:rPr>
        <w:t xml:space="preserve">and/or No. </w:t>
      </w:r>
      <w:r w:rsidRPr="001F4F32">
        <w:rPr>
          <w:rFonts w:asciiTheme="minorHAnsi" w:hAnsiTheme="minorHAnsi" w:cstheme="majorBidi"/>
          <w:b/>
          <w:bCs/>
        </w:rPr>
        <w:t>9.21</w:t>
      </w:r>
      <w:r w:rsidRPr="001F4F32">
        <w:rPr>
          <w:rFonts w:asciiTheme="minorHAnsi" w:hAnsiTheme="minorHAnsi" w:cstheme="majorBidi"/>
        </w:rPr>
        <w:t xml:space="preserve"> and</w:t>
      </w:r>
      <w:r w:rsidR="002D2C8A">
        <w:rPr>
          <w:rFonts w:asciiTheme="minorHAnsi" w:hAnsiTheme="minorHAnsi" w:cstheme="majorBidi"/>
        </w:rPr>
        <w:t xml:space="preserve"> a </w:t>
      </w:r>
      <w:proofErr w:type="spellStart"/>
      <w:r w:rsidR="002D2C8A">
        <w:rPr>
          <w:rFonts w:asciiTheme="minorHAnsi" w:hAnsiTheme="minorHAnsi" w:cstheme="majorBidi"/>
        </w:rPr>
        <w:t>pfd</w:t>
      </w:r>
      <w:proofErr w:type="spellEnd"/>
      <w:r w:rsidR="002D2C8A">
        <w:rPr>
          <w:rFonts w:asciiTheme="minorHAnsi" w:hAnsiTheme="minorHAnsi" w:cstheme="majorBidi"/>
        </w:rPr>
        <w:t xml:space="preserve"> limit.</w:t>
      </w:r>
    </w:p>
    <w:p w:rsidR="001F4F32" w:rsidRPr="001F4F32" w:rsidRDefault="001F4F32" w:rsidP="001F4F32">
      <w:pPr>
        <w:pStyle w:val="BodyText"/>
        <w:numPr>
          <w:ilvl w:val="0"/>
          <w:numId w:val="6"/>
        </w:numPr>
        <w:tabs>
          <w:tab w:val="num" w:pos="360"/>
          <w:tab w:val="left" w:pos="3402"/>
        </w:tabs>
        <w:spacing w:before="120"/>
        <w:ind w:left="720"/>
        <w:jc w:val="both"/>
        <w:rPr>
          <w:rFonts w:asciiTheme="minorHAnsi" w:hAnsiTheme="minorHAnsi" w:cstheme="majorBidi"/>
          <w:bCs/>
        </w:rPr>
      </w:pPr>
      <w:r w:rsidRPr="002D2C8A">
        <w:rPr>
          <w:rFonts w:asciiTheme="minorHAnsi" w:hAnsiTheme="minorHAnsi" w:cstheme="majorBidi"/>
          <w:b/>
        </w:rPr>
        <w:t>I</w:t>
      </w:r>
      <w:r w:rsidRPr="001F4F32">
        <w:rPr>
          <w:rStyle w:val="Artdef"/>
          <w:rFonts w:asciiTheme="minorHAnsi" w:hAnsiTheme="minorHAnsi" w:cstheme="majorBidi"/>
        </w:rPr>
        <w:t>dentification of</w:t>
      </w:r>
      <w:r w:rsidRPr="001F4F32">
        <w:rPr>
          <w:rFonts w:asciiTheme="minorHAnsi" w:hAnsiTheme="minorHAnsi" w:cstheme="majorBidi"/>
          <w:bCs/>
        </w:rPr>
        <w:t xml:space="preserve"> the band 3 600-3 700 MHz for IMT in </w:t>
      </w:r>
      <w:r w:rsidRPr="001F4F32">
        <w:rPr>
          <w:rFonts w:asciiTheme="minorHAnsi" w:hAnsiTheme="minorHAnsi"/>
        </w:rPr>
        <w:t xml:space="preserve">some Region 2 countries </w:t>
      </w:r>
      <w:r w:rsidRPr="001F4F32">
        <w:rPr>
          <w:rFonts w:asciiTheme="minorHAnsi" w:hAnsiTheme="minorHAnsi" w:cstheme="majorBidi"/>
        </w:rPr>
        <w:t xml:space="preserve">subject to Nos. </w:t>
      </w:r>
      <w:r w:rsidRPr="001F4F32">
        <w:rPr>
          <w:rFonts w:asciiTheme="minorHAnsi" w:hAnsiTheme="minorHAnsi" w:cstheme="majorBidi"/>
          <w:b/>
          <w:bCs/>
        </w:rPr>
        <w:t>9.17, 9.18</w:t>
      </w:r>
      <w:r w:rsidRPr="001F4F32">
        <w:rPr>
          <w:rFonts w:asciiTheme="minorHAnsi" w:hAnsiTheme="minorHAnsi" w:cstheme="majorBidi"/>
        </w:rPr>
        <w:t xml:space="preserve"> and </w:t>
      </w:r>
      <w:r w:rsidRPr="001F4F32">
        <w:rPr>
          <w:rFonts w:asciiTheme="minorHAnsi" w:hAnsiTheme="minorHAnsi" w:cstheme="majorBidi"/>
          <w:b/>
          <w:bCs/>
        </w:rPr>
        <w:t>9.21</w:t>
      </w:r>
      <w:r w:rsidRPr="001F4F32">
        <w:rPr>
          <w:rFonts w:asciiTheme="minorHAnsi" w:hAnsiTheme="minorHAnsi" w:cstheme="majorBidi"/>
        </w:rPr>
        <w:t xml:space="preserve"> as well as a </w:t>
      </w:r>
      <w:proofErr w:type="spellStart"/>
      <w:r w:rsidRPr="001F4F32">
        <w:rPr>
          <w:rFonts w:asciiTheme="minorHAnsi" w:hAnsiTheme="minorHAnsi" w:cstheme="majorBidi"/>
        </w:rPr>
        <w:t>pfd</w:t>
      </w:r>
      <w:proofErr w:type="spellEnd"/>
      <w:r w:rsidRPr="001F4F32">
        <w:rPr>
          <w:rFonts w:asciiTheme="minorHAnsi" w:hAnsiTheme="minorHAnsi" w:cstheme="majorBidi"/>
        </w:rPr>
        <w:t xml:space="preserve"> limit, </w:t>
      </w:r>
      <w:r w:rsidRPr="001F4F32">
        <w:rPr>
          <w:rFonts w:asciiTheme="minorHAnsi" w:hAnsiTheme="minorHAnsi" w:cstheme="majorBidi"/>
          <w:bCs/>
        </w:rPr>
        <w:t>as stipulated in No.</w:t>
      </w:r>
      <w:r w:rsidRPr="001F4F32">
        <w:rPr>
          <w:rFonts w:asciiTheme="minorHAnsi" w:hAnsiTheme="minorHAnsi" w:cstheme="majorBidi"/>
          <w:b/>
        </w:rPr>
        <w:t xml:space="preserve"> 5.434</w:t>
      </w:r>
      <w:r w:rsidRPr="001F4F32">
        <w:rPr>
          <w:rFonts w:asciiTheme="minorHAnsi" w:hAnsiTheme="minorHAnsi" w:cstheme="majorBidi"/>
          <w:i/>
          <w:iCs/>
        </w:rPr>
        <w:t>.</w:t>
      </w:r>
    </w:p>
    <w:p w:rsidR="001F4F32" w:rsidRPr="001F4F32" w:rsidRDefault="001F4F32" w:rsidP="002D2C8A">
      <w:pPr>
        <w:pStyle w:val="BodyText"/>
        <w:numPr>
          <w:ilvl w:val="0"/>
          <w:numId w:val="5"/>
        </w:numPr>
        <w:tabs>
          <w:tab w:val="num" w:pos="851"/>
        </w:tabs>
        <w:spacing w:before="120"/>
        <w:ind w:left="709" w:hanging="283"/>
        <w:jc w:val="both"/>
        <w:rPr>
          <w:rFonts w:asciiTheme="minorHAnsi" w:hAnsiTheme="minorHAnsi"/>
        </w:rPr>
      </w:pPr>
      <w:r w:rsidRPr="001F4F32">
        <w:rPr>
          <w:rFonts w:asciiTheme="minorHAnsi" w:hAnsiTheme="minorHAnsi" w:cstheme="majorBidi"/>
          <w:bCs/>
        </w:rPr>
        <w:t xml:space="preserve">Allocation of the band </w:t>
      </w:r>
      <w:r w:rsidRPr="001F4F32">
        <w:rPr>
          <w:rFonts w:asciiTheme="minorHAnsi" w:hAnsiTheme="minorHAnsi"/>
        </w:rPr>
        <w:t>4 200-4 400 MHz</w:t>
      </w:r>
      <w:r w:rsidRPr="001F4F32">
        <w:rPr>
          <w:rFonts w:asciiTheme="minorHAnsi" w:hAnsiTheme="minorHAnsi"/>
          <w:lang w:val="en-GB"/>
        </w:rPr>
        <w:t xml:space="preserve"> to the aeronautical mobile (R) service reserved </w:t>
      </w:r>
      <w:r w:rsidRPr="001F4F32">
        <w:rPr>
          <w:rFonts w:asciiTheme="minorHAnsi" w:hAnsiTheme="minorHAnsi"/>
        </w:rPr>
        <w:t xml:space="preserve">exclusively for wireless avionics intra-communication systems (WAIC), </w:t>
      </w:r>
      <w:r w:rsidRPr="001F4F32">
        <w:rPr>
          <w:rFonts w:asciiTheme="minorHAnsi" w:hAnsiTheme="minorHAnsi" w:cstheme="majorBidi"/>
          <w:bCs/>
        </w:rPr>
        <w:t>as stipulated in</w:t>
      </w:r>
      <w:r w:rsidR="002D2C8A">
        <w:rPr>
          <w:rFonts w:asciiTheme="minorHAnsi" w:hAnsiTheme="minorHAnsi" w:cstheme="majorBidi"/>
          <w:bCs/>
        </w:rPr>
        <w:br/>
      </w:r>
      <w:r w:rsidRPr="001F4F32">
        <w:rPr>
          <w:rFonts w:asciiTheme="minorHAnsi" w:hAnsiTheme="minorHAnsi" w:cstheme="majorBidi"/>
          <w:bCs/>
        </w:rPr>
        <w:t>No.</w:t>
      </w:r>
      <w:r w:rsidRPr="001F4F32">
        <w:rPr>
          <w:rFonts w:asciiTheme="minorHAnsi" w:hAnsiTheme="minorHAnsi" w:cstheme="majorBidi"/>
          <w:b/>
        </w:rPr>
        <w:t xml:space="preserve"> 5.436</w:t>
      </w:r>
      <w:r w:rsidRPr="001F4F32">
        <w:rPr>
          <w:rFonts w:asciiTheme="minorHAnsi" w:hAnsiTheme="minorHAnsi"/>
        </w:rPr>
        <w:t xml:space="preserve">. Such use shall be in accordance with Resolution </w:t>
      </w:r>
      <w:r w:rsidRPr="001F4F32">
        <w:rPr>
          <w:rFonts w:asciiTheme="minorHAnsi" w:hAnsiTheme="minorHAnsi"/>
          <w:b/>
          <w:bCs/>
        </w:rPr>
        <w:t>424 (WRC</w:t>
      </w:r>
      <w:r w:rsidRPr="001F4F32">
        <w:rPr>
          <w:rFonts w:asciiTheme="minorHAnsi" w:hAnsiTheme="minorHAnsi"/>
          <w:b/>
          <w:bCs/>
        </w:rPr>
        <w:noBreakHyphen/>
        <w:t>15)</w:t>
      </w:r>
      <w:r w:rsidRPr="001F4F32">
        <w:rPr>
          <w:rFonts w:asciiTheme="minorHAnsi" w:hAnsiTheme="minorHAnsi"/>
        </w:rPr>
        <w:t>.</w:t>
      </w:r>
    </w:p>
    <w:p w:rsidR="001F4F32" w:rsidRPr="001F4F32" w:rsidRDefault="001F4F32" w:rsidP="00917434">
      <w:pPr>
        <w:pStyle w:val="BodyText"/>
        <w:numPr>
          <w:ilvl w:val="0"/>
          <w:numId w:val="6"/>
        </w:numPr>
        <w:tabs>
          <w:tab w:val="num" w:pos="360"/>
          <w:tab w:val="left" w:pos="3402"/>
        </w:tabs>
        <w:spacing w:before="120"/>
        <w:ind w:left="720"/>
        <w:jc w:val="both"/>
        <w:rPr>
          <w:rFonts w:asciiTheme="minorHAnsi" w:hAnsiTheme="minorHAnsi" w:cstheme="majorBidi"/>
          <w:bCs/>
        </w:rPr>
      </w:pPr>
      <w:r w:rsidRPr="002D2C8A">
        <w:rPr>
          <w:rFonts w:asciiTheme="minorHAnsi" w:hAnsiTheme="minorHAnsi" w:cstheme="majorBidi"/>
          <w:b/>
        </w:rPr>
        <w:t>I</w:t>
      </w:r>
      <w:r w:rsidRPr="001F4F32">
        <w:rPr>
          <w:rStyle w:val="Artdef"/>
          <w:rFonts w:asciiTheme="minorHAnsi" w:hAnsiTheme="minorHAnsi" w:cstheme="majorBidi"/>
        </w:rPr>
        <w:t>dentification of</w:t>
      </w:r>
      <w:r w:rsidRPr="001F4F32">
        <w:rPr>
          <w:rFonts w:asciiTheme="minorHAnsi" w:hAnsiTheme="minorHAnsi" w:cstheme="majorBidi"/>
          <w:bCs/>
        </w:rPr>
        <w:t xml:space="preserve"> the band </w:t>
      </w:r>
      <w:r w:rsidRPr="001F4F32">
        <w:rPr>
          <w:rFonts w:asciiTheme="minorHAnsi" w:hAnsiTheme="minorHAnsi" w:cstheme="majorBidi"/>
        </w:rPr>
        <w:t xml:space="preserve">4 800 – </w:t>
      </w:r>
      <w:proofErr w:type="gramStart"/>
      <w:r w:rsidRPr="001F4F32">
        <w:rPr>
          <w:rFonts w:asciiTheme="minorHAnsi" w:hAnsiTheme="minorHAnsi" w:cstheme="majorBidi"/>
        </w:rPr>
        <w:t>4</w:t>
      </w:r>
      <w:proofErr w:type="gramEnd"/>
      <w:r w:rsidRPr="001F4F32">
        <w:rPr>
          <w:rFonts w:asciiTheme="minorHAnsi" w:hAnsiTheme="minorHAnsi" w:cstheme="majorBidi"/>
        </w:rPr>
        <w:t xml:space="preserve"> 900 MHz for IMT </w:t>
      </w:r>
      <w:r w:rsidRPr="001F4F32">
        <w:rPr>
          <w:rFonts w:asciiTheme="minorHAnsi" w:hAnsiTheme="minorHAnsi" w:cstheme="majorBidi"/>
          <w:bCs/>
        </w:rPr>
        <w:t xml:space="preserve">in one Region 2 country and the band </w:t>
      </w:r>
      <w:r w:rsidRPr="001F4F32">
        <w:rPr>
          <w:rFonts w:asciiTheme="minorHAnsi" w:hAnsiTheme="minorHAnsi" w:cstheme="majorBidi"/>
        </w:rPr>
        <w:t>4</w:t>
      </w:r>
      <w:r w:rsidR="002D2C8A">
        <w:rPr>
          <w:rFonts w:asciiTheme="minorHAnsi" w:hAnsiTheme="minorHAnsi" w:cstheme="majorBidi"/>
        </w:rPr>
        <w:t> </w:t>
      </w:r>
      <w:r w:rsidRPr="001F4F32">
        <w:rPr>
          <w:rFonts w:asciiTheme="minorHAnsi" w:hAnsiTheme="minorHAnsi" w:cstheme="majorBidi"/>
        </w:rPr>
        <w:t>800 – 4</w:t>
      </w:r>
      <w:r w:rsidR="002D2C8A">
        <w:rPr>
          <w:rFonts w:asciiTheme="minorHAnsi" w:hAnsiTheme="minorHAnsi" w:cstheme="majorBidi"/>
        </w:rPr>
        <w:t> </w:t>
      </w:r>
      <w:r w:rsidRPr="001F4F32">
        <w:rPr>
          <w:rFonts w:asciiTheme="minorHAnsi" w:hAnsiTheme="minorHAnsi" w:cstheme="majorBidi"/>
        </w:rPr>
        <w:t xml:space="preserve">990 MHz </w:t>
      </w:r>
      <w:r w:rsidRPr="001F4F32">
        <w:rPr>
          <w:rFonts w:asciiTheme="minorHAnsi" w:hAnsiTheme="minorHAnsi" w:cstheme="majorBidi"/>
          <w:bCs/>
        </w:rPr>
        <w:t xml:space="preserve">in some Region 3 countries, under the condition that </w:t>
      </w:r>
      <w:r w:rsidRPr="001F4F32">
        <w:rPr>
          <w:rFonts w:asciiTheme="minorHAnsi" w:hAnsiTheme="minorHAnsi"/>
        </w:rPr>
        <w:t>IMT stations shall not claim protection from other applications of the mobile service,</w:t>
      </w:r>
      <w:r w:rsidRPr="001F4F32">
        <w:rPr>
          <w:rFonts w:asciiTheme="minorHAnsi" w:hAnsiTheme="minorHAnsi" w:cstheme="majorBidi"/>
          <w:bCs/>
        </w:rPr>
        <w:t xml:space="preserve"> as stipulated in Nos.</w:t>
      </w:r>
      <w:r w:rsidRPr="001F4F32">
        <w:rPr>
          <w:rFonts w:asciiTheme="minorHAnsi" w:hAnsiTheme="minorHAnsi" w:cstheme="majorBidi"/>
          <w:b/>
        </w:rPr>
        <w:t xml:space="preserve"> </w:t>
      </w:r>
      <w:r w:rsidRPr="001F4F32">
        <w:rPr>
          <w:rFonts w:asciiTheme="minorHAnsi" w:hAnsiTheme="minorHAnsi" w:cstheme="majorBidi"/>
          <w:bCs/>
        </w:rPr>
        <w:t xml:space="preserve"> </w:t>
      </w:r>
      <w:r w:rsidRPr="001F4F32">
        <w:rPr>
          <w:rFonts w:asciiTheme="minorHAnsi" w:hAnsiTheme="minorHAnsi" w:cstheme="majorBidi"/>
          <w:b/>
        </w:rPr>
        <w:t>5.441A</w:t>
      </w:r>
      <w:r w:rsidRPr="001F4F32">
        <w:rPr>
          <w:rFonts w:asciiTheme="minorHAnsi" w:hAnsiTheme="minorHAnsi" w:cstheme="majorBidi"/>
          <w:bCs/>
        </w:rPr>
        <w:t xml:space="preserve"> </w:t>
      </w:r>
      <w:r w:rsidRPr="001F4F32">
        <w:rPr>
          <w:rFonts w:asciiTheme="minorHAnsi" w:hAnsiTheme="minorHAnsi" w:cstheme="majorBidi"/>
          <w:lang w:eastAsia="ko-KR"/>
        </w:rPr>
        <w:t xml:space="preserve">and </w:t>
      </w:r>
      <w:r w:rsidRPr="00DC0A2C">
        <w:rPr>
          <w:rFonts w:asciiTheme="minorHAnsi" w:hAnsiTheme="minorHAnsi" w:cstheme="majorBidi"/>
          <w:b/>
        </w:rPr>
        <w:t>5.</w:t>
      </w:r>
      <w:r w:rsidRPr="001F4F32">
        <w:rPr>
          <w:rFonts w:asciiTheme="minorHAnsi" w:hAnsiTheme="minorHAnsi" w:cstheme="majorBidi"/>
          <w:b/>
        </w:rPr>
        <w:t>441B</w:t>
      </w:r>
      <w:r w:rsidRPr="001F4F32">
        <w:rPr>
          <w:rStyle w:val="Artdef"/>
          <w:rFonts w:asciiTheme="minorHAnsi" w:hAnsiTheme="minorHAnsi" w:cstheme="majorBidi"/>
        </w:rPr>
        <w:t xml:space="preserve">. </w:t>
      </w:r>
      <w:r w:rsidRPr="001F4F32">
        <w:rPr>
          <w:rStyle w:val="Artdef"/>
          <w:rFonts w:asciiTheme="minorHAnsi" w:hAnsiTheme="minorHAnsi" w:cstheme="majorBidi"/>
          <w:bCs/>
        </w:rPr>
        <w:t xml:space="preserve">In Region </w:t>
      </w:r>
      <w:proofErr w:type="gramStart"/>
      <w:r w:rsidRPr="001F4F32">
        <w:rPr>
          <w:rStyle w:val="Artdef"/>
          <w:rFonts w:asciiTheme="minorHAnsi" w:hAnsiTheme="minorHAnsi" w:cstheme="majorBidi"/>
          <w:bCs/>
        </w:rPr>
        <w:t>3</w:t>
      </w:r>
      <w:proofErr w:type="gramEnd"/>
      <w:r w:rsidRPr="001F4F32">
        <w:rPr>
          <w:rStyle w:val="Artdef"/>
          <w:rFonts w:asciiTheme="minorHAnsi" w:hAnsiTheme="minorHAnsi" w:cstheme="majorBidi"/>
          <w:bCs/>
        </w:rPr>
        <w:t xml:space="preserve"> this identification is also</w:t>
      </w:r>
      <w:r w:rsidRPr="001F4F32">
        <w:rPr>
          <w:rStyle w:val="Artdef"/>
          <w:rFonts w:asciiTheme="minorHAnsi" w:hAnsiTheme="minorHAnsi" w:cstheme="majorBidi"/>
        </w:rPr>
        <w:t xml:space="preserve"> </w:t>
      </w:r>
      <w:r w:rsidRPr="001F4F32">
        <w:rPr>
          <w:rFonts w:asciiTheme="minorHAnsi" w:hAnsiTheme="minorHAnsi" w:cstheme="majorBidi"/>
        </w:rPr>
        <w:t xml:space="preserve">subject to No. </w:t>
      </w:r>
      <w:r w:rsidRPr="001F4F32">
        <w:rPr>
          <w:rFonts w:asciiTheme="minorHAnsi" w:hAnsiTheme="minorHAnsi" w:cstheme="majorBidi"/>
          <w:b/>
          <w:bCs/>
        </w:rPr>
        <w:t>9.21</w:t>
      </w:r>
      <w:r w:rsidRPr="001F4F32">
        <w:rPr>
          <w:rFonts w:asciiTheme="minorHAnsi" w:hAnsiTheme="minorHAnsi" w:cstheme="majorBidi"/>
        </w:rPr>
        <w:t xml:space="preserve"> and a </w:t>
      </w:r>
      <w:proofErr w:type="spellStart"/>
      <w:r w:rsidRPr="001F4F32">
        <w:rPr>
          <w:rFonts w:asciiTheme="minorHAnsi" w:hAnsiTheme="minorHAnsi" w:cstheme="majorBidi"/>
        </w:rPr>
        <w:t>pfd</w:t>
      </w:r>
      <w:proofErr w:type="spellEnd"/>
      <w:r w:rsidRPr="001F4F32">
        <w:rPr>
          <w:rFonts w:asciiTheme="minorHAnsi" w:hAnsiTheme="minorHAnsi" w:cstheme="majorBidi"/>
        </w:rPr>
        <w:t xml:space="preserve"> limit.</w:t>
      </w:r>
    </w:p>
    <w:p w:rsidR="001F4F32" w:rsidRPr="001F4F32" w:rsidRDefault="001F4F32" w:rsidP="00917434">
      <w:pPr>
        <w:pStyle w:val="BodyText"/>
        <w:numPr>
          <w:ilvl w:val="0"/>
          <w:numId w:val="6"/>
        </w:numPr>
        <w:tabs>
          <w:tab w:val="num" w:pos="360"/>
          <w:tab w:val="left" w:pos="3402"/>
        </w:tabs>
        <w:spacing w:before="120"/>
        <w:ind w:left="720"/>
        <w:jc w:val="both"/>
        <w:rPr>
          <w:rFonts w:asciiTheme="minorHAnsi" w:hAnsiTheme="minorHAnsi" w:cstheme="majorBidi"/>
          <w:bCs/>
        </w:rPr>
      </w:pPr>
      <w:r w:rsidRPr="001F4F32">
        <w:rPr>
          <w:rFonts w:asciiTheme="minorHAnsi" w:hAnsiTheme="minorHAnsi"/>
          <w:lang w:eastAsia="ko-KR"/>
        </w:rPr>
        <w:t>Allocation of the band 77.5-78 GHz to the radiolocation service on a primary basis in all three Regions</w:t>
      </w:r>
      <w:r w:rsidRPr="001F4F32">
        <w:rPr>
          <w:rFonts w:asciiTheme="minorHAnsi" w:hAnsiTheme="minorHAnsi" w:cstheme="majorBidi"/>
          <w:bCs/>
        </w:rPr>
        <w:t xml:space="preserve"> limited to short-range radars for ground-based applications, including automotive radars, pursuant to No. </w:t>
      </w:r>
      <w:r w:rsidRPr="001F4F32">
        <w:rPr>
          <w:rFonts w:asciiTheme="minorHAnsi" w:hAnsiTheme="minorHAnsi" w:cstheme="majorBidi"/>
          <w:b/>
        </w:rPr>
        <w:t>5.559</w:t>
      </w:r>
      <w:r w:rsidR="00DC0A2C">
        <w:rPr>
          <w:rFonts w:asciiTheme="minorHAnsi" w:hAnsiTheme="minorHAnsi" w:cstheme="majorBidi"/>
          <w:b/>
        </w:rPr>
        <w:t>B</w:t>
      </w:r>
      <w:r w:rsidRPr="001F4F32">
        <w:rPr>
          <w:rFonts w:asciiTheme="minorHAnsi" w:hAnsiTheme="minorHAnsi"/>
          <w:b/>
          <w:bCs/>
          <w:lang w:eastAsia="ko-KR"/>
        </w:rPr>
        <w:t>.</w:t>
      </w:r>
    </w:p>
    <w:p w:rsidR="001F4F32" w:rsidRPr="001F4F32" w:rsidRDefault="001F4F32" w:rsidP="00917434">
      <w:pPr>
        <w:pStyle w:val="BodyText"/>
        <w:numPr>
          <w:ilvl w:val="0"/>
          <w:numId w:val="6"/>
        </w:numPr>
        <w:tabs>
          <w:tab w:val="num" w:pos="360"/>
          <w:tab w:val="left" w:pos="3402"/>
        </w:tabs>
        <w:spacing w:before="120"/>
        <w:ind w:left="720"/>
        <w:jc w:val="both"/>
        <w:rPr>
          <w:rFonts w:asciiTheme="minorHAnsi" w:hAnsiTheme="minorHAnsi" w:cstheme="majorBidi"/>
        </w:rPr>
      </w:pPr>
      <w:r w:rsidRPr="001F4F32">
        <w:rPr>
          <w:rFonts w:asciiTheme="minorHAnsi" w:hAnsiTheme="minorHAnsi"/>
          <w:lang w:eastAsia="ko-KR"/>
        </w:rPr>
        <w:t xml:space="preserve">For the application of the regulatory provisions decided by WRC-15 that specifically apply to IMT, please refer to </w:t>
      </w:r>
      <w:r w:rsidRPr="001F4F32">
        <w:rPr>
          <w:rFonts w:asciiTheme="minorHAnsi" w:hAnsiTheme="minorHAnsi"/>
        </w:rPr>
        <w:t>Circular Letter CR/391 of 29 February 2016 covering the identification of IMT stations in the mobile service.</w:t>
      </w:r>
    </w:p>
    <w:p w:rsidR="001F4F32" w:rsidRPr="001F4F32" w:rsidRDefault="001F4F32" w:rsidP="00DC0A2C">
      <w:pPr>
        <w:pStyle w:val="BodyText"/>
        <w:tabs>
          <w:tab w:val="left" w:pos="709"/>
          <w:tab w:val="left" w:pos="3402"/>
        </w:tabs>
        <w:spacing w:before="120"/>
        <w:jc w:val="both"/>
        <w:rPr>
          <w:rFonts w:asciiTheme="minorHAnsi" w:hAnsiTheme="minorHAnsi"/>
        </w:rPr>
      </w:pPr>
      <w:r w:rsidRPr="001F4F32">
        <w:rPr>
          <w:rFonts w:asciiTheme="minorHAnsi" w:hAnsiTheme="minorHAnsi"/>
        </w:rPr>
        <w:t>3.4</w:t>
      </w:r>
      <w:r w:rsidR="00DC0A2C">
        <w:rPr>
          <w:rFonts w:asciiTheme="minorHAnsi" w:hAnsiTheme="minorHAnsi"/>
        </w:rPr>
        <w:tab/>
      </w:r>
      <w:r w:rsidRPr="001F4F32">
        <w:rPr>
          <w:rFonts w:asciiTheme="minorHAnsi" w:hAnsiTheme="minorHAnsi"/>
        </w:rPr>
        <w:t>WRC-15 also made several changes in allocations related to space services, which modified the conditions of operation of the terrestrial services in the respective frequency bands, as follows:</w:t>
      </w:r>
    </w:p>
    <w:p w:rsidR="001F4F32" w:rsidRPr="001F4F32" w:rsidRDefault="001F4F32" w:rsidP="00917434">
      <w:pPr>
        <w:pStyle w:val="BodyText"/>
        <w:numPr>
          <w:ilvl w:val="0"/>
          <w:numId w:val="6"/>
        </w:numPr>
        <w:tabs>
          <w:tab w:val="num" w:pos="360"/>
        </w:tabs>
        <w:spacing w:before="120"/>
        <w:ind w:left="720"/>
        <w:jc w:val="both"/>
        <w:rPr>
          <w:rFonts w:asciiTheme="minorHAnsi" w:hAnsiTheme="minorHAnsi"/>
        </w:rPr>
      </w:pPr>
      <w:r w:rsidRPr="001F4F32">
        <w:rPr>
          <w:rFonts w:asciiTheme="minorHAnsi" w:hAnsiTheme="minorHAnsi"/>
        </w:rPr>
        <w:t xml:space="preserve">Allocation of the band 13.4 – 13.65 GHz to the fixed-satellite service (space-to-Earth) on a primary basis in Region 1, limited to GSO systems. As a result, the band in question became a band shared between space and terrestrial services with equal rights. Consequently, transmitting stations of the fixed, mobile, radiolocation and radionavigation services may be involved in coordination with receiving earth stations of FSS under Nos. </w:t>
      </w:r>
      <w:r w:rsidRPr="001F4F32">
        <w:rPr>
          <w:rFonts w:asciiTheme="minorHAnsi" w:hAnsiTheme="minorHAnsi"/>
          <w:b/>
        </w:rPr>
        <w:t xml:space="preserve">9.17 </w:t>
      </w:r>
      <w:r w:rsidRPr="001F4F32">
        <w:rPr>
          <w:rFonts w:asciiTheme="minorHAnsi" w:hAnsiTheme="minorHAnsi"/>
        </w:rPr>
        <w:t xml:space="preserve">and </w:t>
      </w:r>
      <w:r w:rsidRPr="001F4F32">
        <w:rPr>
          <w:rFonts w:asciiTheme="minorHAnsi" w:hAnsiTheme="minorHAnsi"/>
          <w:b/>
          <w:bCs/>
        </w:rPr>
        <w:t>9.18</w:t>
      </w:r>
      <w:r w:rsidRPr="001F4F32">
        <w:rPr>
          <w:rFonts w:asciiTheme="minorHAnsi" w:hAnsiTheme="minorHAnsi"/>
        </w:rPr>
        <w:t>.</w:t>
      </w:r>
    </w:p>
    <w:p w:rsidR="001F4F32" w:rsidRPr="001F4F32" w:rsidRDefault="001F4F32" w:rsidP="001F4F32">
      <w:pPr>
        <w:pStyle w:val="BodyText"/>
        <w:numPr>
          <w:ilvl w:val="0"/>
          <w:numId w:val="6"/>
        </w:numPr>
        <w:tabs>
          <w:tab w:val="num" w:pos="360"/>
        </w:tabs>
        <w:spacing w:before="120"/>
        <w:ind w:left="720"/>
        <w:jc w:val="both"/>
        <w:rPr>
          <w:rFonts w:asciiTheme="minorHAnsi" w:hAnsiTheme="minorHAnsi"/>
        </w:rPr>
      </w:pPr>
      <w:r w:rsidRPr="001F4F32">
        <w:rPr>
          <w:rFonts w:asciiTheme="minorHAnsi" w:hAnsiTheme="minorHAnsi"/>
        </w:rPr>
        <w:t xml:space="preserve">Extension of applicability of the FSS (Earth-to space) allocation in the band 14.5 – 14.8 GHz to the applications other than feeder links for BSS, limited to geostationary satellite systems. However, due to the specific limitations imposed by Nos. </w:t>
      </w:r>
      <w:r w:rsidRPr="001F4F32">
        <w:rPr>
          <w:rFonts w:asciiTheme="minorHAnsi" w:hAnsiTheme="minorHAnsi"/>
          <w:b/>
          <w:bCs/>
        </w:rPr>
        <w:t>5.509D</w:t>
      </w:r>
      <w:r w:rsidRPr="001F4F32">
        <w:rPr>
          <w:rFonts w:asciiTheme="minorHAnsi" w:hAnsiTheme="minorHAnsi"/>
        </w:rPr>
        <w:t xml:space="preserve"> and </w:t>
      </w:r>
      <w:r w:rsidRPr="001F4F32">
        <w:rPr>
          <w:rFonts w:asciiTheme="minorHAnsi" w:hAnsiTheme="minorHAnsi"/>
          <w:b/>
          <w:bCs/>
        </w:rPr>
        <w:t>5.509F</w:t>
      </w:r>
      <w:r w:rsidRPr="001F4F32">
        <w:rPr>
          <w:rFonts w:asciiTheme="minorHAnsi" w:hAnsiTheme="minorHAnsi"/>
        </w:rPr>
        <w:t xml:space="preserve"> on such non-feeder links, Nos.</w:t>
      </w:r>
      <w:r w:rsidRPr="00DC0A2C">
        <w:rPr>
          <w:rFonts w:asciiTheme="minorHAnsi" w:hAnsiTheme="minorHAnsi"/>
          <w:b/>
          <w:bCs/>
        </w:rPr>
        <w:t>9.17</w:t>
      </w:r>
      <w:r w:rsidRPr="001F4F32">
        <w:rPr>
          <w:rFonts w:asciiTheme="minorHAnsi" w:hAnsiTheme="minorHAnsi"/>
        </w:rPr>
        <w:t xml:space="preserve"> and </w:t>
      </w:r>
      <w:r w:rsidRPr="00DC0A2C">
        <w:rPr>
          <w:rFonts w:asciiTheme="minorHAnsi" w:hAnsiTheme="minorHAnsi"/>
          <w:b/>
          <w:bCs/>
        </w:rPr>
        <w:t>9.18</w:t>
      </w:r>
      <w:r w:rsidRPr="001F4F32">
        <w:rPr>
          <w:rFonts w:asciiTheme="minorHAnsi" w:hAnsiTheme="minorHAnsi"/>
        </w:rPr>
        <w:t xml:space="preserve"> do not apply with resp</w:t>
      </w:r>
      <w:r w:rsidR="00DC0A2C">
        <w:rPr>
          <w:rFonts w:asciiTheme="minorHAnsi" w:hAnsiTheme="minorHAnsi"/>
        </w:rPr>
        <w:t>ect to these FSS applications.</w:t>
      </w:r>
    </w:p>
    <w:p w:rsidR="001F4F32" w:rsidRPr="001F4F32" w:rsidRDefault="001F4F32" w:rsidP="001F4F32">
      <w:pPr>
        <w:pStyle w:val="BodyText"/>
        <w:numPr>
          <w:ilvl w:val="0"/>
          <w:numId w:val="6"/>
        </w:numPr>
        <w:tabs>
          <w:tab w:val="num" w:pos="360"/>
        </w:tabs>
        <w:spacing w:before="120"/>
        <w:ind w:left="720"/>
        <w:jc w:val="both"/>
        <w:rPr>
          <w:rFonts w:asciiTheme="minorHAnsi" w:hAnsiTheme="minorHAnsi"/>
        </w:rPr>
      </w:pPr>
      <w:r w:rsidRPr="001F4F32">
        <w:rPr>
          <w:rFonts w:asciiTheme="minorHAnsi" w:hAnsiTheme="minorHAnsi"/>
          <w:lang w:eastAsia="ko-KR"/>
        </w:rPr>
        <w:lastRenderedPageBreak/>
        <w:t xml:space="preserve">Abrogation of the allocation to the fixed satellite service (space-to-Earth) in the band 15.43 – 15.63 GHz following the modification of No. </w:t>
      </w:r>
      <w:r w:rsidRPr="001F4F32">
        <w:rPr>
          <w:rFonts w:asciiTheme="minorHAnsi" w:hAnsiTheme="minorHAnsi"/>
          <w:b/>
          <w:bCs/>
          <w:lang w:eastAsia="ko-KR"/>
        </w:rPr>
        <w:t>5.511A</w:t>
      </w:r>
      <w:r w:rsidRPr="001F4F32">
        <w:rPr>
          <w:rFonts w:asciiTheme="minorHAnsi" w:hAnsiTheme="minorHAnsi"/>
          <w:lang w:eastAsia="ko-KR"/>
        </w:rPr>
        <w:t>. As a result,</w:t>
      </w:r>
      <w:r w:rsidRPr="001F4F32">
        <w:rPr>
          <w:rFonts w:asciiTheme="minorHAnsi" w:hAnsiTheme="minorHAnsi"/>
        </w:rPr>
        <w:t xml:space="preserve"> the band ceases to </w:t>
      </w:r>
      <w:proofErr w:type="gramStart"/>
      <w:r w:rsidRPr="001F4F32">
        <w:rPr>
          <w:rFonts w:asciiTheme="minorHAnsi" w:hAnsiTheme="minorHAnsi"/>
        </w:rPr>
        <w:t>be shared</w:t>
      </w:r>
      <w:proofErr w:type="gramEnd"/>
      <w:r w:rsidRPr="001F4F32">
        <w:rPr>
          <w:rFonts w:asciiTheme="minorHAnsi" w:hAnsiTheme="minorHAnsi"/>
        </w:rPr>
        <w:t xml:space="preserve"> between space and terrestrial services with consequential implications for coordination of terrestrial services</w:t>
      </w:r>
      <w:r w:rsidRPr="001F4F32">
        <w:rPr>
          <w:rFonts w:asciiTheme="minorHAnsi" w:hAnsiTheme="minorHAnsi"/>
          <w:lang w:eastAsia="ko-KR"/>
        </w:rPr>
        <w:t>.</w:t>
      </w:r>
    </w:p>
    <w:p w:rsidR="001F4F32" w:rsidRPr="001F4F32" w:rsidRDefault="001F4F32" w:rsidP="00DC0A2C">
      <w:pPr>
        <w:pStyle w:val="BodyText"/>
        <w:numPr>
          <w:ilvl w:val="0"/>
          <w:numId w:val="6"/>
        </w:numPr>
        <w:tabs>
          <w:tab w:val="num" w:pos="360"/>
        </w:tabs>
        <w:spacing w:before="120"/>
        <w:ind w:left="720"/>
        <w:jc w:val="both"/>
        <w:rPr>
          <w:rFonts w:asciiTheme="minorHAnsi" w:hAnsiTheme="minorHAnsi"/>
        </w:rPr>
      </w:pPr>
      <w:r w:rsidRPr="001F4F32">
        <w:rPr>
          <w:rFonts w:asciiTheme="minorHAnsi" w:hAnsiTheme="minorHAnsi"/>
          <w:lang w:eastAsia="ko-KR"/>
        </w:rPr>
        <w:t xml:space="preserve">Abrogation of the allocation to the fixed satellite service in the bands 15.4–15.43 GHz and 15.63–15.7 GHz following the suppression of No. </w:t>
      </w:r>
      <w:r w:rsidRPr="001F4F32">
        <w:rPr>
          <w:rFonts w:asciiTheme="minorHAnsi" w:hAnsiTheme="minorHAnsi"/>
          <w:b/>
          <w:bCs/>
          <w:lang w:eastAsia="ko-KR"/>
        </w:rPr>
        <w:t>5.511D</w:t>
      </w:r>
      <w:r w:rsidRPr="001F4F32">
        <w:rPr>
          <w:rFonts w:asciiTheme="minorHAnsi" w:hAnsiTheme="minorHAnsi"/>
          <w:lang w:eastAsia="ko-KR"/>
        </w:rPr>
        <w:t>. As a result,</w:t>
      </w:r>
      <w:r w:rsidRPr="001F4F32">
        <w:rPr>
          <w:rFonts w:asciiTheme="minorHAnsi" w:hAnsiTheme="minorHAnsi"/>
        </w:rPr>
        <w:t xml:space="preserve"> the bands ceases to </w:t>
      </w:r>
      <w:proofErr w:type="gramStart"/>
      <w:r w:rsidRPr="001F4F32">
        <w:rPr>
          <w:rFonts w:asciiTheme="minorHAnsi" w:hAnsiTheme="minorHAnsi"/>
        </w:rPr>
        <w:t>be shared</w:t>
      </w:r>
      <w:proofErr w:type="gramEnd"/>
      <w:r w:rsidRPr="001F4F32">
        <w:rPr>
          <w:rFonts w:asciiTheme="minorHAnsi" w:hAnsiTheme="minorHAnsi"/>
        </w:rPr>
        <w:t xml:space="preserve"> between space and terrestrial services with consequential implications for coordination of terrestrial services</w:t>
      </w:r>
      <w:r w:rsidRPr="001F4F32">
        <w:rPr>
          <w:rFonts w:asciiTheme="minorHAnsi" w:hAnsiTheme="minorHAnsi"/>
          <w:lang w:eastAsia="ko-KR"/>
        </w:rPr>
        <w:t>.</w:t>
      </w:r>
    </w:p>
    <w:p w:rsidR="001F4F32" w:rsidRPr="001F4F32" w:rsidRDefault="001F4F32" w:rsidP="00917434">
      <w:pPr>
        <w:pStyle w:val="BodyText"/>
        <w:spacing w:before="120"/>
        <w:jc w:val="both"/>
        <w:rPr>
          <w:rFonts w:asciiTheme="minorHAnsi" w:hAnsiTheme="minorHAnsi"/>
        </w:rPr>
      </w:pPr>
      <w:r w:rsidRPr="001F4F32">
        <w:rPr>
          <w:rFonts w:asciiTheme="minorHAnsi" w:hAnsiTheme="minorHAnsi"/>
        </w:rPr>
        <w:t>3.5</w:t>
      </w:r>
      <w:r w:rsidRPr="001F4F32">
        <w:rPr>
          <w:rFonts w:asciiTheme="minorHAnsi" w:hAnsiTheme="minorHAnsi"/>
        </w:rPr>
        <w:tab/>
        <w:t xml:space="preserve">WRC-15 modified provisions Nos. </w:t>
      </w:r>
      <w:r w:rsidRPr="001F4F32">
        <w:rPr>
          <w:rFonts w:asciiTheme="minorHAnsi" w:hAnsiTheme="minorHAnsi"/>
          <w:b/>
          <w:bCs/>
        </w:rPr>
        <w:t>9.47</w:t>
      </w:r>
      <w:r w:rsidRPr="001F4F32">
        <w:rPr>
          <w:rFonts w:asciiTheme="minorHAnsi" w:hAnsiTheme="minorHAnsi"/>
        </w:rPr>
        <w:t xml:space="preserve"> and </w:t>
      </w:r>
      <w:r w:rsidRPr="001F4F32">
        <w:rPr>
          <w:rFonts w:asciiTheme="minorHAnsi" w:hAnsiTheme="minorHAnsi"/>
          <w:b/>
          <w:bCs/>
        </w:rPr>
        <w:t>9.62</w:t>
      </w:r>
      <w:r w:rsidRPr="001F4F32">
        <w:rPr>
          <w:rFonts w:asciiTheme="minorHAnsi" w:hAnsiTheme="minorHAnsi"/>
        </w:rPr>
        <w:t xml:space="preserve"> related to coordination procedures of Article </w:t>
      </w:r>
      <w:r w:rsidRPr="001F4F32">
        <w:rPr>
          <w:rFonts w:asciiTheme="minorHAnsi" w:hAnsiTheme="minorHAnsi"/>
          <w:b/>
          <w:bCs/>
        </w:rPr>
        <w:t>9</w:t>
      </w:r>
      <w:r w:rsidRPr="001F4F32">
        <w:rPr>
          <w:rFonts w:asciiTheme="minorHAnsi" w:hAnsiTheme="minorHAnsi"/>
        </w:rPr>
        <w:t xml:space="preserve"> by introduction of an additional reminder in case of no reply. Administrations are invited to </w:t>
      </w:r>
      <w:proofErr w:type="gramStart"/>
      <w:r w:rsidRPr="001F4F32">
        <w:rPr>
          <w:rFonts w:asciiTheme="minorHAnsi" w:hAnsiTheme="minorHAnsi"/>
        </w:rPr>
        <w:t>take these changes into account</w:t>
      </w:r>
      <w:proofErr w:type="gramEnd"/>
      <w:r w:rsidRPr="001F4F32">
        <w:rPr>
          <w:rFonts w:asciiTheme="minorHAnsi" w:hAnsiTheme="minorHAnsi"/>
        </w:rPr>
        <w:t xml:space="preserve"> in their relevant coordination activities.</w:t>
      </w:r>
    </w:p>
    <w:p w:rsidR="001F4F32" w:rsidRPr="001F4F32" w:rsidRDefault="001F4F32" w:rsidP="00917434">
      <w:pPr>
        <w:pStyle w:val="BodyText"/>
        <w:spacing w:before="120"/>
        <w:jc w:val="both"/>
        <w:rPr>
          <w:rFonts w:asciiTheme="minorHAnsi" w:hAnsiTheme="minorHAnsi"/>
        </w:rPr>
      </w:pPr>
      <w:r w:rsidRPr="001F4F32">
        <w:rPr>
          <w:rFonts w:asciiTheme="minorHAnsi" w:hAnsiTheme="minorHAnsi"/>
        </w:rPr>
        <w:t>3.6</w:t>
      </w:r>
      <w:r w:rsidRPr="001F4F32">
        <w:rPr>
          <w:rFonts w:asciiTheme="minorHAnsi" w:hAnsiTheme="minorHAnsi"/>
        </w:rPr>
        <w:tab/>
        <w:t>WRC-15 reviewed the d</w:t>
      </w:r>
      <w:r w:rsidRPr="001F4F32">
        <w:rPr>
          <w:rFonts w:asciiTheme="minorHAnsi" w:eastAsiaTheme="minorHAnsi" w:hAnsiTheme="minorHAnsi" w:cstheme="majorBidi"/>
          <w:color w:val="000000"/>
        </w:rPr>
        <w:t xml:space="preserve">escription of data items </w:t>
      </w:r>
      <w:r w:rsidRPr="001F4F32">
        <w:rPr>
          <w:rFonts w:asciiTheme="minorHAnsi" w:eastAsiaTheme="minorHAnsi" w:hAnsiTheme="minorHAnsi" w:cstheme="majorBidi"/>
          <w:b/>
          <w:bCs/>
          <w:color w:val="000000"/>
        </w:rPr>
        <w:t>1EO</w:t>
      </w:r>
      <w:r w:rsidRPr="001F4F32">
        <w:rPr>
          <w:rFonts w:asciiTheme="minorHAnsi" w:eastAsiaTheme="minorHAnsi" w:hAnsiTheme="minorHAnsi" w:cstheme="majorBidi"/>
          <w:color w:val="000000"/>
        </w:rPr>
        <w:t xml:space="preserve"> (1.5.10.1 – the frequency offset), </w:t>
      </w:r>
      <w:r w:rsidRPr="001F4F32">
        <w:rPr>
          <w:rFonts w:asciiTheme="minorHAnsi" w:eastAsiaTheme="minorHAnsi" w:hAnsiTheme="minorHAnsi" w:cstheme="majorBidi"/>
          <w:b/>
          <w:bCs/>
          <w:color w:val="000000"/>
        </w:rPr>
        <w:t>7A</w:t>
      </w:r>
      <w:r w:rsidRPr="001F4F32">
        <w:rPr>
          <w:rFonts w:asciiTheme="minorHAnsi" w:eastAsiaTheme="minorHAnsi" w:hAnsiTheme="minorHAnsi" w:cstheme="majorBidi"/>
          <w:color w:val="000000"/>
        </w:rPr>
        <w:t xml:space="preserve"> (7.1 – the class of emission) and </w:t>
      </w:r>
      <w:r w:rsidRPr="001F4F32">
        <w:rPr>
          <w:rFonts w:asciiTheme="minorHAnsi" w:eastAsiaTheme="minorHAnsi" w:hAnsiTheme="minorHAnsi" w:cstheme="majorBidi"/>
          <w:b/>
          <w:bCs/>
          <w:color w:val="000000"/>
        </w:rPr>
        <w:t>7AB</w:t>
      </w:r>
      <w:r w:rsidRPr="001F4F32">
        <w:rPr>
          <w:rFonts w:asciiTheme="minorHAnsi" w:eastAsiaTheme="minorHAnsi" w:hAnsiTheme="minorHAnsi" w:cstheme="majorBidi"/>
          <w:color w:val="000000"/>
        </w:rPr>
        <w:t xml:space="preserve"> (7.2- the necessary bandwidth) contained in</w:t>
      </w:r>
      <w:r w:rsidRPr="001F4F32">
        <w:rPr>
          <w:rFonts w:asciiTheme="minorHAnsi" w:eastAsiaTheme="minorHAnsi" w:hAnsiTheme="minorHAnsi" w:cstheme="majorBidi"/>
          <w:b/>
          <w:color w:val="000000"/>
        </w:rPr>
        <w:t xml:space="preserve"> </w:t>
      </w:r>
      <w:r w:rsidRPr="001F4F32">
        <w:rPr>
          <w:rFonts w:asciiTheme="minorHAnsi" w:hAnsiTheme="minorHAnsi"/>
        </w:rPr>
        <w:t>Table</w:t>
      </w:r>
      <w:r w:rsidRPr="001F4F32">
        <w:rPr>
          <w:rFonts w:asciiTheme="minorHAnsi" w:hAnsiTheme="minorHAnsi"/>
          <w:w w:val="110"/>
        </w:rPr>
        <w:t xml:space="preserve"> </w:t>
      </w:r>
      <w:r w:rsidRPr="001F4F32">
        <w:rPr>
          <w:rFonts w:asciiTheme="minorHAnsi" w:hAnsiTheme="minorHAnsi"/>
        </w:rPr>
        <w:t xml:space="preserve">1 (Characteristics for terrestrial services) of Appendix </w:t>
      </w:r>
      <w:r w:rsidRPr="001F4F32">
        <w:rPr>
          <w:rFonts w:asciiTheme="minorHAnsi" w:hAnsiTheme="minorHAnsi"/>
          <w:b/>
          <w:bCs/>
        </w:rPr>
        <w:t>4</w:t>
      </w:r>
      <w:r w:rsidRPr="001F4F32">
        <w:rPr>
          <w:rFonts w:asciiTheme="minorHAnsi" w:hAnsiTheme="minorHAnsi"/>
        </w:rPr>
        <w:t xml:space="preserve">. These data items, which were previously required for notification only in the GE06 planning area and bands, become mandatory for notifications under provisions Nos. </w:t>
      </w:r>
      <w:r w:rsidRPr="001F4F32">
        <w:rPr>
          <w:rFonts w:asciiTheme="minorHAnsi" w:hAnsiTheme="minorHAnsi"/>
          <w:b/>
          <w:bCs/>
        </w:rPr>
        <w:t>11.2</w:t>
      </w:r>
      <w:r w:rsidRPr="001F4F32">
        <w:rPr>
          <w:rFonts w:asciiTheme="minorHAnsi" w:hAnsiTheme="minorHAnsi"/>
        </w:rPr>
        <w:t xml:space="preserve"> and </w:t>
      </w:r>
      <w:r w:rsidRPr="001F4F32">
        <w:rPr>
          <w:rFonts w:asciiTheme="minorHAnsi" w:hAnsiTheme="minorHAnsi"/>
          <w:b/>
          <w:bCs/>
        </w:rPr>
        <w:t>9.21</w:t>
      </w:r>
      <w:r w:rsidRPr="001F4F32">
        <w:rPr>
          <w:rFonts w:asciiTheme="minorHAnsi" w:hAnsiTheme="minorHAnsi"/>
        </w:rPr>
        <w:t xml:space="preserve"> also in the countries and bands outside the GE06 Agreement. </w:t>
      </w:r>
    </w:p>
    <w:p w:rsidR="001F4F32" w:rsidRPr="001F4F32" w:rsidRDefault="001F4F32" w:rsidP="00917434">
      <w:pPr>
        <w:pStyle w:val="BodyText"/>
        <w:spacing w:before="120"/>
        <w:jc w:val="both"/>
        <w:rPr>
          <w:rFonts w:asciiTheme="minorHAnsi" w:hAnsiTheme="minorHAnsi"/>
        </w:rPr>
      </w:pPr>
      <w:proofErr w:type="gramStart"/>
      <w:r w:rsidRPr="00917434">
        <w:rPr>
          <w:rFonts w:asciiTheme="minorHAnsi" w:hAnsiTheme="minorHAnsi"/>
          <w:b/>
          <w:bCs/>
        </w:rPr>
        <w:t>4</w:t>
      </w:r>
      <w:r w:rsidRPr="001F4F32">
        <w:rPr>
          <w:rFonts w:asciiTheme="minorHAnsi" w:hAnsiTheme="minorHAnsi"/>
        </w:rPr>
        <w:tab/>
        <w:t xml:space="preserve">With respect to Resolution </w:t>
      </w:r>
      <w:r w:rsidRPr="001F4F32">
        <w:rPr>
          <w:rFonts w:asciiTheme="minorHAnsi" w:hAnsiTheme="minorHAnsi"/>
          <w:b/>
          <w:bCs/>
        </w:rPr>
        <w:t>809 (WRC-15)</w:t>
      </w:r>
      <w:r w:rsidRPr="001F4F32">
        <w:rPr>
          <w:rFonts w:asciiTheme="minorHAnsi" w:hAnsiTheme="minorHAnsi"/>
        </w:rPr>
        <w:t xml:space="preserve">, dealing with the agenda for the 2019 World Radiocommunication Conference and Resolution </w:t>
      </w:r>
      <w:r w:rsidRPr="001F4F32">
        <w:rPr>
          <w:rFonts w:asciiTheme="minorHAnsi" w:hAnsiTheme="minorHAnsi"/>
          <w:b/>
          <w:bCs/>
        </w:rPr>
        <w:t>810 (WRC-15)</w:t>
      </w:r>
      <w:r w:rsidRPr="001F4F32">
        <w:rPr>
          <w:rFonts w:asciiTheme="minorHAnsi" w:hAnsiTheme="minorHAnsi"/>
        </w:rPr>
        <w:t>, dealing with the preliminary agenda for the 2023 World Radiocommunication Conference,</w:t>
      </w:r>
      <w:r w:rsidRPr="001F4F32">
        <w:rPr>
          <w:rFonts w:asciiTheme="minorHAnsi" w:hAnsiTheme="minorHAnsi"/>
          <w:i/>
          <w:iCs/>
        </w:rPr>
        <w:t xml:space="preserve"> </w:t>
      </w:r>
      <w:r w:rsidRPr="001F4F32">
        <w:rPr>
          <w:rFonts w:asciiTheme="minorHAnsi" w:hAnsiTheme="minorHAnsi"/>
        </w:rPr>
        <w:t xml:space="preserve">in accordance with standard practices, the necessary preparatory actions have been initiated and the results of the first session of the 2019 Conference Preparatory Meeting (CPM19-1) have been dispatched to the membership (see Administrative Circular </w:t>
      </w:r>
      <w:r w:rsidRPr="001F4F32">
        <w:rPr>
          <w:rFonts w:asciiTheme="minorHAnsi" w:hAnsiTheme="minorHAnsi"/>
          <w:b/>
          <w:bCs/>
        </w:rPr>
        <w:t>CA/226</w:t>
      </w:r>
      <w:r w:rsidRPr="001F4F32">
        <w:rPr>
          <w:rFonts w:asciiTheme="minorHAnsi" w:hAnsiTheme="minorHAnsi"/>
        </w:rPr>
        <w:t xml:space="preserve"> of 23 December 2015).</w:t>
      </w:r>
      <w:proofErr w:type="gramEnd"/>
    </w:p>
    <w:p w:rsidR="001F4F32" w:rsidRPr="001F4F32" w:rsidRDefault="001F4F32" w:rsidP="001F4F32">
      <w:pPr>
        <w:tabs>
          <w:tab w:val="clear" w:pos="794"/>
          <w:tab w:val="clear" w:pos="1191"/>
          <w:tab w:val="clear" w:pos="1588"/>
          <w:tab w:val="clear" w:pos="1985"/>
          <w:tab w:val="left" w:pos="0"/>
        </w:tabs>
        <w:rPr>
          <w:rFonts w:asciiTheme="minorHAnsi" w:hAnsiTheme="minorHAnsi"/>
          <w:szCs w:val="24"/>
        </w:rPr>
      </w:pPr>
      <w:r w:rsidRPr="00917434">
        <w:rPr>
          <w:rFonts w:asciiTheme="minorHAnsi" w:hAnsiTheme="minorHAnsi"/>
          <w:b/>
          <w:bCs/>
          <w:szCs w:val="24"/>
        </w:rPr>
        <w:t>5</w:t>
      </w:r>
      <w:r w:rsidRPr="001F4F32">
        <w:rPr>
          <w:rFonts w:asciiTheme="minorHAnsi" w:hAnsiTheme="minorHAnsi"/>
          <w:szCs w:val="24"/>
        </w:rPr>
        <w:tab/>
        <w:t xml:space="preserve">Finally, I wish to draw your attention to the provisions of Article </w:t>
      </w:r>
      <w:r w:rsidRPr="001F4F32">
        <w:rPr>
          <w:rFonts w:asciiTheme="minorHAnsi" w:hAnsiTheme="minorHAnsi"/>
          <w:b/>
          <w:bCs/>
          <w:szCs w:val="24"/>
        </w:rPr>
        <w:t>54</w:t>
      </w:r>
      <w:r w:rsidRPr="001F4F32">
        <w:rPr>
          <w:rFonts w:asciiTheme="minorHAnsi" w:hAnsiTheme="minorHAnsi"/>
          <w:szCs w:val="24"/>
        </w:rPr>
        <w:t xml:space="preserve"> of the Constitution, which invites the Member States to notify</w:t>
      </w:r>
      <w:bookmarkStart w:id="1" w:name="_GoBack"/>
      <w:bookmarkEnd w:id="1"/>
      <w:r w:rsidRPr="001F4F32">
        <w:rPr>
          <w:rFonts w:asciiTheme="minorHAnsi" w:hAnsiTheme="minorHAnsi"/>
          <w:szCs w:val="24"/>
        </w:rPr>
        <w:t xml:space="preserve"> the Secretary-General of their consent to </w:t>
      </w:r>
      <w:proofErr w:type="gramStart"/>
      <w:r w:rsidRPr="001F4F32">
        <w:rPr>
          <w:rFonts w:asciiTheme="minorHAnsi" w:hAnsiTheme="minorHAnsi"/>
          <w:szCs w:val="24"/>
        </w:rPr>
        <w:t>be bound</w:t>
      </w:r>
      <w:proofErr w:type="gramEnd"/>
      <w:r w:rsidRPr="001F4F32">
        <w:rPr>
          <w:rFonts w:asciiTheme="minorHAnsi" w:hAnsiTheme="minorHAnsi"/>
          <w:szCs w:val="24"/>
        </w:rPr>
        <w:t xml:space="preserve"> by the revisions of the Radio Regulations. </w:t>
      </w:r>
    </w:p>
    <w:p w:rsidR="001F4F32" w:rsidRPr="001F4F32" w:rsidRDefault="001F4F32" w:rsidP="001F4F32">
      <w:pPr>
        <w:tabs>
          <w:tab w:val="clear" w:pos="794"/>
          <w:tab w:val="clear" w:pos="1191"/>
          <w:tab w:val="clear" w:pos="1588"/>
          <w:tab w:val="clear" w:pos="1985"/>
          <w:tab w:val="left" w:pos="0"/>
        </w:tabs>
        <w:rPr>
          <w:rFonts w:asciiTheme="minorHAnsi" w:hAnsiTheme="minorHAnsi"/>
          <w:szCs w:val="24"/>
        </w:rPr>
      </w:pPr>
      <w:r w:rsidRPr="00917434">
        <w:rPr>
          <w:rFonts w:asciiTheme="minorHAnsi" w:hAnsiTheme="minorHAnsi"/>
          <w:b/>
          <w:bCs/>
          <w:szCs w:val="24"/>
        </w:rPr>
        <w:t>6</w:t>
      </w:r>
      <w:r w:rsidRPr="001F4F32">
        <w:rPr>
          <w:rFonts w:asciiTheme="minorHAnsi" w:hAnsiTheme="minorHAnsi"/>
          <w:szCs w:val="24"/>
        </w:rPr>
        <w:tab/>
        <w:t>The Bureau remains at the disposal of your Administration for any clarification you may require with respect to the subjects covered in this Circular Letter.</w:t>
      </w:r>
    </w:p>
    <w:p w:rsidR="001F1843" w:rsidRDefault="001F1843" w:rsidP="00DD424B">
      <w:pPr>
        <w:rPr>
          <w:rFonts w:asciiTheme="minorHAnsi" w:hAnsiTheme="minorHAnsi"/>
          <w:szCs w:val="24"/>
          <w:lang w:val="en-GB"/>
        </w:rPr>
      </w:pPr>
    </w:p>
    <w:p w:rsidR="00D746C8" w:rsidRPr="00D746C8" w:rsidRDefault="00D746C8" w:rsidP="00DD424B">
      <w:pPr>
        <w:rPr>
          <w:rFonts w:asciiTheme="minorHAnsi" w:hAnsiTheme="minorHAnsi"/>
          <w:szCs w:val="24"/>
          <w:lang w:val="fr-CH"/>
        </w:rPr>
      </w:pPr>
    </w:p>
    <w:p w:rsidR="001F1843" w:rsidRPr="00286CD3" w:rsidRDefault="001F1843" w:rsidP="00DD424B">
      <w:pPr>
        <w:rPr>
          <w:lang w:val="en-GB"/>
        </w:rPr>
      </w:pPr>
    </w:p>
    <w:p w:rsidR="00841B33" w:rsidRPr="00D746C8" w:rsidRDefault="00841B33" w:rsidP="00DD424B">
      <w:pPr>
        <w:jc w:val="left"/>
        <w:rPr>
          <w:lang w:val="fr-CH"/>
        </w:rPr>
      </w:pPr>
      <w:r w:rsidRPr="00D746C8">
        <w:rPr>
          <w:lang w:val="fr-CH"/>
        </w:rPr>
        <w:t>François Rancy</w:t>
      </w:r>
      <w:r w:rsidR="00EE5A42" w:rsidRPr="00D746C8">
        <w:rPr>
          <w:lang w:val="fr-CH"/>
        </w:rPr>
        <w:br/>
      </w:r>
      <w:proofErr w:type="spellStart"/>
      <w:r w:rsidRPr="00D746C8">
        <w:rPr>
          <w:lang w:val="fr-CH"/>
        </w:rPr>
        <w:t>Director</w:t>
      </w:r>
      <w:proofErr w:type="spellEnd"/>
    </w:p>
    <w:p w:rsidR="001F1843" w:rsidRPr="00D746C8" w:rsidRDefault="001F1843" w:rsidP="00DD424B">
      <w:pPr>
        <w:rPr>
          <w:lang w:val="fr-CH"/>
        </w:rPr>
      </w:pPr>
    </w:p>
    <w:p w:rsidR="001F1843" w:rsidRPr="00D746C8" w:rsidRDefault="001F1843" w:rsidP="00DD424B">
      <w:pPr>
        <w:rPr>
          <w:lang w:val="fr-CH"/>
        </w:rPr>
      </w:pPr>
    </w:p>
    <w:p w:rsidR="001F1843" w:rsidRPr="00D746C8" w:rsidRDefault="001F4F32" w:rsidP="00DD424B">
      <w:pPr>
        <w:rPr>
          <w:lang w:val="fr-CH"/>
        </w:rPr>
      </w:pPr>
      <w:r w:rsidRPr="00D746C8">
        <w:rPr>
          <w:lang w:val="fr-CH"/>
        </w:rPr>
        <w:t>Annexes: 2</w:t>
      </w:r>
    </w:p>
    <w:p w:rsidR="001F1843" w:rsidRPr="00D746C8" w:rsidRDefault="001F1843" w:rsidP="00DD424B">
      <w:pPr>
        <w:rPr>
          <w:lang w:val="fr-CH"/>
        </w:rPr>
      </w:pPr>
    </w:p>
    <w:p w:rsidR="00841B33" w:rsidRPr="00D746C8" w:rsidRDefault="00841B33" w:rsidP="00DD424B">
      <w:pPr>
        <w:pStyle w:val="toc0"/>
        <w:tabs>
          <w:tab w:val="left" w:pos="794"/>
          <w:tab w:val="left" w:pos="1191"/>
          <w:tab w:val="left" w:pos="1588"/>
          <w:tab w:val="left" w:pos="1985"/>
        </w:tabs>
        <w:spacing w:before="480"/>
        <w:ind w:left="28"/>
        <w:jc w:val="both"/>
        <w:rPr>
          <w:bCs/>
          <w:sz w:val="18"/>
          <w:szCs w:val="18"/>
          <w:u w:val="single"/>
          <w:lang w:val="fr-CH"/>
        </w:rPr>
      </w:pPr>
      <w:bookmarkStart w:id="2" w:name="ddistribution"/>
      <w:bookmarkEnd w:id="2"/>
      <w:r w:rsidRPr="00D746C8">
        <w:rPr>
          <w:bCs/>
          <w:sz w:val="18"/>
          <w:szCs w:val="18"/>
          <w:u w:val="single"/>
          <w:lang w:val="fr-CH"/>
        </w:rPr>
        <w:t>Distribution:</w:t>
      </w:r>
    </w:p>
    <w:p w:rsidR="001F4F32" w:rsidRPr="00917434" w:rsidRDefault="00917434" w:rsidP="00917434">
      <w:pPr>
        <w:pStyle w:val="enumlev1"/>
        <w:tabs>
          <w:tab w:val="clear" w:pos="794"/>
          <w:tab w:val="left" w:pos="426"/>
        </w:tabs>
        <w:ind w:left="84" w:firstLine="0"/>
        <w:jc w:val="left"/>
        <w:rPr>
          <w:sz w:val="18"/>
          <w:szCs w:val="18"/>
          <w:lang w:val="en-GB"/>
        </w:rPr>
      </w:pPr>
      <w:r>
        <w:rPr>
          <w:sz w:val="18"/>
          <w:szCs w:val="18"/>
          <w:lang w:val="en-GB"/>
        </w:rPr>
        <w:t>-</w:t>
      </w:r>
      <w:r>
        <w:rPr>
          <w:sz w:val="18"/>
          <w:szCs w:val="18"/>
          <w:lang w:val="en-GB"/>
        </w:rPr>
        <w:tab/>
      </w:r>
      <w:r w:rsidR="00841B33" w:rsidRPr="00917434">
        <w:rPr>
          <w:sz w:val="18"/>
          <w:szCs w:val="18"/>
          <w:lang w:val="en-GB"/>
        </w:rPr>
        <w:t>Administrations of Member States of ITU</w:t>
      </w:r>
      <w:r w:rsidRPr="00917434">
        <w:rPr>
          <w:sz w:val="18"/>
          <w:szCs w:val="18"/>
          <w:lang w:val="en-GB"/>
        </w:rPr>
        <w:br/>
      </w:r>
      <w:r>
        <w:rPr>
          <w:sz w:val="18"/>
          <w:szCs w:val="18"/>
          <w:lang w:val="en-GB"/>
        </w:rPr>
        <w:t>-</w:t>
      </w:r>
      <w:r>
        <w:rPr>
          <w:sz w:val="18"/>
          <w:szCs w:val="18"/>
          <w:lang w:val="en-GB"/>
        </w:rPr>
        <w:tab/>
      </w:r>
      <w:r w:rsidR="0043543A" w:rsidRPr="00917434">
        <w:rPr>
          <w:sz w:val="18"/>
          <w:szCs w:val="18"/>
          <w:lang w:val="en-GB"/>
        </w:rPr>
        <w:t>Members of the Radio Regulations Boa</w:t>
      </w:r>
      <w:r w:rsidR="00F851B0" w:rsidRPr="00917434">
        <w:rPr>
          <w:sz w:val="18"/>
          <w:szCs w:val="18"/>
          <w:lang w:val="en-GB"/>
        </w:rPr>
        <w:t>rd</w:t>
      </w:r>
      <w:r w:rsidR="001F4F32" w:rsidRPr="00917434">
        <w:rPr>
          <w:sz w:val="18"/>
          <w:szCs w:val="18"/>
          <w:lang w:val="en-GB"/>
        </w:rPr>
        <w:br w:type="page"/>
      </w:r>
    </w:p>
    <w:p w:rsidR="00DC0A2C" w:rsidRPr="00EC4E10" w:rsidRDefault="00DC0A2C" w:rsidP="00DC0A2C">
      <w:pPr>
        <w:pStyle w:val="AnnexNotitle0"/>
        <w:spacing w:after="80"/>
        <w:rPr>
          <w:rFonts w:asciiTheme="minorHAnsi" w:hAnsiTheme="minorHAnsi"/>
        </w:rPr>
      </w:pPr>
      <w:r w:rsidRPr="00EC4E10">
        <w:rPr>
          <w:rFonts w:asciiTheme="minorHAnsi" w:hAnsiTheme="minorHAnsi"/>
          <w:b w:val="0"/>
          <w:bCs/>
        </w:rPr>
        <w:lastRenderedPageBreak/>
        <w:t>ANNEX 1</w:t>
      </w:r>
    </w:p>
    <w:p w:rsidR="00DC0A2C" w:rsidRPr="00EC4E10" w:rsidRDefault="00DC0A2C" w:rsidP="00DC0A2C">
      <w:pPr>
        <w:pStyle w:val="AnnexNotitle0"/>
        <w:spacing w:before="240"/>
        <w:rPr>
          <w:rFonts w:asciiTheme="minorHAnsi" w:hAnsiTheme="minorHAnsi"/>
        </w:rPr>
      </w:pPr>
      <w:r w:rsidRPr="00EC4E10">
        <w:rPr>
          <w:rFonts w:asciiTheme="minorHAnsi" w:hAnsiTheme="minorHAnsi"/>
        </w:rPr>
        <w:t xml:space="preserve">Table of correspondence between provisional and final numbers for </w:t>
      </w:r>
      <w:r w:rsidRPr="00EC4E10">
        <w:rPr>
          <w:rFonts w:asciiTheme="minorHAnsi" w:hAnsiTheme="minorHAnsi"/>
        </w:rPr>
        <w:br/>
        <w:t>new WRC-15 Resolutions and Recommendations</w:t>
      </w:r>
      <w:r w:rsidRPr="00EC4E10">
        <w:rPr>
          <w:rFonts w:asciiTheme="minorHAnsi" w:hAnsiTheme="minorHAnsi"/>
        </w:rPr>
        <w:br/>
      </w:r>
    </w:p>
    <w:p w:rsidR="00DC0A2C" w:rsidRDefault="00DC0A2C" w:rsidP="00DC0A2C">
      <w:pPr>
        <w:rPr>
          <w:rFonts w:asciiTheme="minorHAnsi" w:hAnsiTheme="minorHAnsi"/>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DC0A2C" w:rsidRPr="005D4395" w:rsidTr="009C253A">
        <w:trPr>
          <w:jc w:val="center"/>
        </w:trPr>
        <w:tc>
          <w:tcPr>
            <w:tcW w:w="1526" w:type="dxa"/>
          </w:tcPr>
          <w:p w:rsidR="00DC0A2C" w:rsidRPr="00B22D3D" w:rsidRDefault="00DC0A2C" w:rsidP="009C253A">
            <w:pPr>
              <w:pStyle w:val="Tablehead"/>
              <w:tabs>
                <w:tab w:val="left" w:pos="1588"/>
              </w:tabs>
              <w:rPr>
                <w:rFonts w:asciiTheme="minorHAnsi" w:hAnsiTheme="minorHAnsi"/>
              </w:rPr>
            </w:pPr>
            <w:r w:rsidRPr="00B22D3D">
              <w:rPr>
                <w:rFonts w:asciiTheme="minorHAnsi" w:hAnsiTheme="minorHAnsi"/>
              </w:rPr>
              <w:t xml:space="preserve"> Provisional No.</w:t>
            </w:r>
          </w:p>
        </w:tc>
        <w:tc>
          <w:tcPr>
            <w:tcW w:w="1758" w:type="dxa"/>
          </w:tcPr>
          <w:p w:rsidR="00DC0A2C" w:rsidRPr="00B22D3D" w:rsidRDefault="00DC0A2C" w:rsidP="009C253A">
            <w:pPr>
              <w:pStyle w:val="Tablehead"/>
              <w:tabs>
                <w:tab w:val="left" w:pos="1588"/>
              </w:tabs>
              <w:rPr>
                <w:rFonts w:asciiTheme="minorHAnsi" w:hAnsiTheme="minorHAnsi"/>
              </w:rPr>
            </w:pPr>
            <w:r w:rsidRPr="00B22D3D">
              <w:rPr>
                <w:rFonts w:asciiTheme="minorHAnsi" w:hAnsiTheme="minorHAnsi"/>
              </w:rPr>
              <w:t xml:space="preserve"> Final No.</w:t>
            </w:r>
          </w:p>
        </w:tc>
        <w:tc>
          <w:tcPr>
            <w:tcW w:w="1502" w:type="dxa"/>
          </w:tcPr>
          <w:p w:rsidR="00DC0A2C" w:rsidRPr="00B22D3D" w:rsidRDefault="00DC0A2C" w:rsidP="009C253A">
            <w:pPr>
              <w:pStyle w:val="Tablehead"/>
              <w:tabs>
                <w:tab w:val="left" w:pos="1588"/>
              </w:tabs>
              <w:rPr>
                <w:rFonts w:asciiTheme="minorHAnsi" w:hAnsiTheme="minorHAnsi"/>
              </w:rPr>
            </w:pPr>
            <w:r w:rsidRPr="00B22D3D">
              <w:rPr>
                <w:rFonts w:asciiTheme="minorHAnsi" w:hAnsiTheme="minorHAnsi"/>
              </w:rPr>
              <w:t xml:space="preserve"> Provisional No.</w:t>
            </w:r>
          </w:p>
        </w:tc>
        <w:tc>
          <w:tcPr>
            <w:tcW w:w="1783" w:type="dxa"/>
          </w:tcPr>
          <w:p w:rsidR="00DC0A2C" w:rsidRPr="00B22D3D" w:rsidRDefault="00DC0A2C" w:rsidP="009C253A">
            <w:pPr>
              <w:pStyle w:val="Tablehead"/>
              <w:tabs>
                <w:tab w:val="left" w:pos="1588"/>
              </w:tabs>
              <w:rPr>
                <w:rFonts w:asciiTheme="minorHAnsi" w:hAnsiTheme="minorHAnsi"/>
              </w:rPr>
            </w:pPr>
            <w:r w:rsidRPr="00B22D3D">
              <w:rPr>
                <w:rFonts w:asciiTheme="minorHAnsi" w:hAnsiTheme="minorHAnsi"/>
              </w:rPr>
              <w:t xml:space="preserve"> Final No.</w:t>
            </w:r>
          </w:p>
        </w:tc>
        <w:tc>
          <w:tcPr>
            <w:tcW w:w="1477" w:type="dxa"/>
          </w:tcPr>
          <w:p w:rsidR="00DC0A2C" w:rsidRPr="00B22D3D" w:rsidRDefault="00DC0A2C" w:rsidP="009C253A">
            <w:pPr>
              <w:pStyle w:val="Tablehead"/>
              <w:tabs>
                <w:tab w:val="left" w:pos="1588"/>
              </w:tabs>
              <w:rPr>
                <w:rFonts w:asciiTheme="minorHAnsi" w:hAnsiTheme="minorHAnsi"/>
              </w:rPr>
            </w:pPr>
            <w:r w:rsidRPr="00B22D3D">
              <w:rPr>
                <w:rFonts w:asciiTheme="minorHAnsi" w:hAnsiTheme="minorHAnsi"/>
              </w:rPr>
              <w:t xml:space="preserve"> Provisional No.</w:t>
            </w:r>
          </w:p>
        </w:tc>
        <w:tc>
          <w:tcPr>
            <w:tcW w:w="1809" w:type="dxa"/>
          </w:tcPr>
          <w:p w:rsidR="00DC0A2C" w:rsidRPr="00B22D3D" w:rsidRDefault="00DC0A2C" w:rsidP="009C253A">
            <w:pPr>
              <w:pStyle w:val="Tablehead"/>
              <w:tabs>
                <w:tab w:val="left" w:pos="1588"/>
              </w:tabs>
              <w:rPr>
                <w:rFonts w:asciiTheme="minorHAnsi" w:hAnsiTheme="minorHAnsi"/>
              </w:rPr>
            </w:pPr>
            <w:r w:rsidRPr="00B22D3D">
              <w:rPr>
                <w:rFonts w:asciiTheme="minorHAnsi" w:hAnsiTheme="minorHAnsi"/>
              </w:rPr>
              <w:t xml:space="preserve"> Final No.</w:t>
            </w:r>
          </w:p>
        </w:tc>
      </w:tr>
      <w:tr w:rsidR="00DC0A2C" w:rsidRPr="005D4395" w:rsidTr="009C253A">
        <w:trPr>
          <w:jc w:val="center"/>
        </w:trPr>
        <w:tc>
          <w:tcPr>
            <w:tcW w:w="1526" w:type="dxa"/>
            <w:tcBorders>
              <w:bottom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COM4/1</w:t>
            </w:r>
          </w:p>
        </w:tc>
        <w:tc>
          <w:tcPr>
            <w:tcW w:w="1758" w:type="dxa"/>
            <w:tcBorders>
              <w:bottom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424</w:t>
            </w:r>
          </w:p>
        </w:tc>
        <w:tc>
          <w:tcPr>
            <w:tcW w:w="1502" w:type="dxa"/>
            <w:tcBorders>
              <w:bottom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COM5/8</w:t>
            </w:r>
          </w:p>
        </w:tc>
        <w:tc>
          <w:tcPr>
            <w:tcW w:w="1783" w:type="dxa"/>
            <w:tcBorders>
              <w:bottom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556</w:t>
            </w:r>
          </w:p>
        </w:tc>
        <w:tc>
          <w:tcPr>
            <w:tcW w:w="1477" w:type="dxa"/>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COM6/14</w:t>
            </w:r>
          </w:p>
        </w:tc>
        <w:tc>
          <w:tcPr>
            <w:tcW w:w="1809" w:type="dxa"/>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767</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425</w:t>
            </w:r>
          </w:p>
        </w:tc>
        <w:tc>
          <w:tcPr>
            <w:tcW w:w="1502" w:type="dxa"/>
            <w:tcBorders>
              <w:top w:val="single" w:sz="4" w:space="0" w:color="auto"/>
              <w:left w:val="single" w:sz="4" w:space="0" w:color="auto"/>
              <w:bottom w:val="single" w:sz="4" w:space="0" w:color="auto"/>
              <w:right w:val="single" w:sz="4" w:space="0" w:color="auto"/>
            </w:tcBorders>
            <w:shd w:val="clear" w:color="auto" w:fill="737373"/>
          </w:tcPr>
          <w:p w:rsidR="00DC0A2C" w:rsidRPr="00B22D3D" w:rsidRDefault="00DC0A2C" w:rsidP="009C253A">
            <w:pPr>
              <w:pStyle w:val="Tabletext"/>
              <w:tabs>
                <w:tab w:val="left" w:pos="1588"/>
              </w:tabs>
              <w:jc w:val="center"/>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shd w:val="clear" w:color="auto" w:fill="737373"/>
          </w:tcPr>
          <w:p w:rsidR="00DC0A2C" w:rsidRPr="00B22D3D" w:rsidRDefault="00DC0A2C" w:rsidP="009C253A">
            <w:pPr>
              <w:pStyle w:val="Tabletext"/>
              <w:tabs>
                <w:tab w:val="left" w:pos="1588"/>
              </w:tabs>
              <w:jc w:val="center"/>
              <w:rPr>
                <w:rFonts w:asciiTheme="minorHAnsi" w:hAnsiTheme="minorHAnsi"/>
              </w:rPr>
            </w:pPr>
          </w:p>
        </w:tc>
        <w:tc>
          <w:tcPr>
            <w:tcW w:w="1477" w:type="dxa"/>
            <w:tcBorders>
              <w:top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COM6/15</w:t>
            </w:r>
          </w:p>
        </w:tc>
        <w:tc>
          <w:tcPr>
            <w:tcW w:w="1809" w:type="dxa"/>
            <w:tcBorders>
              <w:top w:val="single" w:sz="4" w:space="0" w:color="auto"/>
              <w:left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958</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COM4/3</w:t>
            </w:r>
          </w:p>
        </w:tc>
        <w:tc>
          <w:tcPr>
            <w:tcW w:w="1758" w:type="dxa"/>
            <w:tcBorders>
              <w:top w:val="single" w:sz="4" w:space="0" w:color="auto"/>
              <w:left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759</w:t>
            </w:r>
          </w:p>
        </w:tc>
        <w:tc>
          <w:tcPr>
            <w:tcW w:w="1502" w:type="dxa"/>
            <w:tcBorders>
              <w:top w:val="single" w:sz="4" w:space="0" w:color="auto"/>
              <w:left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COM6/1</w:t>
            </w:r>
          </w:p>
        </w:tc>
        <w:tc>
          <w:tcPr>
            <w:tcW w:w="1783" w:type="dxa"/>
            <w:tcBorders>
              <w:top w:val="single" w:sz="4" w:space="0" w:color="auto"/>
              <w:left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764</w:t>
            </w:r>
          </w:p>
        </w:tc>
        <w:tc>
          <w:tcPr>
            <w:tcW w:w="1477" w:type="dxa"/>
            <w:tcBorders>
              <w:top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COM6/16</w:t>
            </w:r>
          </w:p>
        </w:tc>
        <w:tc>
          <w:tcPr>
            <w:tcW w:w="1809" w:type="dxa"/>
            <w:tcBorders>
              <w:top w:val="single" w:sz="4" w:space="0" w:color="auto"/>
              <w:left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809</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COM4/4</w:t>
            </w:r>
          </w:p>
        </w:tc>
        <w:tc>
          <w:tcPr>
            <w:tcW w:w="1758" w:type="dxa"/>
            <w:tcBorders>
              <w:top w:val="single" w:sz="4" w:space="0" w:color="auto"/>
              <w:left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760</w:t>
            </w:r>
          </w:p>
        </w:tc>
        <w:tc>
          <w:tcPr>
            <w:tcW w:w="1502" w:type="dxa"/>
            <w:tcBorders>
              <w:top w:val="single" w:sz="4" w:space="0" w:color="auto"/>
              <w:left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COM6/2</w:t>
            </w:r>
          </w:p>
        </w:tc>
        <w:tc>
          <w:tcPr>
            <w:tcW w:w="1783" w:type="dxa"/>
            <w:tcBorders>
              <w:top w:val="single" w:sz="4" w:space="0" w:color="auto"/>
              <w:left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810</w:t>
            </w:r>
          </w:p>
        </w:tc>
        <w:tc>
          <w:tcPr>
            <w:tcW w:w="1477" w:type="dxa"/>
            <w:tcBorders>
              <w:top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COM6/17</w:t>
            </w:r>
          </w:p>
        </w:tc>
        <w:tc>
          <w:tcPr>
            <w:tcW w:w="1809" w:type="dxa"/>
            <w:tcBorders>
              <w:top w:val="single" w:sz="4" w:space="0" w:color="auto"/>
              <w:left w:val="single" w:sz="4" w:space="0" w:color="auto"/>
              <w:bottom w:val="single" w:sz="4" w:space="0" w:color="auto"/>
              <w:right w:val="single" w:sz="4" w:space="0" w:color="auto"/>
            </w:tcBorders>
          </w:tcPr>
          <w:p w:rsidR="00DC0A2C" w:rsidRPr="00B22D3D" w:rsidRDefault="00DC0A2C" w:rsidP="009C253A">
            <w:pPr>
              <w:pStyle w:val="Tabletext"/>
              <w:tabs>
                <w:tab w:val="left" w:pos="1588"/>
              </w:tabs>
              <w:jc w:val="center"/>
              <w:rPr>
                <w:rFonts w:asciiTheme="minorHAnsi" w:hAnsiTheme="minorHAnsi"/>
              </w:rPr>
            </w:pPr>
            <w:r w:rsidRPr="00B22D3D">
              <w:rPr>
                <w:rFonts w:asciiTheme="minorHAnsi" w:hAnsiTheme="minorHAnsi"/>
              </w:rPr>
              <w:t>158</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COM4/5</w:t>
            </w:r>
          </w:p>
        </w:tc>
        <w:tc>
          <w:tcPr>
            <w:tcW w:w="1758"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155</w:t>
            </w:r>
          </w:p>
        </w:tc>
        <w:tc>
          <w:tcPr>
            <w:tcW w:w="1502"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COM6/3</w:t>
            </w:r>
          </w:p>
        </w:tc>
        <w:tc>
          <w:tcPr>
            <w:tcW w:w="1783"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361</w:t>
            </w:r>
          </w:p>
        </w:tc>
        <w:tc>
          <w:tcPr>
            <w:tcW w:w="1477" w:type="dxa"/>
            <w:tcBorders>
              <w:top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COM6/18</w:t>
            </w:r>
          </w:p>
        </w:tc>
        <w:tc>
          <w:tcPr>
            <w:tcW w:w="1809"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159</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COM4/6</w:t>
            </w:r>
          </w:p>
        </w:tc>
        <w:tc>
          <w:tcPr>
            <w:tcW w:w="1758"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235</w:t>
            </w:r>
          </w:p>
        </w:tc>
        <w:tc>
          <w:tcPr>
            <w:tcW w:w="1502"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COM6/4</w:t>
            </w:r>
          </w:p>
        </w:tc>
        <w:tc>
          <w:tcPr>
            <w:tcW w:w="1783"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656</w:t>
            </w:r>
          </w:p>
        </w:tc>
        <w:tc>
          <w:tcPr>
            <w:tcW w:w="1477" w:type="dxa"/>
            <w:tcBorders>
              <w:top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COM6/19</w:t>
            </w:r>
          </w:p>
        </w:tc>
        <w:tc>
          <w:tcPr>
            <w:tcW w:w="1809"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659</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COM4/7</w:t>
            </w:r>
          </w:p>
        </w:tc>
        <w:tc>
          <w:tcPr>
            <w:tcW w:w="1758"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761</w:t>
            </w:r>
          </w:p>
        </w:tc>
        <w:tc>
          <w:tcPr>
            <w:tcW w:w="1502"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COM6/5</w:t>
            </w:r>
          </w:p>
        </w:tc>
        <w:tc>
          <w:tcPr>
            <w:tcW w:w="1783"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657</w:t>
            </w:r>
          </w:p>
        </w:tc>
        <w:tc>
          <w:tcPr>
            <w:tcW w:w="1477" w:type="dxa"/>
            <w:tcBorders>
              <w:top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COM6/20</w:t>
            </w:r>
          </w:p>
        </w:tc>
        <w:tc>
          <w:tcPr>
            <w:tcW w:w="1809"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238</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37373"/>
          </w:tcPr>
          <w:p w:rsidR="00DC0A2C" w:rsidRPr="005D4395" w:rsidRDefault="00DC0A2C" w:rsidP="009C253A">
            <w:pPr>
              <w:pStyle w:val="Tabletext"/>
              <w:tabs>
                <w:tab w:val="left" w:pos="1588"/>
              </w:tabs>
              <w:jc w:val="center"/>
              <w:rPr>
                <w:rFonts w:asciiTheme="minorHAnsi" w:hAnsiTheme="minorHAnsi"/>
              </w:rP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rsidR="00DC0A2C" w:rsidRPr="005D4395" w:rsidRDefault="00DC0A2C" w:rsidP="009C253A">
            <w:pPr>
              <w:pStyle w:val="Tabletext"/>
              <w:tabs>
                <w:tab w:val="left" w:pos="1588"/>
              </w:tabs>
              <w:jc w:val="center"/>
              <w:rPr>
                <w:rFonts w:asciiTheme="minorHAnsi" w:hAnsiTheme="minorHAnsi"/>
              </w:rPr>
            </w:pPr>
          </w:p>
        </w:tc>
        <w:tc>
          <w:tcPr>
            <w:tcW w:w="1502"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COM6/6</w:t>
            </w:r>
          </w:p>
        </w:tc>
        <w:tc>
          <w:tcPr>
            <w:tcW w:w="1783"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658</w:t>
            </w:r>
          </w:p>
        </w:tc>
        <w:tc>
          <w:tcPr>
            <w:tcW w:w="1477" w:type="dxa"/>
            <w:tcBorders>
              <w:top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COM6/21</w:t>
            </w:r>
          </w:p>
        </w:tc>
        <w:tc>
          <w:tcPr>
            <w:tcW w:w="1809"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160</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COM5/1</w:t>
            </w:r>
          </w:p>
        </w:tc>
        <w:tc>
          <w:tcPr>
            <w:tcW w:w="1758"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655</w:t>
            </w:r>
          </w:p>
        </w:tc>
        <w:tc>
          <w:tcPr>
            <w:tcW w:w="1502"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COM6/7</w:t>
            </w:r>
          </w:p>
        </w:tc>
        <w:tc>
          <w:tcPr>
            <w:tcW w:w="1783"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765</w:t>
            </w:r>
          </w:p>
        </w:tc>
        <w:tc>
          <w:tcPr>
            <w:tcW w:w="1477" w:type="dxa"/>
            <w:tcBorders>
              <w:top w:val="single" w:sz="4" w:space="0" w:color="auto"/>
              <w:bottom w:val="single" w:sz="4" w:space="0" w:color="auto"/>
              <w:right w:val="single" w:sz="4" w:space="0" w:color="auto"/>
            </w:tcBorders>
            <w:shd w:val="clear" w:color="auto" w:fill="auto"/>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COM6/22</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239</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COM5/2</w:t>
            </w:r>
          </w:p>
        </w:tc>
        <w:tc>
          <w:tcPr>
            <w:tcW w:w="1758"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156</w:t>
            </w:r>
          </w:p>
        </w:tc>
        <w:tc>
          <w:tcPr>
            <w:tcW w:w="1502"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COM6/8</w:t>
            </w:r>
          </w:p>
        </w:tc>
        <w:tc>
          <w:tcPr>
            <w:tcW w:w="1783"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766</w:t>
            </w:r>
          </w:p>
        </w:tc>
        <w:tc>
          <w:tcPr>
            <w:tcW w:w="1477" w:type="dxa"/>
            <w:tcBorders>
              <w:top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COM6/23</w:t>
            </w:r>
          </w:p>
        </w:tc>
        <w:tc>
          <w:tcPr>
            <w:tcW w:w="1809"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161</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COM5/3</w:t>
            </w:r>
          </w:p>
        </w:tc>
        <w:tc>
          <w:tcPr>
            <w:tcW w:w="1758"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31</w:t>
            </w:r>
          </w:p>
        </w:tc>
        <w:tc>
          <w:tcPr>
            <w:tcW w:w="1502"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COM6/9</w:t>
            </w:r>
          </w:p>
        </w:tc>
        <w:tc>
          <w:tcPr>
            <w:tcW w:w="1783"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557</w:t>
            </w:r>
          </w:p>
        </w:tc>
        <w:tc>
          <w:tcPr>
            <w:tcW w:w="1477" w:type="dxa"/>
            <w:tcBorders>
              <w:top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COM6/24</w:t>
            </w:r>
          </w:p>
        </w:tc>
        <w:tc>
          <w:tcPr>
            <w:tcW w:w="1809"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162</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COM5/4</w:t>
            </w:r>
          </w:p>
        </w:tc>
        <w:tc>
          <w:tcPr>
            <w:tcW w:w="1758"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40</w:t>
            </w:r>
          </w:p>
        </w:tc>
        <w:tc>
          <w:tcPr>
            <w:tcW w:w="1502"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COM6/10</w:t>
            </w:r>
          </w:p>
        </w:tc>
        <w:tc>
          <w:tcPr>
            <w:tcW w:w="1783"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362</w:t>
            </w:r>
          </w:p>
        </w:tc>
        <w:tc>
          <w:tcPr>
            <w:tcW w:w="1477" w:type="dxa"/>
            <w:tcBorders>
              <w:top w:val="single" w:sz="4" w:space="0" w:color="auto"/>
              <w:bottom w:val="single" w:sz="4" w:space="0" w:color="auto"/>
              <w:right w:val="single" w:sz="4" w:space="0" w:color="auto"/>
            </w:tcBorders>
            <w:shd w:val="clear" w:color="auto" w:fill="auto"/>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COM6/25</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99</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COM5/5</w:t>
            </w:r>
          </w:p>
        </w:tc>
        <w:tc>
          <w:tcPr>
            <w:tcW w:w="1758"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762</w:t>
            </w:r>
          </w:p>
        </w:tc>
        <w:tc>
          <w:tcPr>
            <w:tcW w:w="1502"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COM6/11</w:t>
            </w:r>
          </w:p>
        </w:tc>
        <w:tc>
          <w:tcPr>
            <w:tcW w:w="1783"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426</w:t>
            </w:r>
          </w:p>
        </w:tc>
        <w:tc>
          <w:tcPr>
            <w:tcW w:w="1477" w:type="dxa"/>
            <w:tcBorders>
              <w:top w:val="single" w:sz="4" w:space="0" w:color="auto"/>
              <w:bottom w:val="single" w:sz="4" w:space="0" w:color="auto"/>
              <w:right w:val="single" w:sz="4" w:space="0" w:color="auto"/>
            </w:tcBorders>
            <w:shd w:val="clear" w:color="auto" w:fill="737373"/>
          </w:tcPr>
          <w:p w:rsidR="00DC0A2C" w:rsidRPr="005D4395" w:rsidRDefault="00DC0A2C" w:rsidP="009C253A">
            <w:pPr>
              <w:pStyle w:val="Tabletext"/>
              <w:tabs>
                <w:tab w:val="left" w:pos="1588"/>
              </w:tabs>
              <w:jc w:val="center"/>
              <w:rPr>
                <w:rFonts w:asciiTheme="minorHAnsi" w:hAnsiTheme="minorHAnsi"/>
              </w:rP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DC0A2C" w:rsidRPr="005D4395" w:rsidRDefault="00DC0A2C" w:rsidP="009C253A">
            <w:pPr>
              <w:pStyle w:val="Tabletext"/>
              <w:tabs>
                <w:tab w:val="left" w:pos="1588"/>
              </w:tabs>
              <w:jc w:val="center"/>
              <w:rPr>
                <w:rFonts w:asciiTheme="minorHAnsi" w:hAnsiTheme="minorHAnsi"/>
              </w:rPr>
            </w:pP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COM5/6</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157</w:t>
            </w:r>
          </w:p>
        </w:tc>
        <w:tc>
          <w:tcPr>
            <w:tcW w:w="1502"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COM6/12</w:t>
            </w:r>
          </w:p>
        </w:tc>
        <w:tc>
          <w:tcPr>
            <w:tcW w:w="1783"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236</w:t>
            </w:r>
          </w:p>
        </w:tc>
        <w:tc>
          <w:tcPr>
            <w:tcW w:w="1477" w:type="dxa"/>
            <w:tcBorders>
              <w:top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PLEN/1</w:t>
            </w:r>
          </w:p>
        </w:tc>
        <w:tc>
          <w:tcPr>
            <w:tcW w:w="1809"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163</w:t>
            </w:r>
          </w:p>
        </w:tc>
      </w:tr>
      <w:tr w:rsidR="00DC0A2C" w:rsidRPr="005D4395" w:rsidTr="009C2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COM5/7</w:t>
            </w:r>
          </w:p>
        </w:tc>
        <w:tc>
          <w:tcPr>
            <w:tcW w:w="1758"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763</w:t>
            </w:r>
          </w:p>
        </w:tc>
        <w:tc>
          <w:tcPr>
            <w:tcW w:w="1502"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COM6/13</w:t>
            </w:r>
          </w:p>
        </w:tc>
        <w:tc>
          <w:tcPr>
            <w:tcW w:w="1783"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237</w:t>
            </w:r>
          </w:p>
        </w:tc>
        <w:tc>
          <w:tcPr>
            <w:tcW w:w="1477" w:type="dxa"/>
            <w:tcBorders>
              <w:top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PLEN/2</w:t>
            </w:r>
          </w:p>
        </w:tc>
        <w:tc>
          <w:tcPr>
            <w:tcW w:w="1809" w:type="dxa"/>
            <w:tcBorders>
              <w:top w:val="single" w:sz="4" w:space="0" w:color="auto"/>
              <w:left w:val="single" w:sz="4" w:space="0" w:color="auto"/>
              <w:bottom w:val="single" w:sz="4" w:space="0" w:color="auto"/>
              <w:right w:val="single" w:sz="4" w:space="0" w:color="auto"/>
            </w:tcBorders>
          </w:tcPr>
          <w:p w:rsidR="00DC0A2C" w:rsidRPr="005D4395" w:rsidRDefault="00DC0A2C" w:rsidP="009C253A">
            <w:pPr>
              <w:pStyle w:val="Tabletext"/>
              <w:tabs>
                <w:tab w:val="left" w:pos="1588"/>
              </w:tabs>
              <w:jc w:val="center"/>
              <w:rPr>
                <w:rFonts w:asciiTheme="minorHAnsi" w:hAnsiTheme="minorHAnsi"/>
              </w:rPr>
            </w:pPr>
            <w:r w:rsidRPr="005D4395">
              <w:rPr>
                <w:rFonts w:asciiTheme="minorHAnsi" w:hAnsiTheme="minorHAnsi"/>
              </w:rPr>
              <w:t>164</w:t>
            </w:r>
          </w:p>
        </w:tc>
      </w:tr>
    </w:tbl>
    <w:p w:rsidR="00DC0A2C" w:rsidRPr="00D74614" w:rsidRDefault="00DC0A2C" w:rsidP="00DC0A2C">
      <w:pPr>
        <w:rPr>
          <w:rFonts w:asciiTheme="minorHAnsi" w:hAnsiTheme="minorHAnsi"/>
        </w:rPr>
      </w:pPr>
    </w:p>
    <w:p w:rsidR="00DC0A2C" w:rsidRDefault="00DC0A2C" w:rsidP="00DC0A2C"/>
    <w:p w:rsidR="00DC0A2C" w:rsidRDefault="00DC0A2C" w:rsidP="00DC0A2C"/>
    <w:p w:rsidR="00DC0A2C" w:rsidRDefault="00DC0A2C" w:rsidP="00DC0A2C"/>
    <w:p w:rsidR="00DC0A2C" w:rsidRDefault="00DC0A2C" w:rsidP="00DC0A2C"/>
    <w:p w:rsidR="00DC0A2C" w:rsidRDefault="00DC0A2C" w:rsidP="00DC0A2C"/>
    <w:p w:rsidR="00DC0A2C" w:rsidRDefault="00DC0A2C" w:rsidP="00DC0A2C"/>
    <w:p w:rsidR="00DC0A2C" w:rsidRDefault="00DC0A2C" w:rsidP="00DC0A2C"/>
    <w:p w:rsidR="00DC0A2C" w:rsidRDefault="00DC0A2C" w:rsidP="00DC0A2C"/>
    <w:p w:rsidR="00EC4E10" w:rsidRDefault="00EC4E10" w:rsidP="00DC0A2C">
      <w:r>
        <w:br w:type="page"/>
      </w:r>
    </w:p>
    <w:p w:rsidR="00DC0A2C" w:rsidRPr="00EC4E10" w:rsidRDefault="0041243C" w:rsidP="00DC0A2C">
      <w:pPr>
        <w:pStyle w:val="AnnexNotitle0"/>
        <w:spacing w:after="80"/>
        <w:rPr>
          <w:rFonts w:asciiTheme="minorHAnsi" w:hAnsiTheme="minorHAnsi"/>
        </w:rPr>
      </w:pPr>
      <w:r>
        <w:rPr>
          <w:rFonts w:asciiTheme="minorHAnsi" w:hAnsiTheme="minorHAnsi"/>
          <w:b w:val="0"/>
          <w:bCs/>
        </w:rPr>
        <w:lastRenderedPageBreak/>
        <w:br/>
      </w:r>
      <w:r w:rsidR="00DC0A2C" w:rsidRPr="00EC4E10">
        <w:rPr>
          <w:rFonts w:asciiTheme="minorHAnsi" w:hAnsiTheme="minorHAnsi"/>
          <w:b w:val="0"/>
          <w:bCs/>
        </w:rPr>
        <w:t>ANNEX 2</w:t>
      </w:r>
    </w:p>
    <w:p w:rsidR="00DC0A2C" w:rsidRDefault="00DC0A2C" w:rsidP="0041243C">
      <w:pPr>
        <w:keepNext/>
        <w:keepLines/>
        <w:tabs>
          <w:tab w:val="left" w:pos="1134"/>
          <w:tab w:val="left" w:pos="1871"/>
          <w:tab w:val="left" w:pos="2268"/>
        </w:tabs>
        <w:jc w:val="center"/>
        <w:rPr>
          <w:rFonts w:asciiTheme="minorHAnsi" w:hAnsiTheme="minorHAnsi"/>
          <w:b/>
          <w:bCs/>
          <w:sz w:val="28"/>
          <w:szCs w:val="28"/>
        </w:rPr>
      </w:pPr>
      <w:r w:rsidRPr="00EC4E10">
        <w:rPr>
          <w:rFonts w:asciiTheme="minorHAnsi" w:hAnsiTheme="minorHAnsi"/>
          <w:b/>
          <w:bCs/>
          <w:sz w:val="28"/>
          <w:szCs w:val="28"/>
        </w:rPr>
        <w:t xml:space="preserve">Table of correspondence between provisional and final numbers for </w:t>
      </w:r>
      <w:r w:rsidRPr="00EC4E10">
        <w:rPr>
          <w:rFonts w:asciiTheme="minorHAnsi" w:hAnsiTheme="minorHAnsi"/>
          <w:b/>
          <w:bCs/>
          <w:sz w:val="28"/>
          <w:szCs w:val="28"/>
        </w:rPr>
        <w:br/>
        <w:t>new Article 5 footnotes approved by WRC-15</w:t>
      </w:r>
    </w:p>
    <w:p w:rsidR="0041243C" w:rsidRDefault="0041243C" w:rsidP="0041243C"/>
    <w:tbl>
      <w:tblPr>
        <w:tblStyle w:val="TableGrid"/>
        <w:tblW w:w="0" w:type="auto"/>
        <w:tblLook w:val="04A0" w:firstRow="1" w:lastRow="0" w:firstColumn="1" w:lastColumn="0" w:noHBand="0" w:noVBand="1"/>
      </w:tblPr>
      <w:tblGrid>
        <w:gridCol w:w="4750"/>
        <w:gridCol w:w="4750"/>
      </w:tblGrid>
      <w:tr w:rsidR="0041243C" w:rsidRPr="00C3187D" w:rsidTr="009C253A">
        <w:trPr>
          <w:trHeight w:val="298"/>
        </w:trPr>
        <w:tc>
          <w:tcPr>
            <w:tcW w:w="4750" w:type="dxa"/>
            <w:shd w:val="clear" w:color="auto" w:fill="BFBFBF" w:themeFill="background1" w:themeFillShade="BF"/>
          </w:tcPr>
          <w:p w:rsidR="0041243C" w:rsidRPr="00C3187D" w:rsidRDefault="0041243C" w:rsidP="0041243C">
            <w:pPr>
              <w:keepNext/>
              <w:keepLines/>
              <w:tabs>
                <w:tab w:val="left" w:pos="1134"/>
                <w:tab w:val="left" w:pos="1871"/>
                <w:tab w:val="left" w:pos="2268"/>
              </w:tabs>
              <w:spacing w:before="120" w:line="240" w:lineRule="auto"/>
              <w:jc w:val="center"/>
              <w:rPr>
                <w:b/>
                <w:bCs/>
                <w:iCs/>
                <w:szCs w:val="24"/>
              </w:rPr>
            </w:pPr>
            <w:r>
              <w:rPr>
                <w:b/>
                <w:bCs/>
                <w:iCs/>
                <w:szCs w:val="24"/>
              </w:rPr>
              <w:t>Provisional number</w:t>
            </w:r>
          </w:p>
        </w:tc>
        <w:tc>
          <w:tcPr>
            <w:tcW w:w="4750" w:type="dxa"/>
            <w:shd w:val="clear" w:color="auto" w:fill="BFBFBF" w:themeFill="background1" w:themeFillShade="BF"/>
          </w:tcPr>
          <w:p w:rsidR="0041243C" w:rsidRPr="00C3187D" w:rsidRDefault="0041243C" w:rsidP="0041243C">
            <w:pPr>
              <w:keepNext/>
              <w:keepLines/>
              <w:tabs>
                <w:tab w:val="left" w:pos="1134"/>
                <w:tab w:val="left" w:pos="1871"/>
                <w:tab w:val="left" w:pos="2268"/>
              </w:tabs>
              <w:spacing w:before="120" w:line="240" w:lineRule="auto"/>
              <w:jc w:val="center"/>
              <w:rPr>
                <w:b/>
                <w:bCs/>
                <w:iCs/>
                <w:szCs w:val="24"/>
              </w:rPr>
            </w:pPr>
            <w:r>
              <w:rPr>
                <w:b/>
                <w:bCs/>
                <w:iCs/>
                <w:szCs w:val="24"/>
              </w:rPr>
              <w:t>Final</w:t>
            </w:r>
            <w:r w:rsidRPr="00C3187D">
              <w:rPr>
                <w:b/>
                <w:bCs/>
                <w:iCs/>
                <w:szCs w:val="24"/>
              </w:rPr>
              <w:t xml:space="preserve"> number</w:t>
            </w:r>
          </w:p>
        </w:tc>
      </w:tr>
      <w:tr w:rsidR="0041243C" w:rsidRPr="00090F69" w:rsidTr="009C253A">
        <w:trPr>
          <w:trHeight w:hRule="exact" w:val="340"/>
        </w:trPr>
        <w:tc>
          <w:tcPr>
            <w:tcW w:w="4750" w:type="dxa"/>
          </w:tcPr>
          <w:p w:rsidR="0041243C" w:rsidRPr="00090F69" w:rsidRDefault="0041243C" w:rsidP="0041243C">
            <w:pPr>
              <w:keepNext/>
              <w:keepLines/>
              <w:tabs>
                <w:tab w:val="left" w:pos="1134"/>
                <w:tab w:val="left" w:pos="1871"/>
                <w:tab w:val="left" w:pos="2268"/>
              </w:tabs>
              <w:spacing w:before="120" w:line="240" w:lineRule="auto"/>
              <w:jc w:val="center"/>
              <w:rPr>
                <w:rFonts w:asciiTheme="majorBidi" w:hAnsiTheme="majorBidi" w:cstheme="majorBidi"/>
                <w:iCs/>
                <w:sz w:val="20"/>
              </w:rPr>
            </w:pPr>
            <w:r w:rsidRPr="00090F69">
              <w:rPr>
                <w:rFonts w:asciiTheme="majorBidi" w:hAnsiTheme="majorBidi" w:cstheme="majorBidi"/>
                <w:iCs/>
                <w:sz w:val="20"/>
              </w:rPr>
              <w:t>5.A14</w:t>
            </w:r>
          </w:p>
        </w:tc>
        <w:tc>
          <w:tcPr>
            <w:tcW w:w="4750" w:type="dxa"/>
          </w:tcPr>
          <w:p w:rsidR="0041243C" w:rsidRPr="00090F69" w:rsidRDefault="0041243C" w:rsidP="0041243C">
            <w:pPr>
              <w:keepNext/>
              <w:keepLines/>
              <w:tabs>
                <w:tab w:val="left" w:pos="1134"/>
                <w:tab w:val="left" w:pos="1871"/>
                <w:tab w:val="left" w:pos="2268"/>
              </w:tabs>
              <w:spacing w:before="120" w:line="240" w:lineRule="auto"/>
              <w:jc w:val="center"/>
              <w:rPr>
                <w:rFonts w:asciiTheme="majorBidi" w:hAnsiTheme="majorBidi" w:cstheme="majorBidi"/>
                <w:iCs/>
                <w:sz w:val="20"/>
              </w:rPr>
            </w:pPr>
            <w:r w:rsidRPr="00090F69">
              <w:rPr>
                <w:rFonts w:asciiTheme="majorBidi" w:hAnsiTheme="majorBidi" w:cstheme="majorBidi"/>
                <w:iCs/>
                <w:sz w:val="20"/>
              </w:rPr>
              <w:t>5.133B</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5.A116</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5.228AA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5.A911</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5.265</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5.idR2a</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5.295</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5.idR3</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5.296A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5.allocateR2</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5.308</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5.idR2</w:t>
            </w:r>
            <w:r w:rsidRPr="00B22D3D">
              <w:rPr>
                <w:rFonts w:asciiTheme="majorBidi" w:hAnsiTheme="majorBidi" w:cstheme="majorBidi"/>
                <w:iCs/>
                <w:sz w:val="20"/>
              </w:rPr>
              <w:t>b</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5.308A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5.A25</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5.328AA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5.R1a</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5.341A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5.R2a</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5.341B</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5.R3g</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5.341C</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5.R1b</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5.346</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5.R3h</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5.346A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5.R1a</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5.429A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5.R1b</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5.429B</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5.B11</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5.429C</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5.C11</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5.429D</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5.R3d</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5.429E</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5.R3e</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5.429F</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5.IMT</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5.431B</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5.IMT2</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5.434</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5.A117</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5.436</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5.B117</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5.437</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5.A11</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5.441A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5.R3f</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5.441B</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5.A111</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5.460A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5.B111</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5.460B</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5.A192</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5.461AA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5.B192</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5.461AB</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5.A112</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5.474A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5.C112</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5.474B</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5.D112</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5.474C</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5.B112</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5.474D</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5.A15</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5.484B</w:t>
            </w:r>
          </w:p>
        </w:tc>
      </w:tr>
    </w:tbl>
    <w:p w:rsidR="004C740D" w:rsidRDefault="004C740D"/>
    <w:p w:rsidR="004C740D" w:rsidRDefault="004C740D"/>
    <w:tbl>
      <w:tblPr>
        <w:tblStyle w:val="TableGrid"/>
        <w:tblW w:w="0" w:type="auto"/>
        <w:tblLook w:val="04A0" w:firstRow="1" w:lastRow="0" w:firstColumn="1" w:lastColumn="0" w:noHBand="0" w:noVBand="1"/>
      </w:tblPr>
      <w:tblGrid>
        <w:gridCol w:w="4750"/>
        <w:gridCol w:w="4750"/>
      </w:tblGrid>
      <w:tr w:rsidR="004C740D" w:rsidRPr="00C3187D" w:rsidTr="004C740D">
        <w:trPr>
          <w:trHeight w:val="298"/>
        </w:trPr>
        <w:tc>
          <w:tcPr>
            <w:tcW w:w="4750" w:type="dxa"/>
            <w:shd w:val="clear" w:color="auto" w:fill="BFBFBF" w:themeFill="background1" w:themeFillShade="BF"/>
          </w:tcPr>
          <w:p w:rsidR="004C740D" w:rsidRPr="00C3187D" w:rsidRDefault="004C740D" w:rsidP="009C253A">
            <w:pPr>
              <w:keepNext/>
              <w:keepLines/>
              <w:tabs>
                <w:tab w:val="left" w:pos="1134"/>
                <w:tab w:val="left" w:pos="1871"/>
                <w:tab w:val="left" w:pos="2268"/>
              </w:tabs>
              <w:spacing w:before="120" w:line="240" w:lineRule="auto"/>
              <w:jc w:val="center"/>
              <w:rPr>
                <w:b/>
                <w:bCs/>
                <w:iCs/>
                <w:szCs w:val="24"/>
              </w:rPr>
            </w:pPr>
            <w:r>
              <w:rPr>
                <w:b/>
                <w:bCs/>
                <w:iCs/>
                <w:szCs w:val="24"/>
              </w:rPr>
              <w:t>Provisional number</w:t>
            </w:r>
          </w:p>
        </w:tc>
        <w:tc>
          <w:tcPr>
            <w:tcW w:w="4750" w:type="dxa"/>
            <w:shd w:val="clear" w:color="auto" w:fill="BFBFBF" w:themeFill="background1" w:themeFillShade="BF"/>
          </w:tcPr>
          <w:p w:rsidR="004C740D" w:rsidRPr="00C3187D" w:rsidRDefault="004C740D" w:rsidP="009C253A">
            <w:pPr>
              <w:keepNext/>
              <w:keepLines/>
              <w:tabs>
                <w:tab w:val="left" w:pos="1134"/>
                <w:tab w:val="left" w:pos="1871"/>
                <w:tab w:val="left" w:pos="2268"/>
              </w:tabs>
              <w:spacing w:before="120" w:line="240" w:lineRule="auto"/>
              <w:jc w:val="center"/>
              <w:rPr>
                <w:b/>
                <w:bCs/>
                <w:iCs/>
                <w:szCs w:val="24"/>
              </w:rPr>
            </w:pPr>
            <w:r>
              <w:rPr>
                <w:b/>
                <w:bCs/>
                <w:iCs/>
                <w:szCs w:val="24"/>
              </w:rPr>
              <w:t>Final</w:t>
            </w:r>
            <w:r w:rsidRPr="00C3187D">
              <w:rPr>
                <w:b/>
                <w:bCs/>
                <w:iCs/>
                <w:szCs w:val="24"/>
              </w:rPr>
              <w:t xml:space="preserve"> number</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5.A161</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5.499A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5.X161</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5.499B</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5.B161</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5.499C</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5.B161A</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5.499D</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5.C161</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5.499E</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5.A16</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5.509B</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5.B16</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5.509C</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5.D16</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5.509D</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5.E16</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5.509E</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5.F16</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5.509F</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5.C16</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5.509G</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5.5X</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5.527A</w:t>
            </w:r>
          </w:p>
        </w:tc>
      </w:tr>
      <w:tr w:rsidR="0041243C" w:rsidRPr="00090F69" w:rsidTr="009C253A">
        <w:trPr>
          <w:trHeight w:hRule="exact" w:val="340"/>
        </w:trPr>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5.A118</w:t>
            </w:r>
          </w:p>
        </w:tc>
        <w:tc>
          <w:tcPr>
            <w:tcW w:w="4750" w:type="dxa"/>
          </w:tcPr>
          <w:p w:rsidR="0041243C" w:rsidRPr="00090F69" w:rsidRDefault="0041243C" w:rsidP="0041243C">
            <w:pPr>
              <w:spacing w:before="120" w:line="240" w:lineRule="auto"/>
              <w:jc w:val="center"/>
              <w:rPr>
                <w:rFonts w:asciiTheme="majorBidi" w:hAnsiTheme="majorBidi" w:cstheme="majorBidi"/>
                <w:iCs/>
                <w:sz w:val="20"/>
              </w:rPr>
            </w:pPr>
            <w:r w:rsidRPr="00090F69">
              <w:rPr>
                <w:rFonts w:asciiTheme="majorBidi" w:hAnsiTheme="majorBidi" w:cstheme="majorBidi"/>
                <w:iCs/>
                <w:sz w:val="20"/>
              </w:rPr>
              <w:t>5.559B</w:t>
            </w:r>
          </w:p>
        </w:tc>
      </w:tr>
    </w:tbl>
    <w:p w:rsidR="0041243C" w:rsidRDefault="0041243C" w:rsidP="0041243C"/>
    <w:p w:rsidR="008A4064" w:rsidRDefault="008A4064" w:rsidP="0041243C"/>
    <w:p w:rsidR="008A4064" w:rsidRPr="00EC4E10" w:rsidRDefault="008A4064" w:rsidP="008A4064">
      <w:pPr>
        <w:jc w:val="center"/>
      </w:pPr>
      <w:r>
        <w:t>______________</w:t>
      </w:r>
    </w:p>
    <w:sectPr w:rsidR="008A4064" w:rsidRPr="00EC4E10" w:rsidSect="0041243C">
      <w:headerReference w:type="even" r:id="rId8"/>
      <w:headerReference w:type="default" r:id="rId9"/>
      <w:footerReference w:type="even"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8BA" w:rsidRDefault="00A568BA">
      <w:r>
        <w:separator/>
      </w:r>
    </w:p>
  </w:endnote>
  <w:endnote w:type="continuationSeparator" w:id="0">
    <w:p w:rsidR="00A568BA" w:rsidRDefault="00A5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ABD" w:rsidRPr="00C16F55" w:rsidRDefault="00D81ABD" w:rsidP="00D81ABD">
    <w:pPr>
      <w:pStyle w:val="FirstFooter"/>
      <w:spacing w:line="240" w:lineRule="auto"/>
      <w:ind w:right="-397"/>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20" w:rsidRPr="00ED1745" w:rsidRDefault="00DE6C20" w:rsidP="00DE6C20">
    <w:pPr>
      <w:pStyle w:val="FirstFooter"/>
      <w:spacing w:line="240" w:lineRule="auto"/>
      <w:ind w:left="-397" w:right="-397"/>
      <w:jc w:val="center"/>
      <w:rPr>
        <w:color w:val="3E8EDE"/>
        <w:sz w:val="18"/>
        <w:szCs w:val="18"/>
      </w:rPr>
    </w:pPr>
    <w:r w:rsidRPr="00ED1745">
      <w:rPr>
        <w:color w:val="3E8EDE"/>
        <w:sz w:val="18"/>
        <w:szCs w:val="18"/>
      </w:rPr>
      <w:t>International Telecommunication Union • Place des Nations, CH</w:t>
    </w:r>
    <w:r w:rsidRPr="00ED1745">
      <w:rPr>
        <w:color w:val="3E8EDE"/>
        <w:sz w:val="18"/>
        <w:szCs w:val="18"/>
      </w:rPr>
      <w:noBreakHyphen/>
      <w:t xml:space="preserve">1211 Geneva 20, Switzerland </w:t>
    </w:r>
    <w:r w:rsidRPr="00ED1745">
      <w:rPr>
        <w:color w:val="3E8EDE"/>
        <w:sz w:val="18"/>
        <w:szCs w:val="18"/>
      </w:rPr>
      <w:br/>
      <w:t xml:space="preserve">Tel: +41 22 730 5111 • Fax: +41 22 733 7256 • </w:t>
    </w:r>
    <w:r w:rsidRPr="00ED1745">
      <w:rPr>
        <w:color w:val="3E8EDE"/>
        <w:sz w:val="18"/>
        <w:szCs w:val="18"/>
      </w:rPr>
      <w:br/>
      <w:t xml:space="preserve">E-mail: </w:t>
    </w:r>
    <w:hyperlink r:id="rId1" w:history="1">
      <w:r w:rsidRPr="00ED1745">
        <w:rPr>
          <w:color w:val="3E8EDE"/>
          <w:sz w:val="18"/>
          <w:szCs w:val="18"/>
        </w:rPr>
        <w:t>itumail@itu.int</w:t>
      </w:r>
    </w:hyperlink>
    <w:r w:rsidRPr="00ED1745">
      <w:rPr>
        <w:color w:val="3E8EDE"/>
        <w:sz w:val="18"/>
        <w:szCs w:val="18"/>
      </w:rPr>
      <w:t xml:space="preserve"> • </w:t>
    </w:r>
    <w:hyperlink r:id="rId2" w:history="1">
      <w:r w:rsidRPr="00ED1745">
        <w:rPr>
          <w:color w:val="3E8EDE"/>
          <w:sz w:val="18"/>
          <w:szCs w:val="18"/>
        </w:rPr>
        <w:t>www.itu.int</w:t>
      </w:r>
    </w:hyperlink>
    <w:r w:rsidRPr="00ED1745">
      <w:rPr>
        <w:color w:val="3E8EDE"/>
        <w:sz w:val="18"/>
        <w:szCs w:val="18"/>
      </w:rPr>
      <w:t xml:space="preserve"> </w:t>
    </w:r>
    <w:r w:rsidRPr="0002228B">
      <w:rPr>
        <w:color w:val="3E8EDE"/>
        <w:sz w:val="18"/>
        <w:szCs w:val="18"/>
      </w:rPr>
      <w:t xml:space="preserve">• </w:t>
    </w:r>
    <w:hyperlink r:id="rId3" w:history="1">
      <w:r w:rsidRPr="0002228B">
        <w:rPr>
          <w:rStyle w:val="Hyperlink"/>
          <w:color w:val="3E8EDE"/>
          <w:sz w:val="18"/>
          <w:szCs w:val="18"/>
          <w:u w:val="none"/>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8BA" w:rsidRDefault="00A568BA">
      <w:r>
        <w:t>____________________</w:t>
      </w:r>
    </w:p>
  </w:footnote>
  <w:footnote w:type="continuationSeparator" w:id="0">
    <w:p w:rsidR="00A568BA" w:rsidRDefault="00A56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843" w:rsidRDefault="0041243C" w:rsidP="001F1843">
    <w:pPr>
      <w:pStyle w:val="Header"/>
      <w:jc w:val="center"/>
      <w:rPr>
        <w:sz w:val="18"/>
        <w:szCs w:val="18"/>
        <w:lang w:val="fr-CH"/>
      </w:rPr>
    </w:pPr>
    <w:r>
      <w:rPr>
        <w:sz w:val="18"/>
        <w:szCs w:val="18"/>
        <w:lang w:val="fr-CH"/>
      </w:rPr>
      <w:t>2</w:t>
    </w:r>
  </w:p>
  <w:p w:rsidR="0041243C" w:rsidRDefault="0041243C" w:rsidP="001F1843">
    <w:pPr>
      <w:pStyle w:val="Header"/>
      <w:jc w:val="center"/>
      <w:rPr>
        <w:sz w:val="18"/>
        <w:szCs w:val="18"/>
        <w:lang w:val="fr-CH"/>
      </w:rPr>
    </w:pPr>
    <w:r>
      <w:rPr>
        <w:sz w:val="18"/>
        <w:szCs w:val="18"/>
        <w:lang w:val="fr-CH"/>
      </w:rPr>
      <w:t>CR/406</w:t>
    </w:r>
  </w:p>
  <w:p w:rsidR="0041243C" w:rsidRPr="001F1843" w:rsidRDefault="0041243C" w:rsidP="001F1843">
    <w:pPr>
      <w:pStyle w:val="Header"/>
      <w:jc w:val="center"/>
      <w:rPr>
        <w:sz w:val="18"/>
        <w:szCs w:val="18"/>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3C" w:rsidRPr="00904887" w:rsidRDefault="00904887" w:rsidP="00904887">
    <w:pPr>
      <w:pStyle w:val="Header"/>
      <w:jc w:val="center"/>
      <w:rPr>
        <w:sz w:val="18"/>
        <w:szCs w:val="18"/>
      </w:rPr>
    </w:pPr>
    <w:r w:rsidRPr="00904887">
      <w:rPr>
        <w:sz w:val="18"/>
        <w:szCs w:val="18"/>
      </w:rPr>
      <w:t xml:space="preserve">- </w:t>
    </w:r>
    <w:sdt>
      <w:sdtPr>
        <w:rPr>
          <w:sz w:val="18"/>
          <w:szCs w:val="18"/>
        </w:rPr>
        <w:id w:val="844281691"/>
        <w:docPartObj>
          <w:docPartGallery w:val="Page Numbers (Top of Page)"/>
          <w:docPartUnique/>
        </w:docPartObj>
      </w:sdtPr>
      <w:sdtEndPr>
        <w:rPr>
          <w:noProof/>
        </w:rPr>
      </w:sdtEndPr>
      <w:sdtContent>
        <w:r w:rsidR="0041243C" w:rsidRPr="00904887">
          <w:rPr>
            <w:sz w:val="18"/>
            <w:szCs w:val="18"/>
          </w:rPr>
          <w:fldChar w:fldCharType="begin"/>
        </w:r>
        <w:r w:rsidR="0041243C" w:rsidRPr="00904887">
          <w:rPr>
            <w:sz w:val="18"/>
            <w:szCs w:val="18"/>
          </w:rPr>
          <w:instrText xml:space="preserve"> PAGE   \* MERGEFORMAT </w:instrText>
        </w:r>
        <w:r w:rsidR="0041243C" w:rsidRPr="00904887">
          <w:rPr>
            <w:sz w:val="18"/>
            <w:szCs w:val="18"/>
          </w:rPr>
          <w:fldChar w:fldCharType="separate"/>
        </w:r>
        <w:r w:rsidR="00293033">
          <w:rPr>
            <w:noProof/>
            <w:sz w:val="18"/>
            <w:szCs w:val="18"/>
          </w:rPr>
          <w:t>7</w:t>
        </w:r>
        <w:r w:rsidR="0041243C" w:rsidRPr="00904887">
          <w:rPr>
            <w:noProof/>
            <w:sz w:val="18"/>
            <w:szCs w:val="18"/>
          </w:rPr>
          <w:fldChar w:fldCharType="end"/>
        </w:r>
        <w:r w:rsidRPr="00904887">
          <w:rPr>
            <w:noProof/>
            <w:sz w:val="18"/>
            <w:szCs w:val="18"/>
          </w:rPr>
          <w:t xml:space="preserve"> -</w:t>
        </w:r>
      </w:sdtContent>
    </w:sdt>
  </w:p>
  <w:p w:rsidR="0041243C" w:rsidRPr="0041243C" w:rsidRDefault="0041243C" w:rsidP="0041243C">
    <w:pPr>
      <w:pStyle w:val="Header"/>
      <w:jc w:val="center"/>
      <w:rPr>
        <w:sz w:val="18"/>
        <w:szCs w:val="18"/>
      </w:rPr>
    </w:pPr>
    <w:r w:rsidRPr="0041243C">
      <w:rPr>
        <w:sz w:val="18"/>
        <w:szCs w:val="18"/>
      </w:rPr>
      <w:t>CR/406</w:t>
    </w:r>
    <w:r w:rsidR="00973F2F">
      <w:rPr>
        <w:sz w:val="18"/>
        <w:szCs w:val="18"/>
      </w:rPr>
      <w:t>-E</w:t>
    </w:r>
  </w:p>
  <w:p w:rsidR="0041243C" w:rsidRDefault="0041243C" w:rsidP="0041243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E6C20" w:rsidTr="009934BA">
      <w:tc>
        <w:tcPr>
          <w:tcW w:w="4889" w:type="dxa"/>
        </w:tcPr>
        <w:p w:rsidR="00DE6C20" w:rsidRDefault="00DE6C20" w:rsidP="00DE6C20">
          <w:pPr>
            <w:pStyle w:val="Header"/>
            <w:tabs>
              <w:tab w:val="clear" w:pos="794"/>
              <w:tab w:val="clear" w:pos="4820"/>
            </w:tabs>
            <w:spacing w:before="120" w:line="360" w:lineRule="auto"/>
          </w:pPr>
          <w:r>
            <w:rPr>
              <w:b/>
              <w:bCs/>
              <w:noProof/>
              <w:lang w:eastAsia="zh-CN"/>
            </w:rPr>
            <w:drawing>
              <wp:inline distT="0" distB="0" distL="0" distR="0" wp14:anchorId="6F88AC63" wp14:editId="694A56D0">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DE6C20" w:rsidRDefault="00DE6C20" w:rsidP="00DE6C20">
          <w:pPr>
            <w:pStyle w:val="Header"/>
            <w:tabs>
              <w:tab w:val="clear" w:pos="794"/>
              <w:tab w:val="clear" w:pos="4820"/>
            </w:tabs>
            <w:spacing w:line="360" w:lineRule="auto"/>
            <w:jc w:val="right"/>
          </w:pPr>
          <w:r w:rsidRPr="00975D6F">
            <w:rPr>
              <w:rFonts w:cs="Arial"/>
              <w:noProof/>
              <w:lang w:eastAsia="zh-CN"/>
            </w:rPr>
            <w:drawing>
              <wp:inline distT="0" distB="0" distL="0" distR="0" wp14:anchorId="63F150E3" wp14:editId="3BB900D0">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DE6C20" w:rsidRDefault="00DE6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736137"/>
    <w:multiLevelType w:val="hybridMultilevel"/>
    <w:tmpl w:val="933A9142"/>
    <w:lvl w:ilvl="0" w:tplc="5B10E36E">
      <w:start w:val="2"/>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FEE1A2F"/>
    <w:multiLevelType w:val="hybridMultilevel"/>
    <w:tmpl w:val="E6B8D7D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1317C"/>
    <w:multiLevelType w:val="hybridMultilevel"/>
    <w:tmpl w:val="4EEC403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340D09C5"/>
    <w:multiLevelType w:val="hybridMultilevel"/>
    <w:tmpl w:val="CB6C7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0" w15:restartNumberingAfterBreak="0">
    <w:nsid w:val="553B7016"/>
    <w:multiLevelType w:val="hybridMultilevel"/>
    <w:tmpl w:val="611E1CC0"/>
    <w:lvl w:ilvl="0" w:tplc="04090001">
      <w:start w:val="1"/>
      <w:numFmt w:val="bullet"/>
      <w:lvlText w:val=""/>
      <w:lvlJc w:val="left"/>
      <w:pPr>
        <w:tabs>
          <w:tab w:val="num" w:pos="720"/>
        </w:tabs>
        <w:ind w:left="720" w:hanging="360"/>
      </w:pPr>
      <w:rPr>
        <w:rFonts w:ascii="Symbol" w:hAnsi="Symbol" w:hint="default"/>
      </w:rPr>
    </w:lvl>
    <w:lvl w:ilvl="1" w:tplc="842270BA">
      <w:start w:val="9"/>
      <w:numFmt w:val="bullet"/>
      <w:lvlText w:val="-"/>
      <w:lvlJc w:val="left"/>
      <w:pPr>
        <w:tabs>
          <w:tab w:val="num" w:pos="9999"/>
        </w:tabs>
        <w:ind w:left="9999"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6"/>
  </w:num>
  <w:num w:numId="5">
    <w:abstractNumId w:val="10"/>
  </w:num>
  <w:num w:numId="6">
    <w:abstractNumId w:val="5"/>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131078" w:nlCheck="1" w:checkStyle="0"/>
  <w:activeWritingStyle w:appName="MSWord" w:lang="fr-CH"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7459"/>
    <w:rsid w:val="000064F7"/>
    <w:rsid w:val="00006A31"/>
    <w:rsid w:val="00006C82"/>
    <w:rsid w:val="00010E30"/>
    <w:rsid w:val="00012C68"/>
    <w:rsid w:val="00015C76"/>
    <w:rsid w:val="000176D7"/>
    <w:rsid w:val="0002562A"/>
    <w:rsid w:val="00026CF8"/>
    <w:rsid w:val="00030BD7"/>
    <w:rsid w:val="000313C3"/>
    <w:rsid w:val="00031E64"/>
    <w:rsid w:val="00034340"/>
    <w:rsid w:val="00036A4A"/>
    <w:rsid w:val="000370AE"/>
    <w:rsid w:val="000407E8"/>
    <w:rsid w:val="00045A8D"/>
    <w:rsid w:val="0005167A"/>
    <w:rsid w:val="00054E5D"/>
    <w:rsid w:val="00070258"/>
    <w:rsid w:val="0007323C"/>
    <w:rsid w:val="000763F5"/>
    <w:rsid w:val="00086D03"/>
    <w:rsid w:val="000876EE"/>
    <w:rsid w:val="000938A4"/>
    <w:rsid w:val="000A096A"/>
    <w:rsid w:val="000A375E"/>
    <w:rsid w:val="000A7051"/>
    <w:rsid w:val="000B0AF6"/>
    <w:rsid w:val="000B0E9B"/>
    <w:rsid w:val="000B2CAE"/>
    <w:rsid w:val="000C03C7"/>
    <w:rsid w:val="000C2AD0"/>
    <w:rsid w:val="000E0580"/>
    <w:rsid w:val="000E3DEE"/>
    <w:rsid w:val="000F5E89"/>
    <w:rsid w:val="000F6E6D"/>
    <w:rsid w:val="00100B72"/>
    <w:rsid w:val="0010129D"/>
    <w:rsid w:val="00101C8D"/>
    <w:rsid w:val="00101F7D"/>
    <w:rsid w:val="00103C76"/>
    <w:rsid w:val="00104C35"/>
    <w:rsid w:val="0011265F"/>
    <w:rsid w:val="00117282"/>
    <w:rsid w:val="00117389"/>
    <w:rsid w:val="00121C2D"/>
    <w:rsid w:val="0012490A"/>
    <w:rsid w:val="00130EDE"/>
    <w:rsid w:val="00134404"/>
    <w:rsid w:val="00144DFB"/>
    <w:rsid w:val="001516A0"/>
    <w:rsid w:val="00153E54"/>
    <w:rsid w:val="001671A0"/>
    <w:rsid w:val="0017040F"/>
    <w:rsid w:val="00177970"/>
    <w:rsid w:val="00187CA3"/>
    <w:rsid w:val="00196710"/>
    <w:rsid w:val="00197324"/>
    <w:rsid w:val="001A0A41"/>
    <w:rsid w:val="001A47E9"/>
    <w:rsid w:val="001B351B"/>
    <w:rsid w:val="001C06DB"/>
    <w:rsid w:val="001C6971"/>
    <w:rsid w:val="001D2785"/>
    <w:rsid w:val="001D4B24"/>
    <w:rsid w:val="001D7070"/>
    <w:rsid w:val="001D7459"/>
    <w:rsid w:val="001F1843"/>
    <w:rsid w:val="001F2170"/>
    <w:rsid w:val="001F3948"/>
    <w:rsid w:val="001F4F32"/>
    <w:rsid w:val="001F5A49"/>
    <w:rsid w:val="00201097"/>
    <w:rsid w:val="00201B6E"/>
    <w:rsid w:val="00214224"/>
    <w:rsid w:val="00221F85"/>
    <w:rsid w:val="002302B3"/>
    <w:rsid w:val="00230C66"/>
    <w:rsid w:val="00235A29"/>
    <w:rsid w:val="00241526"/>
    <w:rsid w:val="002443A2"/>
    <w:rsid w:val="002454FA"/>
    <w:rsid w:val="00266E74"/>
    <w:rsid w:val="00283C3B"/>
    <w:rsid w:val="002861E6"/>
    <w:rsid w:val="00286CD3"/>
    <w:rsid w:val="00287D18"/>
    <w:rsid w:val="00293033"/>
    <w:rsid w:val="00294C13"/>
    <w:rsid w:val="002A2618"/>
    <w:rsid w:val="002A5DD7"/>
    <w:rsid w:val="002B0CAC"/>
    <w:rsid w:val="002B1536"/>
    <w:rsid w:val="002B6696"/>
    <w:rsid w:val="002D2C8A"/>
    <w:rsid w:val="002D5A15"/>
    <w:rsid w:val="002D5BDD"/>
    <w:rsid w:val="002E3D27"/>
    <w:rsid w:val="002E6BA2"/>
    <w:rsid w:val="002F0890"/>
    <w:rsid w:val="002F2531"/>
    <w:rsid w:val="002F4967"/>
    <w:rsid w:val="002F49D9"/>
    <w:rsid w:val="00315410"/>
    <w:rsid w:val="00316935"/>
    <w:rsid w:val="00317539"/>
    <w:rsid w:val="0032278F"/>
    <w:rsid w:val="0032557F"/>
    <w:rsid w:val="003266ED"/>
    <w:rsid w:val="0032703C"/>
    <w:rsid w:val="003370B8"/>
    <w:rsid w:val="00345D38"/>
    <w:rsid w:val="0035178F"/>
    <w:rsid w:val="00352097"/>
    <w:rsid w:val="003666FF"/>
    <w:rsid w:val="0037309C"/>
    <w:rsid w:val="00380A6E"/>
    <w:rsid w:val="003836D4"/>
    <w:rsid w:val="00385AE7"/>
    <w:rsid w:val="00397261"/>
    <w:rsid w:val="003A1F49"/>
    <w:rsid w:val="003A5D52"/>
    <w:rsid w:val="003B2BDA"/>
    <w:rsid w:val="003B55EC"/>
    <w:rsid w:val="003C2EA7"/>
    <w:rsid w:val="003C4471"/>
    <w:rsid w:val="003C7D41"/>
    <w:rsid w:val="003D45B5"/>
    <w:rsid w:val="003D4A69"/>
    <w:rsid w:val="003E0FDB"/>
    <w:rsid w:val="003E504F"/>
    <w:rsid w:val="003E765E"/>
    <w:rsid w:val="003E78D6"/>
    <w:rsid w:val="00400573"/>
    <w:rsid w:val="004007A3"/>
    <w:rsid w:val="00404150"/>
    <w:rsid w:val="00406D71"/>
    <w:rsid w:val="0041243C"/>
    <w:rsid w:val="004326DB"/>
    <w:rsid w:val="0043543A"/>
    <w:rsid w:val="0043682E"/>
    <w:rsid w:val="00447ECB"/>
    <w:rsid w:val="004623F7"/>
    <w:rsid w:val="00480F51"/>
    <w:rsid w:val="00481124"/>
    <w:rsid w:val="004815EB"/>
    <w:rsid w:val="00487569"/>
    <w:rsid w:val="00496864"/>
    <w:rsid w:val="00496920"/>
    <w:rsid w:val="00497D5C"/>
    <w:rsid w:val="004A4496"/>
    <w:rsid w:val="004A659D"/>
    <w:rsid w:val="004B11AB"/>
    <w:rsid w:val="004B1E71"/>
    <w:rsid w:val="004B2E72"/>
    <w:rsid w:val="004B7C9A"/>
    <w:rsid w:val="004C6779"/>
    <w:rsid w:val="004C740D"/>
    <w:rsid w:val="004D13BD"/>
    <w:rsid w:val="004D733B"/>
    <w:rsid w:val="004E0DC4"/>
    <w:rsid w:val="004E0FB5"/>
    <w:rsid w:val="004E20A8"/>
    <w:rsid w:val="004E43BB"/>
    <w:rsid w:val="004E460D"/>
    <w:rsid w:val="004F178E"/>
    <w:rsid w:val="004F4543"/>
    <w:rsid w:val="004F57BB"/>
    <w:rsid w:val="00505309"/>
    <w:rsid w:val="0050789B"/>
    <w:rsid w:val="0051108F"/>
    <w:rsid w:val="005224A1"/>
    <w:rsid w:val="00534372"/>
    <w:rsid w:val="00540ABE"/>
    <w:rsid w:val="00543DF8"/>
    <w:rsid w:val="00546101"/>
    <w:rsid w:val="00546E03"/>
    <w:rsid w:val="00553210"/>
    <w:rsid w:val="00553DD7"/>
    <w:rsid w:val="005564EE"/>
    <w:rsid w:val="005638CF"/>
    <w:rsid w:val="0056741E"/>
    <w:rsid w:val="005722A7"/>
    <w:rsid w:val="0057325A"/>
    <w:rsid w:val="0057469A"/>
    <w:rsid w:val="00580814"/>
    <w:rsid w:val="00583A0B"/>
    <w:rsid w:val="005A03A3"/>
    <w:rsid w:val="005A2B92"/>
    <w:rsid w:val="005A5D06"/>
    <w:rsid w:val="005A79E9"/>
    <w:rsid w:val="005B214C"/>
    <w:rsid w:val="005C1242"/>
    <w:rsid w:val="005D3669"/>
    <w:rsid w:val="005E5EB3"/>
    <w:rsid w:val="005F3CB6"/>
    <w:rsid w:val="005F4CBB"/>
    <w:rsid w:val="005F657C"/>
    <w:rsid w:val="005F7765"/>
    <w:rsid w:val="00602D53"/>
    <w:rsid w:val="006047E5"/>
    <w:rsid w:val="00621096"/>
    <w:rsid w:val="00623DCD"/>
    <w:rsid w:val="006258A9"/>
    <w:rsid w:val="00631B3E"/>
    <w:rsid w:val="00637BF2"/>
    <w:rsid w:val="0064371D"/>
    <w:rsid w:val="00650B2A"/>
    <w:rsid w:val="00651777"/>
    <w:rsid w:val="0065487B"/>
    <w:rsid w:val="006550F8"/>
    <w:rsid w:val="00656226"/>
    <w:rsid w:val="00662A6B"/>
    <w:rsid w:val="006829F3"/>
    <w:rsid w:val="006A518B"/>
    <w:rsid w:val="006A581D"/>
    <w:rsid w:val="006A5FFC"/>
    <w:rsid w:val="006B0590"/>
    <w:rsid w:val="006B0FB0"/>
    <w:rsid w:val="006B49DA"/>
    <w:rsid w:val="006C159E"/>
    <w:rsid w:val="006C53F8"/>
    <w:rsid w:val="006C787F"/>
    <w:rsid w:val="006C7CDE"/>
    <w:rsid w:val="006E5A3E"/>
    <w:rsid w:val="007167D9"/>
    <w:rsid w:val="007234B1"/>
    <w:rsid w:val="00723D08"/>
    <w:rsid w:val="00725FDA"/>
    <w:rsid w:val="00727816"/>
    <w:rsid w:val="00730B9A"/>
    <w:rsid w:val="00733E2E"/>
    <w:rsid w:val="00741D56"/>
    <w:rsid w:val="007439CF"/>
    <w:rsid w:val="00750CFA"/>
    <w:rsid w:val="00752091"/>
    <w:rsid w:val="007553DA"/>
    <w:rsid w:val="00765D60"/>
    <w:rsid w:val="00782354"/>
    <w:rsid w:val="00782BAD"/>
    <w:rsid w:val="007921A7"/>
    <w:rsid w:val="00794B57"/>
    <w:rsid w:val="007B3DB1"/>
    <w:rsid w:val="007C4AB2"/>
    <w:rsid w:val="007C731D"/>
    <w:rsid w:val="007D08B6"/>
    <w:rsid w:val="007D183E"/>
    <w:rsid w:val="007D43D0"/>
    <w:rsid w:val="007D4579"/>
    <w:rsid w:val="007D4FF9"/>
    <w:rsid w:val="007E1833"/>
    <w:rsid w:val="007E3F13"/>
    <w:rsid w:val="007F751A"/>
    <w:rsid w:val="00800012"/>
    <w:rsid w:val="00801328"/>
    <w:rsid w:val="0080261F"/>
    <w:rsid w:val="00806160"/>
    <w:rsid w:val="008143A4"/>
    <w:rsid w:val="0081513E"/>
    <w:rsid w:val="00841B33"/>
    <w:rsid w:val="00844956"/>
    <w:rsid w:val="00845307"/>
    <w:rsid w:val="00846FCB"/>
    <w:rsid w:val="00854131"/>
    <w:rsid w:val="0085652D"/>
    <w:rsid w:val="00860794"/>
    <w:rsid w:val="0087694B"/>
    <w:rsid w:val="00880F4D"/>
    <w:rsid w:val="008962F2"/>
    <w:rsid w:val="008A0FF0"/>
    <w:rsid w:val="008A4064"/>
    <w:rsid w:val="008B1693"/>
    <w:rsid w:val="008B35A3"/>
    <w:rsid w:val="008B37E1"/>
    <w:rsid w:val="008B45F8"/>
    <w:rsid w:val="008C2E74"/>
    <w:rsid w:val="008D1F6C"/>
    <w:rsid w:val="008D47D1"/>
    <w:rsid w:val="008D5409"/>
    <w:rsid w:val="008D5815"/>
    <w:rsid w:val="008E006D"/>
    <w:rsid w:val="008E38B4"/>
    <w:rsid w:val="008E47E0"/>
    <w:rsid w:val="008F4F21"/>
    <w:rsid w:val="00904887"/>
    <w:rsid w:val="00904D4A"/>
    <w:rsid w:val="009151BA"/>
    <w:rsid w:val="00917434"/>
    <w:rsid w:val="00925023"/>
    <w:rsid w:val="009274C5"/>
    <w:rsid w:val="009277BC"/>
    <w:rsid w:val="00927D57"/>
    <w:rsid w:val="00931A51"/>
    <w:rsid w:val="00933B95"/>
    <w:rsid w:val="00947185"/>
    <w:rsid w:val="00947654"/>
    <w:rsid w:val="009518B3"/>
    <w:rsid w:val="00963D9D"/>
    <w:rsid w:val="00973F2F"/>
    <w:rsid w:val="0098013E"/>
    <w:rsid w:val="00981B54"/>
    <w:rsid w:val="009842C3"/>
    <w:rsid w:val="009A009A"/>
    <w:rsid w:val="009A3DFF"/>
    <w:rsid w:val="009A6BB6"/>
    <w:rsid w:val="009B2A24"/>
    <w:rsid w:val="009B3F43"/>
    <w:rsid w:val="009B5CFA"/>
    <w:rsid w:val="009C161F"/>
    <w:rsid w:val="009C56B4"/>
    <w:rsid w:val="009D07E1"/>
    <w:rsid w:val="009D51A2"/>
    <w:rsid w:val="009E04A8"/>
    <w:rsid w:val="009E4AEC"/>
    <w:rsid w:val="009E567C"/>
    <w:rsid w:val="009E5BD8"/>
    <w:rsid w:val="009E681E"/>
    <w:rsid w:val="009F2DEE"/>
    <w:rsid w:val="00A119E6"/>
    <w:rsid w:val="00A20FBC"/>
    <w:rsid w:val="00A31370"/>
    <w:rsid w:val="00A34D6F"/>
    <w:rsid w:val="00A41F91"/>
    <w:rsid w:val="00A43326"/>
    <w:rsid w:val="00A43C7A"/>
    <w:rsid w:val="00A456D6"/>
    <w:rsid w:val="00A568BA"/>
    <w:rsid w:val="00A57D1C"/>
    <w:rsid w:val="00A63355"/>
    <w:rsid w:val="00A7596D"/>
    <w:rsid w:val="00A963DF"/>
    <w:rsid w:val="00AA68D6"/>
    <w:rsid w:val="00AC0C22"/>
    <w:rsid w:val="00AC3896"/>
    <w:rsid w:val="00AD2CF2"/>
    <w:rsid w:val="00AE2872"/>
    <w:rsid w:val="00AE2D88"/>
    <w:rsid w:val="00AE68D3"/>
    <w:rsid w:val="00AE6F6F"/>
    <w:rsid w:val="00AF3325"/>
    <w:rsid w:val="00AF34D9"/>
    <w:rsid w:val="00AF70DA"/>
    <w:rsid w:val="00B019D3"/>
    <w:rsid w:val="00B131C3"/>
    <w:rsid w:val="00B13E4C"/>
    <w:rsid w:val="00B14301"/>
    <w:rsid w:val="00B15D66"/>
    <w:rsid w:val="00B3497B"/>
    <w:rsid w:val="00B34CF9"/>
    <w:rsid w:val="00B37559"/>
    <w:rsid w:val="00B4054B"/>
    <w:rsid w:val="00B579B0"/>
    <w:rsid w:val="00B57D11"/>
    <w:rsid w:val="00B6398D"/>
    <w:rsid w:val="00B649D7"/>
    <w:rsid w:val="00B67013"/>
    <w:rsid w:val="00B72D59"/>
    <w:rsid w:val="00B81C2F"/>
    <w:rsid w:val="00B90743"/>
    <w:rsid w:val="00B90C45"/>
    <w:rsid w:val="00B933BE"/>
    <w:rsid w:val="00BA072F"/>
    <w:rsid w:val="00BB23AC"/>
    <w:rsid w:val="00BD20E4"/>
    <w:rsid w:val="00BD28C5"/>
    <w:rsid w:val="00BD6738"/>
    <w:rsid w:val="00BD7E5E"/>
    <w:rsid w:val="00BE021F"/>
    <w:rsid w:val="00BE35C0"/>
    <w:rsid w:val="00BE63DB"/>
    <w:rsid w:val="00BE6574"/>
    <w:rsid w:val="00BF58EA"/>
    <w:rsid w:val="00C07319"/>
    <w:rsid w:val="00C14479"/>
    <w:rsid w:val="00C16F55"/>
    <w:rsid w:val="00C16FD2"/>
    <w:rsid w:val="00C264BF"/>
    <w:rsid w:val="00C26A24"/>
    <w:rsid w:val="00C30BE1"/>
    <w:rsid w:val="00C4395E"/>
    <w:rsid w:val="00C47FFD"/>
    <w:rsid w:val="00C51E92"/>
    <w:rsid w:val="00C52AE6"/>
    <w:rsid w:val="00C57E2C"/>
    <w:rsid w:val="00C608B7"/>
    <w:rsid w:val="00C616DE"/>
    <w:rsid w:val="00C66F24"/>
    <w:rsid w:val="00C75E0B"/>
    <w:rsid w:val="00C76D7F"/>
    <w:rsid w:val="00C813AA"/>
    <w:rsid w:val="00C818D7"/>
    <w:rsid w:val="00C85C3C"/>
    <w:rsid w:val="00C865D7"/>
    <w:rsid w:val="00C87BB0"/>
    <w:rsid w:val="00C9291E"/>
    <w:rsid w:val="00CA3F44"/>
    <w:rsid w:val="00CA40B7"/>
    <w:rsid w:val="00CA4E58"/>
    <w:rsid w:val="00CB3771"/>
    <w:rsid w:val="00CB44BF"/>
    <w:rsid w:val="00CB5153"/>
    <w:rsid w:val="00CD4E44"/>
    <w:rsid w:val="00CE076A"/>
    <w:rsid w:val="00CE1118"/>
    <w:rsid w:val="00CE463D"/>
    <w:rsid w:val="00CF720A"/>
    <w:rsid w:val="00D06EAB"/>
    <w:rsid w:val="00D0724B"/>
    <w:rsid w:val="00D10BA0"/>
    <w:rsid w:val="00D14DFE"/>
    <w:rsid w:val="00D21694"/>
    <w:rsid w:val="00D24EB5"/>
    <w:rsid w:val="00D35AB9"/>
    <w:rsid w:val="00D41571"/>
    <w:rsid w:val="00D416A0"/>
    <w:rsid w:val="00D47672"/>
    <w:rsid w:val="00D5123C"/>
    <w:rsid w:val="00D55560"/>
    <w:rsid w:val="00D61C5A"/>
    <w:rsid w:val="00D6790C"/>
    <w:rsid w:val="00D70369"/>
    <w:rsid w:val="00D73277"/>
    <w:rsid w:val="00D746C8"/>
    <w:rsid w:val="00D76586"/>
    <w:rsid w:val="00D81ABD"/>
    <w:rsid w:val="00D82657"/>
    <w:rsid w:val="00D82F7E"/>
    <w:rsid w:val="00D87E20"/>
    <w:rsid w:val="00DA2B09"/>
    <w:rsid w:val="00DA4037"/>
    <w:rsid w:val="00DA5E41"/>
    <w:rsid w:val="00DC0A2C"/>
    <w:rsid w:val="00DC3670"/>
    <w:rsid w:val="00DD18EE"/>
    <w:rsid w:val="00DD424B"/>
    <w:rsid w:val="00DE3EDD"/>
    <w:rsid w:val="00DE66A5"/>
    <w:rsid w:val="00DE6C20"/>
    <w:rsid w:val="00DF00F2"/>
    <w:rsid w:val="00DF2B50"/>
    <w:rsid w:val="00E04C86"/>
    <w:rsid w:val="00E17344"/>
    <w:rsid w:val="00E20F30"/>
    <w:rsid w:val="00E2189C"/>
    <w:rsid w:val="00E25BB1"/>
    <w:rsid w:val="00E268AA"/>
    <w:rsid w:val="00E27BBA"/>
    <w:rsid w:val="00E30E3F"/>
    <w:rsid w:val="00E35E8F"/>
    <w:rsid w:val="00E403BE"/>
    <w:rsid w:val="00E428AB"/>
    <w:rsid w:val="00E438E8"/>
    <w:rsid w:val="00E453A3"/>
    <w:rsid w:val="00E520E2"/>
    <w:rsid w:val="00E530C4"/>
    <w:rsid w:val="00E55996"/>
    <w:rsid w:val="00E56396"/>
    <w:rsid w:val="00E63F2D"/>
    <w:rsid w:val="00E64254"/>
    <w:rsid w:val="00E666BA"/>
    <w:rsid w:val="00E67928"/>
    <w:rsid w:val="00E70FB5"/>
    <w:rsid w:val="00E72585"/>
    <w:rsid w:val="00E871B6"/>
    <w:rsid w:val="00E915AF"/>
    <w:rsid w:val="00E96415"/>
    <w:rsid w:val="00EA15B3"/>
    <w:rsid w:val="00EA73C5"/>
    <w:rsid w:val="00EB2358"/>
    <w:rsid w:val="00EB3EB8"/>
    <w:rsid w:val="00EC02FE"/>
    <w:rsid w:val="00EC4A96"/>
    <w:rsid w:val="00EC4E10"/>
    <w:rsid w:val="00EC5E88"/>
    <w:rsid w:val="00ED7EB8"/>
    <w:rsid w:val="00EE5A42"/>
    <w:rsid w:val="00EF1C72"/>
    <w:rsid w:val="00EF585E"/>
    <w:rsid w:val="00F00BDA"/>
    <w:rsid w:val="00F044FA"/>
    <w:rsid w:val="00F32F53"/>
    <w:rsid w:val="00F37EDE"/>
    <w:rsid w:val="00F424BF"/>
    <w:rsid w:val="00F44FC3"/>
    <w:rsid w:val="00F46107"/>
    <w:rsid w:val="00F468C5"/>
    <w:rsid w:val="00F50823"/>
    <w:rsid w:val="00F52F39"/>
    <w:rsid w:val="00F57FCC"/>
    <w:rsid w:val="00F6184F"/>
    <w:rsid w:val="00F8310E"/>
    <w:rsid w:val="00F851B0"/>
    <w:rsid w:val="00F90707"/>
    <w:rsid w:val="00F914DD"/>
    <w:rsid w:val="00FA2358"/>
    <w:rsid w:val="00FA7EE5"/>
    <w:rsid w:val="00FB2592"/>
    <w:rsid w:val="00FB2810"/>
    <w:rsid w:val="00FB2CFB"/>
    <w:rsid w:val="00FB7A2C"/>
    <w:rsid w:val="00FC2947"/>
    <w:rsid w:val="00FC6F6B"/>
    <w:rsid w:val="00FE0818"/>
    <w:rsid w:val="00FE0861"/>
    <w:rsid w:val="00FE08D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66BFB863-1CA5-463B-B485-26D0E63A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1108F"/>
    <w:rPr>
      <w:sz w:val="24"/>
      <w:szCs w:val="22"/>
      <w:lang w:val="en-US" w:eastAsia="en-US"/>
    </w:rPr>
  </w:style>
  <w:style w:type="paragraph" w:styleId="ListParagraph">
    <w:name w:val="List Paragraph"/>
    <w:basedOn w:val="Normal"/>
    <w:uiPriority w:val="34"/>
    <w:qFormat/>
    <w:rsid w:val="000876EE"/>
    <w:pPr>
      <w:ind w:left="720"/>
      <w:contextualSpacing/>
    </w:pPr>
  </w:style>
  <w:style w:type="character" w:styleId="FollowedHyperlink">
    <w:name w:val="FollowedHyperlink"/>
    <w:basedOn w:val="DefaultParagraphFont"/>
    <w:semiHidden/>
    <w:unhideWhenUsed/>
    <w:rsid w:val="00844956"/>
    <w:rPr>
      <w:color w:val="800080" w:themeColor="followedHyperlink"/>
      <w:u w:val="single"/>
    </w:rPr>
  </w:style>
  <w:style w:type="character" w:customStyle="1" w:styleId="Artref">
    <w:name w:val="Art_ref"/>
    <w:basedOn w:val="DefaultParagraphFont"/>
    <w:rsid w:val="00947654"/>
  </w:style>
  <w:style w:type="paragraph" w:styleId="BodyText">
    <w:name w:val="Body Text"/>
    <w:basedOn w:val="Normal"/>
    <w:link w:val="BodyTextChar"/>
    <w:rsid w:val="001F4F3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rPr>
  </w:style>
  <w:style w:type="character" w:customStyle="1" w:styleId="BodyTextChar">
    <w:name w:val="Body Text Char"/>
    <w:basedOn w:val="DefaultParagraphFont"/>
    <w:link w:val="BodyText"/>
    <w:rsid w:val="001F4F32"/>
    <w:rPr>
      <w:rFonts w:ascii="Times New Roman" w:hAnsi="Times New Roman" w:cs="Times New Roman"/>
      <w:sz w:val="24"/>
      <w:szCs w:val="24"/>
      <w:lang w:val="en-US" w:eastAsia="en-US"/>
    </w:rPr>
  </w:style>
  <w:style w:type="character" w:customStyle="1" w:styleId="Artdef">
    <w:name w:val="Art_def"/>
    <w:basedOn w:val="DefaultParagraphFont"/>
    <w:rsid w:val="001F4F32"/>
    <w:rPr>
      <w:rFonts w:ascii="Times New Roman" w:hAnsi="Times New Roman"/>
      <w:b/>
    </w:rPr>
  </w:style>
  <w:style w:type="paragraph" w:customStyle="1" w:styleId="AnnexNotitle0">
    <w:name w:val="Annex_No &amp; title"/>
    <w:basedOn w:val="Normal"/>
    <w:next w:val="Normal"/>
    <w:uiPriority w:val="99"/>
    <w:rsid w:val="00DC0A2C"/>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basedOn w:val="DefaultParagraphFont"/>
    <w:link w:val="Tabletext"/>
    <w:locked/>
    <w:rsid w:val="00DC0A2C"/>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84686">
      <w:bodyDiv w:val="1"/>
      <w:marLeft w:val="0"/>
      <w:marRight w:val="0"/>
      <w:marTop w:val="0"/>
      <w:marBottom w:val="0"/>
      <w:divBdr>
        <w:top w:val="none" w:sz="0" w:space="0" w:color="auto"/>
        <w:left w:val="none" w:sz="0" w:space="0" w:color="auto"/>
        <w:bottom w:val="none" w:sz="0" w:space="0" w:color="auto"/>
        <w:right w:val="none" w:sz="0" w:space="0" w:color="auto"/>
      </w:divBdr>
    </w:div>
    <w:div w:id="1034380090">
      <w:bodyDiv w:val="1"/>
      <w:marLeft w:val="0"/>
      <w:marRight w:val="0"/>
      <w:marTop w:val="0"/>
      <w:marBottom w:val="0"/>
      <w:divBdr>
        <w:top w:val="none" w:sz="0" w:space="0" w:color="auto"/>
        <w:left w:val="none" w:sz="0" w:space="0" w:color="auto"/>
        <w:bottom w:val="none" w:sz="0" w:space="0" w:color="auto"/>
        <w:right w:val="none" w:sz="0" w:space="0" w:color="auto"/>
      </w:divBdr>
    </w:div>
    <w:div w:id="1035010139">
      <w:bodyDiv w:val="1"/>
      <w:marLeft w:val="0"/>
      <w:marRight w:val="0"/>
      <w:marTop w:val="0"/>
      <w:marBottom w:val="0"/>
      <w:divBdr>
        <w:top w:val="none" w:sz="0" w:space="0" w:color="auto"/>
        <w:left w:val="none" w:sz="0" w:space="0" w:color="auto"/>
        <w:bottom w:val="none" w:sz="0" w:space="0" w:color="auto"/>
        <w:right w:val="none" w:sz="0" w:space="0" w:color="auto"/>
      </w:divBdr>
    </w:div>
    <w:div w:id="1328292849">
      <w:bodyDiv w:val="1"/>
      <w:marLeft w:val="0"/>
      <w:marRight w:val="0"/>
      <w:marTop w:val="0"/>
      <w:marBottom w:val="0"/>
      <w:divBdr>
        <w:top w:val="none" w:sz="0" w:space="0" w:color="auto"/>
        <w:left w:val="none" w:sz="0" w:space="0" w:color="auto"/>
        <w:bottom w:val="none" w:sz="0" w:space="0" w:color="auto"/>
        <w:right w:val="none" w:sz="0" w:space="0" w:color="auto"/>
      </w:divBdr>
    </w:div>
    <w:div w:id="133380180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23591434">
      <w:bodyDiv w:val="1"/>
      <w:marLeft w:val="0"/>
      <w:marRight w:val="0"/>
      <w:marTop w:val="0"/>
      <w:marBottom w:val="0"/>
      <w:divBdr>
        <w:top w:val="none" w:sz="0" w:space="0" w:color="auto"/>
        <w:left w:val="none" w:sz="0" w:space="0" w:color="auto"/>
        <w:bottom w:val="none" w:sz="0" w:space="0" w:color="auto"/>
        <w:right w:val="none" w:sz="0" w:space="0" w:color="auto"/>
      </w:divBdr>
    </w:div>
    <w:div w:id="207500582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9E01-A443-4E3A-8EF7-1F1B7F39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60</TotalTime>
  <Pages>7</Pages>
  <Words>2097</Words>
  <Characters>11513</Characters>
  <Application>Microsoft Office Word</Application>
  <DocSecurity>0</DocSecurity>
  <Lines>95</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13583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Gimenez, Christine</cp:lastModifiedBy>
  <cp:revision>10</cp:revision>
  <cp:lastPrinted>2016-07-04T08:18:00Z</cp:lastPrinted>
  <dcterms:created xsi:type="dcterms:W3CDTF">2016-06-21T09:45:00Z</dcterms:created>
  <dcterms:modified xsi:type="dcterms:W3CDTF">2016-07-04T08:26:00Z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