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531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bookmarkStart w:id="0" w:name="_GoBack"/>
            <w:bookmarkEnd w:id="0"/>
            <w:r w:rsidRPr="000531E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0531E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0531E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0531EB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0531EB" w:rsidRDefault="00E51DA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FR"/>
              </w:rPr>
              <w:t>Lettre c</w:t>
            </w:r>
            <w:r w:rsidRPr="00C23C3D">
              <w:rPr>
                <w:szCs w:val="24"/>
                <w:lang w:val="fr-FR"/>
              </w:rPr>
              <w:t>irculaire</w:t>
            </w:r>
          </w:p>
          <w:p w:rsidR="00E53DCE" w:rsidRPr="000531EB" w:rsidRDefault="00E53DCE" w:rsidP="00E51DA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>C</w:t>
            </w:r>
            <w:r w:rsidR="00E51DAE">
              <w:rPr>
                <w:b/>
                <w:bCs/>
                <w:szCs w:val="24"/>
                <w:lang w:val="fr-CH"/>
              </w:rPr>
              <w:t>R</w:t>
            </w:r>
            <w:r w:rsidRPr="000531EB">
              <w:rPr>
                <w:b/>
                <w:bCs/>
                <w:szCs w:val="24"/>
                <w:lang w:val="fr-CH"/>
              </w:rPr>
              <w:t>/</w:t>
            </w:r>
            <w:r w:rsidR="00BB5D01" w:rsidRPr="000531EB">
              <w:rPr>
                <w:b/>
                <w:bCs/>
                <w:szCs w:val="24"/>
                <w:lang w:val="fr-CH"/>
              </w:rPr>
              <w:t>397</w:t>
            </w:r>
          </w:p>
        </w:tc>
        <w:tc>
          <w:tcPr>
            <w:tcW w:w="2835" w:type="dxa"/>
            <w:shd w:val="clear" w:color="auto" w:fill="auto"/>
          </w:tcPr>
          <w:p w:rsidR="00E53DCE" w:rsidRPr="000531EB" w:rsidRDefault="004B0EEC" w:rsidP="00422625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0531EB">
              <w:rPr>
                <w:szCs w:val="24"/>
                <w:lang w:val="fr-CH"/>
              </w:rPr>
              <w:t>L</w:t>
            </w:r>
            <w:r w:rsidR="00E53DCE" w:rsidRPr="000531EB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4519B020992540E29B7869A3A0AC9B77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22625">
                  <w:rPr>
                    <w:rFonts w:cs="Arial"/>
                    <w:szCs w:val="24"/>
                    <w:lang w:val="fr-CH"/>
                  </w:rPr>
                  <w:t>8</w:t>
                </w:r>
                <w:r w:rsidR="00E53DCE" w:rsidRPr="000531EB">
                  <w:rPr>
                    <w:rFonts w:cs="Arial"/>
                    <w:szCs w:val="24"/>
                    <w:lang w:val="fr-CH"/>
                  </w:rPr>
                  <w:t xml:space="preserve"> </w:t>
                </w:r>
                <w:r w:rsidR="00BB5D01" w:rsidRPr="000531EB">
                  <w:rPr>
                    <w:rFonts w:cs="Arial"/>
                    <w:szCs w:val="24"/>
                    <w:lang w:val="fr-CH"/>
                  </w:rPr>
                  <w:t xml:space="preserve">avril </w:t>
                </w:r>
                <w:r w:rsidR="00E53DCE" w:rsidRPr="000531EB">
                  <w:rPr>
                    <w:rFonts w:cs="Arial"/>
                    <w:szCs w:val="24"/>
                    <w:lang w:val="fr-CH"/>
                  </w:rPr>
                  <w:t>201</w:t>
                </w:r>
                <w:r w:rsidR="00BB5D01" w:rsidRPr="000531EB">
                  <w:rPr>
                    <w:rFonts w:cs="Arial"/>
                    <w:szCs w:val="24"/>
                    <w:lang w:val="fr-CH"/>
                  </w:rPr>
                  <w:t>6</w:t>
                </w:r>
              </w:sdtContent>
            </w:sdt>
          </w:p>
        </w:tc>
      </w:tr>
      <w:tr w:rsidR="00E53DCE" w:rsidRPr="000531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531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D6A8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0531E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D6A8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D6A8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531EB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531EB">
              <w:rPr>
                <w:lang w:val="fr-CH"/>
              </w:rPr>
              <w:t>Objet</w:t>
            </w:r>
            <w:r w:rsidR="00E53DCE" w:rsidRPr="000531EB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531EB" w:rsidRDefault="00BB5D0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bookmarkStart w:id="1" w:name="lt_pId007"/>
            <w:r w:rsidRPr="000531EB">
              <w:rPr>
                <w:b/>
                <w:bCs/>
                <w:szCs w:val="24"/>
                <w:lang w:val="fr-CH"/>
              </w:rPr>
              <w:t>Publication des renseignements au titre des numéros 11.41 et 11.41A du Règlement des radiocommunications</w:t>
            </w:r>
            <w:bookmarkEnd w:id="1"/>
          </w:p>
        </w:tc>
      </w:tr>
      <w:tr w:rsidR="00E53DCE" w:rsidRPr="008D6A8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531E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531E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D6A8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531E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531E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88417E" w:rsidRPr="008D6A8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8417E" w:rsidRPr="000531EB" w:rsidRDefault="0088417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64C1C" w:rsidRPr="008D6A8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64C1C" w:rsidRPr="000531EB" w:rsidRDefault="00E64C1C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1DAE" w:rsidRDefault="00E51DAE" w:rsidP="00E51DAE">
      <w:pPr>
        <w:rPr>
          <w:lang w:val="fr-CH"/>
        </w:rPr>
      </w:pPr>
      <w:bookmarkStart w:id="2" w:name="lt_pId008"/>
    </w:p>
    <w:p w:rsidR="00BB5D01" w:rsidRPr="000531EB" w:rsidRDefault="00BB5D01" w:rsidP="00E51DAE">
      <w:pPr>
        <w:rPr>
          <w:lang w:val="fr-CH"/>
        </w:rPr>
      </w:pPr>
      <w:r w:rsidRPr="000531EB">
        <w:rPr>
          <w:lang w:val="fr-CH"/>
        </w:rPr>
        <w:t xml:space="preserve">La </w:t>
      </w:r>
      <w:r w:rsidRPr="000531EB">
        <w:rPr>
          <w:rFonts w:asciiTheme="minorHAnsi" w:hAnsiTheme="minorHAnsi" w:cstheme="minorHAnsi"/>
          <w:lang w:val="fr-CH"/>
        </w:rPr>
        <w:t>présente</w:t>
      </w:r>
      <w:r w:rsidRPr="000531EB">
        <w:rPr>
          <w:lang w:val="fr-CH"/>
        </w:rPr>
        <w:t xml:space="preserve"> Lettre circulaire vise à fournir des renseignements sur la nouvelle présentation de la publication</w:t>
      </w:r>
      <w:r w:rsidR="00F924DF" w:rsidRPr="000531EB">
        <w:rPr>
          <w:lang w:val="fr-CH"/>
        </w:rPr>
        <w:t>,</w:t>
      </w:r>
      <w:r w:rsidRPr="000531EB">
        <w:rPr>
          <w:lang w:val="fr-CH"/>
        </w:rPr>
        <w:t xml:space="preserve"> par le Bureau des radiocommunications, des besoins de coordination établis conformément au numéro </w:t>
      </w:r>
      <w:r w:rsidRPr="000531EB">
        <w:rPr>
          <w:b/>
          <w:bCs/>
          <w:lang w:val="fr-CH"/>
        </w:rPr>
        <w:t>9.36.2</w:t>
      </w:r>
      <w:r w:rsidRPr="000531EB">
        <w:rPr>
          <w:lang w:val="fr-CH"/>
        </w:rPr>
        <w:t xml:space="preserve"> du Règlement des radiocommunications, ainsi que sur la nouvelle procédure d'inscription et de réexamen des conclusions au titre du numéro </w:t>
      </w:r>
      <w:r w:rsidRPr="000531EB">
        <w:rPr>
          <w:b/>
          <w:bCs/>
          <w:lang w:val="fr-CH"/>
        </w:rPr>
        <w:t>11.41</w:t>
      </w:r>
      <w:r w:rsidRPr="000531EB">
        <w:rPr>
          <w:lang w:val="fr-CH"/>
        </w:rPr>
        <w:t xml:space="preserve">, en application du numéro </w:t>
      </w:r>
      <w:r w:rsidRPr="000531EB">
        <w:rPr>
          <w:b/>
          <w:bCs/>
          <w:lang w:val="fr-CH"/>
        </w:rPr>
        <w:t>11.41A</w:t>
      </w:r>
      <w:r w:rsidRPr="000531EB">
        <w:rPr>
          <w:lang w:val="fr-CH"/>
        </w:rPr>
        <w:t>.</w:t>
      </w:r>
      <w:bookmarkEnd w:id="2"/>
    </w:p>
    <w:p w:rsidR="00BB5D01" w:rsidRPr="000531EB" w:rsidRDefault="00BB5D01" w:rsidP="00E51DAE">
      <w:pPr>
        <w:rPr>
          <w:lang w:val="fr-CH"/>
        </w:rPr>
      </w:pPr>
      <w:bookmarkStart w:id="3" w:name="lt_pId009"/>
      <w:r w:rsidRPr="000531EB">
        <w:rPr>
          <w:lang w:val="fr-CH"/>
        </w:rPr>
        <w:t xml:space="preserve">A sa réunion de juin 2015, le Groupe de travail 4A de l'UIT-R a demandé au Directeur du Bureau des </w:t>
      </w:r>
      <w:r w:rsidRPr="000531EB">
        <w:rPr>
          <w:rFonts w:asciiTheme="minorHAnsi" w:hAnsiTheme="minorHAnsi" w:cstheme="minorHAnsi"/>
          <w:lang w:val="fr-CH"/>
        </w:rPr>
        <w:t>radiocommunications</w:t>
      </w:r>
      <w:r w:rsidRPr="000531EB">
        <w:rPr>
          <w:lang w:val="fr-CH"/>
        </w:rPr>
        <w:t xml:space="preserve"> d'étudier et de mettre en </w:t>
      </w:r>
      <w:proofErr w:type="spellStart"/>
      <w:r w:rsidR="00F924DF" w:rsidRPr="000531EB">
        <w:rPr>
          <w:lang w:val="fr-CH"/>
        </w:rPr>
        <w:t>oe</w:t>
      </w:r>
      <w:r w:rsidRPr="000531EB">
        <w:rPr>
          <w:lang w:val="fr-CH"/>
        </w:rPr>
        <w:t>uvre</w:t>
      </w:r>
      <w:proofErr w:type="spellEnd"/>
      <w:r w:rsidRPr="000531EB">
        <w:rPr>
          <w:lang w:val="fr-CH"/>
        </w:rPr>
        <w:t>, si possible, les propositions suivantes (Document</w:t>
      </w:r>
      <w:bookmarkEnd w:id="3"/>
      <w:r w:rsidRPr="000531EB">
        <w:rPr>
          <w:lang w:val="fr-CH"/>
        </w:rPr>
        <w:t> </w:t>
      </w:r>
      <w:bookmarkStart w:id="4" w:name="lt_pId010"/>
      <w:r w:rsidRPr="000531EB">
        <w:rPr>
          <w:lang w:val="fr-CH"/>
        </w:rPr>
        <w:t>4A/669</w:t>
      </w:r>
      <w:r w:rsidR="00F924DF" w:rsidRPr="000531EB">
        <w:rPr>
          <w:lang w:val="fr-CH"/>
        </w:rPr>
        <w:t>,</w:t>
      </w:r>
      <w:r w:rsidRPr="000531EB">
        <w:rPr>
          <w:lang w:val="fr-CH"/>
        </w:rPr>
        <w:t xml:space="preserve"> Annexe 14):</w:t>
      </w:r>
      <w:bookmarkEnd w:id="4"/>
    </w:p>
    <w:p w:rsidR="00BB5D01" w:rsidRPr="000531EB" w:rsidRDefault="00BB5D01" w:rsidP="00BB5D01">
      <w:pPr>
        <w:pStyle w:val="enumlev1"/>
        <w:rPr>
          <w:lang w:val="fr-CH"/>
        </w:rPr>
      </w:pPr>
      <w:bookmarkStart w:id="5" w:name="lt_pId011"/>
      <w:r w:rsidRPr="000531EB">
        <w:rPr>
          <w:lang w:val="fr-CH"/>
        </w:rPr>
        <w:t>1)</w:t>
      </w:r>
      <w:r w:rsidRPr="000531EB">
        <w:rPr>
          <w:lang w:val="fr-CH"/>
        </w:rPr>
        <w:tab/>
        <w:t xml:space="preserve">Inscrire dans deux Listes distinctes les réseaux à satellite, identifiés au titre du numéro </w:t>
      </w:r>
      <w:r w:rsidRPr="000531EB">
        <w:rPr>
          <w:b/>
          <w:bCs/>
          <w:lang w:val="fr-CH"/>
        </w:rPr>
        <w:t>9.7</w:t>
      </w:r>
      <w:r w:rsidRPr="000531EB">
        <w:rPr>
          <w:lang w:val="fr-CH"/>
        </w:rPr>
        <w:t xml:space="preserve"> en application du numéro </w:t>
      </w:r>
      <w:r w:rsidRPr="000531EB">
        <w:rPr>
          <w:b/>
          <w:bCs/>
          <w:lang w:val="fr-CH"/>
        </w:rPr>
        <w:t>9.36.2</w:t>
      </w:r>
      <w:r w:rsidRPr="000531EB">
        <w:rPr>
          <w:lang w:val="fr-CH"/>
        </w:rPr>
        <w:t>, selon qu'ils fonctionnent dans le même sens de transmission ou dans le sens de transmission opposé.</w:t>
      </w:r>
      <w:bookmarkEnd w:id="5"/>
    </w:p>
    <w:p w:rsidR="00BB5D01" w:rsidRPr="000531EB" w:rsidRDefault="00BB5D01" w:rsidP="00E51DAE">
      <w:pPr>
        <w:pStyle w:val="enumlev1"/>
        <w:rPr>
          <w:lang w:val="fr-CH"/>
        </w:rPr>
      </w:pPr>
      <w:bookmarkStart w:id="6" w:name="lt_pId012"/>
      <w:r w:rsidRPr="000531EB">
        <w:rPr>
          <w:lang w:val="fr-CH" w:eastAsia="zh-CN"/>
        </w:rPr>
        <w:t>2)</w:t>
      </w:r>
      <w:r w:rsidRPr="000531EB">
        <w:rPr>
          <w:lang w:val="fr-CH" w:eastAsia="zh-CN"/>
        </w:rPr>
        <w:tab/>
        <w:t xml:space="preserve">Remplacer la liste unique d'administrations au titre du numéro </w:t>
      </w:r>
      <w:r w:rsidRPr="00E51DAE">
        <w:rPr>
          <w:b/>
          <w:bCs/>
          <w:lang w:val="fr-CH" w:eastAsia="zh-CN"/>
        </w:rPr>
        <w:t>11</w:t>
      </w:r>
      <w:r w:rsidR="00E51DAE" w:rsidRPr="00E51DAE">
        <w:rPr>
          <w:b/>
          <w:bCs/>
          <w:lang w:val="fr-CH" w:eastAsia="zh-CN"/>
        </w:rPr>
        <w:t>.</w:t>
      </w:r>
      <w:r w:rsidRPr="00E51DAE">
        <w:rPr>
          <w:b/>
          <w:bCs/>
          <w:lang w:val="fr-CH" w:eastAsia="zh-CN"/>
        </w:rPr>
        <w:t>41</w:t>
      </w:r>
      <w:r w:rsidRPr="000531EB">
        <w:rPr>
          <w:lang w:val="fr-CH" w:eastAsia="zh-CN"/>
        </w:rPr>
        <w:t>,</w:t>
      </w:r>
      <w:r w:rsidRPr="000531EB">
        <w:rPr>
          <w:lang w:val="fr-CH"/>
        </w:rPr>
        <w:t xml:space="preserve"> </w:t>
      </w:r>
      <w:r w:rsidRPr="000531EB">
        <w:rPr>
          <w:lang w:val="fr-CH" w:eastAsia="zh-CN"/>
        </w:rPr>
        <w:t xml:space="preserve">dans la Partie </w:t>
      </w:r>
      <w:r w:rsidRPr="000531EB">
        <w:rPr>
          <w:lang w:val="fr-CH"/>
        </w:rPr>
        <w:t xml:space="preserve">II-S des réseaux à satellite, par des listes distinctes pour les différentes dispositions pour lesquelles la coordination doit encore être menée à bien (par exemple les numéros </w:t>
      </w:r>
      <w:r w:rsidRPr="000531EB">
        <w:rPr>
          <w:b/>
          <w:bCs/>
          <w:lang w:val="fr-CH"/>
        </w:rPr>
        <w:t>11.41/9.7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11.41/9.12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11.41/9.13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11.41/9.14</w:t>
      </w:r>
      <w:r w:rsidRPr="000531EB">
        <w:rPr>
          <w:lang w:val="fr-CH"/>
        </w:rPr>
        <w:t xml:space="preserve">, etc.), et </w:t>
      </w:r>
      <w:r w:rsidR="00F924DF" w:rsidRPr="000531EB">
        <w:rPr>
          <w:lang w:val="fr-CH"/>
        </w:rPr>
        <w:t>établir</w:t>
      </w:r>
      <w:r w:rsidRPr="000531EB">
        <w:rPr>
          <w:lang w:val="fr-CH"/>
        </w:rPr>
        <w:t xml:space="preserve"> la liste des différents réseaux à satellite et systèmes à satellites avec lesquels la coordination doit encore être menée à bien</w:t>
      </w:r>
      <w:bookmarkEnd w:id="6"/>
      <w:r w:rsidR="004B0EEC">
        <w:rPr>
          <w:lang w:val="fr-CH"/>
        </w:rPr>
        <w:t>.</w:t>
      </w:r>
    </w:p>
    <w:p w:rsidR="00BB5D01" w:rsidRPr="000531EB" w:rsidRDefault="00BB5D01" w:rsidP="00E51DAE">
      <w:pPr>
        <w:rPr>
          <w:lang w:val="fr-CH"/>
        </w:rPr>
      </w:pPr>
      <w:bookmarkStart w:id="7" w:name="lt_pId013"/>
      <w:r w:rsidRPr="000531EB">
        <w:rPr>
          <w:lang w:val="fr-CH"/>
        </w:rPr>
        <w:t xml:space="preserve">Le Bureau est heureux d'informer les administrations que les propositions ci-dessus soumises par le Groupe de travail 4A ont à présent été mises en </w:t>
      </w:r>
      <w:proofErr w:type="spellStart"/>
      <w:r w:rsidR="00F924DF" w:rsidRPr="000531EB">
        <w:rPr>
          <w:lang w:val="fr-CH"/>
        </w:rPr>
        <w:t>oe</w:t>
      </w:r>
      <w:r w:rsidRPr="000531EB">
        <w:rPr>
          <w:lang w:val="fr-CH"/>
        </w:rPr>
        <w:t>uvre</w:t>
      </w:r>
      <w:bookmarkEnd w:id="7"/>
      <w:proofErr w:type="spellEnd"/>
      <w:r w:rsidR="00F924DF" w:rsidRPr="000531EB">
        <w:rPr>
          <w:lang w:val="fr-CH"/>
        </w:rPr>
        <w:t>.</w:t>
      </w:r>
    </w:p>
    <w:p w:rsidR="00BB5D01" w:rsidRPr="000531EB" w:rsidRDefault="00BB5D01" w:rsidP="0088417E">
      <w:pPr>
        <w:pStyle w:val="Headingb"/>
        <w:rPr>
          <w:lang w:val="fr-CH"/>
        </w:rPr>
      </w:pPr>
      <w:bookmarkStart w:id="8" w:name="lt_pId014"/>
      <w:r w:rsidRPr="000531EB">
        <w:rPr>
          <w:lang w:val="fr-CH"/>
        </w:rPr>
        <w:t>Nouveaux symboles pour les dispositions</w:t>
      </w:r>
      <w:bookmarkEnd w:id="8"/>
    </w:p>
    <w:p w:rsidR="00BB5D01" w:rsidRDefault="00BB5D01" w:rsidP="00E51DAE">
      <w:pPr>
        <w:rPr>
          <w:lang w:val="fr-CH"/>
        </w:rPr>
      </w:pPr>
      <w:bookmarkStart w:id="9" w:name="lt_pId015"/>
      <w:r w:rsidRPr="000531EB">
        <w:rPr>
          <w:lang w:val="fr-CH"/>
        </w:rPr>
        <w:t xml:space="preserve">Le Bureau a modifié le logiciel GIBC/AP8, accessible dans la </w:t>
      </w:r>
      <w:r w:rsidR="00E64C1C" w:rsidRPr="000531EB">
        <w:rPr>
          <w:lang w:val="fr-CH"/>
        </w:rPr>
        <w:t>BR IFIC 2817</w:t>
      </w:r>
      <w:r w:rsidRPr="000531EB">
        <w:rPr>
          <w:lang w:val="fr-CH"/>
        </w:rPr>
        <w:t xml:space="preserve">/12.04.2016, pour mettre en </w:t>
      </w:r>
      <w:proofErr w:type="spellStart"/>
      <w:r w:rsidR="00F924DF" w:rsidRPr="000531EB">
        <w:rPr>
          <w:lang w:val="fr-CH"/>
        </w:rPr>
        <w:t>oe</w:t>
      </w:r>
      <w:r w:rsidRPr="000531EB">
        <w:rPr>
          <w:lang w:val="fr-CH"/>
        </w:rPr>
        <w:t>uvre</w:t>
      </w:r>
      <w:proofErr w:type="spellEnd"/>
      <w:r w:rsidRPr="000531EB">
        <w:rPr>
          <w:lang w:val="fr-CH"/>
        </w:rPr>
        <w:t xml:space="preserve"> la première prescription ci-dessus, qui sera appliquée aux demandes de coordination de réseaux à satellite reçus au 28 novembre 2015</w:t>
      </w:r>
      <w:bookmarkEnd w:id="9"/>
      <w:r w:rsidR="00F924DF" w:rsidRPr="000531EB">
        <w:rPr>
          <w:lang w:val="fr-CH"/>
        </w:rPr>
        <w:t>.</w:t>
      </w:r>
    </w:p>
    <w:p w:rsidR="00422625" w:rsidRDefault="00422625" w:rsidP="00E51DAE">
      <w:pPr>
        <w:rPr>
          <w:lang w:val="fr-CH"/>
        </w:rPr>
      </w:pPr>
    </w:p>
    <w:p w:rsidR="00422625" w:rsidRPr="000531EB" w:rsidRDefault="00422625" w:rsidP="00E51DAE">
      <w:pPr>
        <w:rPr>
          <w:lang w:val="fr-CH"/>
        </w:rPr>
      </w:pPr>
    </w:p>
    <w:p w:rsidR="00BB5D01" w:rsidRPr="000531EB" w:rsidRDefault="00BB5D01" w:rsidP="00F031B7">
      <w:pPr>
        <w:rPr>
          <w:lang w:val="fr-CH"/>
        </w:rPr>
      </w:pPr>
      <w:bookmarkStart w:id="10" w:name="lt_pId016"/>
      <w:r w:rsidRPr="000531EB">
        <w:rPr>
          <w:lang w:val="fr-CH"/>
        </w:rPr>
        <w:lastRenderedPageBreak/>
        <w:t xml:space="preserve">La </w:t>
      </w:r>
      <w:r w:rsidR="00E51DAE" w:rsidRPr="000531EB">
        <w:rPr>
          <w:lang w:val="fr-CH"/>
        </w:rPr>
        <w:t>S</w:t>
      </w:r>
      <w:r w:rsidRPr="000531EB">
        <w:rPr>
          <w:lang w:val="fr-CH"/>
        </w:rPr>
        <w:t xml:space="preserve">ection spéciale CR/C comprendra des tableaux </w:t>
      </w:r>
      <w:r w:rsidR="00F924DF" w:rsidRPr="000531EB">
        <w:rPr>
          <w:lang w:val="fr-CH"/>
        </w:rPr>
        <w:t>distincts</w:t>
      </w:r>
      <w:r w:rsidRPr="000531EB">
        <w:rPr>
          <w:lang w:val="fr-CH"/>
        </w:rPr>
        <w:t xml:space="preserve"> permettant d'identifier </w:t>
      </w:r>
      <w:r w:rsidR="00F924DF" w:rsidRPr="000531EB">
        <w:rPr>
          <w:lang w:val="fr-CH"/>
        </w:rPr>
        <w:t>le</w:t>
      </w:r>
      <w:r w:rsidRPr="000531EB">
        <w:rPr>
          <w:lang w:val="fr-CH"/>
        </w:rPr>
        <w:t xml:space="preserve">s réseaux à satellite </w:t>
      </w:r>
      <w:r w:rsidR="00F924DF" w:rsidRPr="000531EB">
        <w:rPr>
          <w:lang w:val="fr-CH"/>
        </w:rPr>
        <w:t xml:space="preserve">particuliers </w:t>
      </w:r>
      <w:r w:rsidRPr="000531EB">
        <w:rPr>
          <w:lang w:val="fr-CH"/>
        </w:rPr>
        <w:t>au titre du numéro</w:t>
      </w:r>
      <w:bookmarkEnd w:id="10"/>
      <w:r w:rsidRPr="000531EB">
        <w:rPr>
          <w:lang w:val="fr-CH"/>
        </w:rPr>
        <w:t xml:space="preserve"> </w:t>
      </w:r>
      <w:bookmarkStart w:id="11" w:name="lt_pId017"/>
      <w:r w:rsidRPr="000531EB">
        <w:rPr>
          <w:b/>
          <w:bCs/>
          <w:lang w:val="fr-CH"/>
        </w:rPr>
        <w:t>9.36.2</w:t>
      </w:r>
      <w:r w:rsidRPr="000531EB">
        <w:rPr>
          <w:lang w:val="fr-CH"/>
        </w:rPr>
        <w:t xml:space="preserve"> pour le </w:t>
      </w:r>
      <w:r w:rsidR="009557C1">
        <w:rPr>
          <w:lang w:val="fr-CH"/>
        </w:rPr>
        <w:t xml:space="preserve">Cas I </w:t>
      </w:r>
      <w:r w:rsidRPr="000531EB">
        <w:rPr>
          <w:lang w:val="fr-CH"/>
        </w:rPr>
        <w:t xml:space="preserve">(Réseaux utile et brouilleur partageant la même bande de fréquences dans le même sens de transmission) et le </w:t>
      </w:r>
      <w:r w:rsidR="009557C1">
        <w:rPr>
          <w:lang w:val="fr-CH"/>
        </w:rPr>
        <w:t xml:space="preserve">Cas II </w:t>
      </w:r>
      <w:r w:rsidRPr="000531EB">
        <w:rPr>
          <w:lang w:val="fr-CH"/>
        </w:rPr>
        <w:t>(Réseaux utile et brouilleur partageant la même bande de fréquences dans des sens de transmission opposés) (utilisation bidirectionnelle)).</w:t>
      </w:r>
      <w:bookmarkEnd w:id="11"/>
      <w:r w:rsidRPr="000531EB">
        <w:rPr>
          <w:lang w:val="fr-CH"/>
        </w:rPr>
        <w:t xml:space="preserve"> </w:t>
      </w:r>
      <w:bookmarkStart w:id="12" w:name="lt_pId018"/>
      <w:r w:rsidRPr="000531EB">
        <w:rPr>
          <w:lang w:val="fr-CH"/>
        </w:rPr>
        <w:t xml:space="preserve">De même, dans la base de données SRS, ces cas seront indiqués avec le code approprié, à savoir respectivement 9.7-CI et 9.7-CII dans le champ </w:t>
      </w:r>
      <w:proofErr w:type="spellStart"/>
      <w:r w:rsidRPr="009557C1">
        <w:rPr>
          <w:i/>
          <w:iCs/>
          <w:lang w:val="fr-CH"/>
        </w:rPr>
        <w:t>coord_prov</w:t>
      </w:r>
      <w:proofErr w:type="spellEnd"/>
      <w:r w:rsidRPr="000531EB">
        <w:rPr>
          <w:lang w:val="fr-CH"/>
        </w:rPr>
        <w:t xml:space="preserve"> </w:t>
      </w:r>
      <w:r w:rsidR="00F031B7">
        <w:rPr>
          <w:lang w:val="fr-CH"/>
        </w:rPr>
        <w:t>du tableau</w:t>
      </w:r>
      <w:r w:rsidRPr="000531EB">
        <w:rPr>
          <w:lang w:val="fr-CH"/>
        </w:rPr>
        <w:t xml:space="preserve"> </w:t>
      </w:r>
      <w:proofErr w:type="spellStart"/>
      <w:r w:rsidRPr="009557C1">
        <w:rPr>
          <w:i/>
          <w:iCs/>
          <w:lang w:val="fr-CH"/>
        </w:rPr>
        <w:t>tr_aff_ntw</w:t>
      </w:r>
      <w:bookmarkEnd w:id="12"/>
      <w:proofErr w:type="spellEnd"/>
      <w:r w:rsidR="0088417E" w:rsidRPr="000531EB">
        <w:rPr>
          <w:lang w:val="fr-CH"/>
        </w:rPr>
        <w:t>.</w:t>
      </w:r>
    </w:p>
    <w:p w:rsidR="00BB5D01" w:rsidRPr="000531EB" w:rsidRDefault="00BB5D01" w:rsidP="00E51DAE">
      <w:pPr>
        <w:rPr>
          <w:lang w:val="fr-CH"/>
        </w:rPr>
      </w:pPr>
      <w:bookmarkStart w:id="13" w:name="lt_pId019"/>
      <w:r w:rsidRPr="000531EB">
        <w:rPr>
          <w:lang w:val="fr-CH"/>
        </w:rPr>
        <w:t xml:space="preserve">S'agissant des assignations de fréquence pour lesquelles la coordination conformément aux dispositions des numéros </w:t>
      </w:r>
      <w:r w:rsidRPr="000531EB">
        <w:rPr>
          <w:b/>
          <w:bCs/>
          <w:lang w:val="fr-CH"/>
        </w:rPr>
        <w:t>9.7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9.12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9.12A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9.13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9.14</w:t>
      </w:r>
      <w:r w:rsidRPr="000531EB">
        <w:rPr>
          <w:lang w:val="fr-CH"/>
        </w:rPr>
        <w:t xml:space="preserve"> n'a pas encore été effectuée, le Bureau a commencé à publier, depuis le 1er novembre 2015, les conclusions </w:t>
      </w:r>
      <w:r w:rsidR="00F924DF" w:rsidRPr="000531EB">
        <w:rPr>
          <w:lang w:val="fr-CH"/>
        </w:rPr>
        <w:t xml:space="preserve">au titre du </w:t>
      </w:r>
      <w:r w:rsidRPr="000531EB">
        <w:rPr>
          <w:lang w:val="fr-CH"/>
        </w:rPr>
        <w:t xml:space="preserve">numéro </w:t>
      </w:r>
      <w:r w:rsidRPr="000531EB">
        <w:rPr>
          <w:b/>
          <w:bCs/>
          <w:lang w:val="fr-CH"/>
        </w:rPr>
        <w:t>11</w:t>
      </w:r>
      <w:r w:rsidR="00F924DF" w:rsidRPr="000531EB">
        <w:rPr>
          <w:b/>
          <w:bCs/>
          <w:lang w:val="fr-CH"/>
        </w:rPr>
        <w:t>.</w:t>
      </w:r>
      <w:r w:rsidRPr="000531EB">
        <w:rPr>
          <w:b/>
          <w:bCs/>
          <w:lang w:val="fr-CH"/>
        </w:rPr>
        <w:t>41</w:t>
      </w:r>
      <w:r w:rsidRPr="000531EB">
        <w:rPr>
          <w:lang w:val="fr-CH"/>
        </w:rPr>
        <w:t xml:space="preserve"> en faisant mention de la disposition précise au titre de laquelle la coordination n'a pas encore été effectuée (par exemple les numéros </w:t>
      </w:r>
      <w:r w:rsidRPr="000531EB">
        <w:rPr>
          <w:b/>
          <w:bCs/>
          <w:lang w:val="fr-CH"/>
        </w:rPr>
        <w:t>11.41/9.7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11.41/9.12</w:t>
      </w:r>
      <w:r w:rsidR="004201C3" w:rsidRPr="000531EB">
        <w:rPr>
          <w:lang w:val="fr-CH"/>
        </w:rPr>
        <w:t xml:space="preserve">, </w:t>
      </w:r>
      <w:r w:rsidRPr="000531EB">
        <w:rPr>
          <w:lang w:val="fr-CH"/>
        </w:rPr>
        <w:t>etc.).</w:t>
      </w:r>
      <w:bookmarkEnd w:id="13"/>
    </w:p>
    <w:p w:rsidR="00BB5D01" w:rsidRPr="000531EB" w:rsidRDefault="00BB5D01" w:rsidP="00E51DAE">
      <w:pPr>
        <w:rPr>
          <w:lang w:val="fr-CH"/>
        </w:rPr>
      </w:pPr>
      <w:bookmarkStart w:id="14" w:name="lt_pId020"/>
      <w:r w:rsidRPr="000531EB">
        <w:rPr>
          <w:lang w:val="fr-CH"/>
        </w:rPr>
        <w:t xml:space="preserve">De même, le Bureau a également publié les conclusions au titre de la procédure d'accord prévue au numéro </w:t>
      </w:r>
      <w:r w:rsidRPr="000531EB">
        <w:rPr>
          <w:b/>
          <w:bCs/>
          <w:lang w:val="fr-CH"/>
        </w:rPr>
        <w:t>9.21</w:t>
      </w:r>
      <w:r w:rsidRPr="000531EB">
        <w:rPr>
          <w:lang w:val="fr-CH"/>
        </w:rPr>
        <w:t xml:space="preserve">, en application du numéro </w:t>
      </w:r>
      <w:r w:rsidRPr="000531EB">
        <w:rPr>
          <w:b/>
          <w:bCs/>
          <w:lang w:val="fr-CH"/>
        </w:rPr>
        <w:t>11.31.1</w:t>
      </w:r>
      <w:r w:rsidRPr="000531EB">
        <w:rPr>
          <w:lang w:val="fr-CH"/>
        </w:rPr>
        <w:t>, en différenciant le type de réseau (réseau OSG/non OSG/de Terre) de l'administration affectée avec laque</w:t>
      </w:r>
      <w:r w:rsidR="00E51DAE">
        <w:rPr>
          <w:lang w:val="fr-CH"/>
        </w:rPr>
        <w:t xml:space="preserve">lle l'accord prévu au numéro </w:t>
      </w:r>
      <w:r w:rsidR="00E51DAE" w:rsidRPr="00E51DAE">
        <w:rPr>
          <w:b/>
          <w:bCs/>
          <w:lang w:val="fr-CH"/>
        </w:rPr>
        <w:t>9.</w:t>
      </w:r>
      <w:r w:rsidRPr="00E51DAE">
        <w:rPr>
          <w:b/>
          <w:bCs/>
          <w:lang w:val="fr-CH"/>
        </w:rPr>
        <w:t>21</w:t>
      </w:r>
      <w:r w:rsidRPr="000531EB">
        <w:rPr>
          <w:lang w:val="fr-CH"/>
        </w:rPr>
        <w:t xml:space="preserve"> n'a pas été obtenu (par exemple </w:t>
      </w:r>
      <w:r w:rsidRPr="000531EB">
        <w:rPr>
          <w:b/>
          <w:bCs/>
          <w:lang w:val="fr-CH"/>
        </w:rPr>
        <w:t>V/11.31.1/A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V/11.31.1/B</w:t>
      </w:r>
      <w:r w:rsidRPr="000531EB">
        <w:rPr>
          <w:lang w:val="fr-CH"/>
        </w:rPr>
        <w:t xml:space="preserve">, </w:t>
      </w:r>
      <w:r w:rsidRPr="000531EB">
        <w:rPr>
          <w:b/>
          <w:bCs/>
          <w:lang w:val="fr-CH"/>
        </w:rPr>
        <w:t>V/11.31.1/C</w:t>
      </w:r>
      <w:r w:rsidRPr="000531EB">
        <w:rPr>
          <w:lang w:val="fr-CH"/>
        </w:rPr>
        <w:t>).</w:t>
      </w:r>
      <w:bookmarkEnd w:id="14"/>
    </w:p>
    <w:p w:rsidR="00BB5D01" w:rsidRPr="000531EB" w:rsidRDefault="00BB5D01" w:rsidP="00E51DAE">
      <w:pPr>
        <w:rPr>
          <w:lang w:val="fr-CH"/>
        </w:rPr>
      </w:pPr>
      <w:bookmarkStart w:id="15" w:name="lt_pId021"/>
      <w:r w:rsidRPr="000531EB">
        <w:rPr>
          <w:lang w:val="fr-CH"/>
        </w:rPr>
        <w:t>A cet égard, le Bureau a mis à jour en conséquence la Préface à la BR IFIC (</w:t>
      </w:r>
      <w:r w:rsidR="00E51DAE" w:rsidRPr="000531EB">
        <w:rPr>
          <w:lang w:val="fr-CH"/>
        </w:rPr>
        <w:t>S</w:t>
      </w:r>
      <w:r w:rsidRPr="000531EB">
        <w:rPr>
          <w:lang w:val="fr-CH"/>
        </w:rPr>
        <w:t>ervices spatiaux)</w:t>
      </w:r>
      <w:bookmarkEnd w:id="15"/>
      <w:r w:rsidR="00672693" w:rsidRPr="000531EB">
        <w:rPr>
          <w:lang w:val="fr-CH"/>
        </w:rPr>
        <w:t>.</w:t>
      </w:r>
    </w:p>
    <w:p w:rsidR="00BB5D01" w:rsidRPr="000531EB" w:rsidRDefault="00BB5D01" w:rsidP="0036316F">
      <w:pPr>
        <w:pStyle w:val="Headingb"/>
        <w:rPr>
          <w:lang w:val="fr-CH"/>
        </w:rPr>
      </w:pPr>
      <w:bookmarkStart w:id="16" w:name="lt_pId022"/>
      <w:r w:rsidRPr="000531EB">
        <w:rPr>
          <w:lang w:val="fr-CH"/>
        </w:rPr>
        <w:t>Application du numéro 11.41A</w:t>
      </w:r>
      <w:bookmarkEnd w:id="16"/>
    </w:p>
    <w:p w:rsidR="00BB5D01" w:rsidRPr="000531EB" w:rsidRDefault="00BB5D01" w:rsidP="00E51DAE">
      <w:pPr>
        <w:rPr>
          <w:lang w:val="fr-CH"/>
        </w:rPr>
      </w:pPr>
      <w:bookmarkStart w:id="17" w:name="lt_pId024"/>
      <w:r w:rsidRPr="000531EB">
        <w:rPr>
          <w:lang w:val="fr-CH"/>
        </w:rPr>
        <w:t xml:space="preserve">Les numéros </w:t>
      </w:r>
      <w:r w:rsidRPr="000531EB">
        <w:rPr>
          <w:b/>
          <w:bCs/>
          <w:lang w:val="fr-CH"/>
        </w:rPr>
        <w:t>11.41A</w:t>
      </w:r>
      <w:r w:rsidRPr="000531EB">
        <w:rPr>
          <w:lang w:val="fr-CH"/>
        </w:rPr>
        <w:t xml:space="preserve"> et </w:t>
      </w:r>
      <w:r w:rsidRPr="000531EB">
        <w:rPr>
          <w:b/>
          <w:bCs/>
          <w:lang w:val="fr-CH"/>
        </w:rPr>
        <w:t>11.41B</w:t>
      </w:r>
      <w:r w:rsidRPr="000531EB">
        <w:rPr>
          <w:lang w:val="fr-CH"/>
        </w:rPr>
        <w:t xml:space="preserve"> énoncen</w:t>
      </w:r>
      <w:r w:rsidR="00B13A6E" w:rsidRPr="000531EB">
        <w:rPr>
          <w:lang w:val="fr-CH"/>
        </w:rPr>
        <w:t>t les conditions applicables au ré</w:t>
      </w:r>
      <w:r w:rsidRPr="000531EB">
        <w:rPr>
          <w:lang w:val="fr-CH"/>
        </w:rPr>
        <w:t>examen des conclusions relatives à une assignation insc</w:t>
      </w:r>
      <w:r w:rsidR="0036316F" w:rsidRPr="000531EB">
        <w:rPr>
          <w:lang w:val="fr-CH"/>
        </w:rPr>
        <w:t xml:space="preserve">rite conformément au numéro </w:t>
      </w:r>
      <w:r w:rsidR="0036316F" w:rsidRPr="000531EB">
        <w:rPr>
          <w:b/>
          <w:bCs/>
          <w:lang w:val="fr-CH"/>
        </w:rPr>
        <w:t>11.</w:t>
      </w:r>
      <w:r w:rsidRPr="000531EB">
        <w:rPr>
          <w:b/>
          <w:bCs/>
          <w:lang w:val="fr-CH"/>
        </w:rPr>
        <w:t>41</w:t>
      </w:r>
      <w:r w:rsidRPr="000531EB">
        <w:rPr>
          <w:lang w:val="fr-CH"/>
        </w:rPr>
        <w:t xml:space="preserve"> en raison </w:t>
      </w:r>
      <w:r w:rsidR="00B13A6E" w:rsidRPr="000531EB">
        <w:rPr>
          <w:lang w:val="fr-CH"/>
        </w:rPr>
        <w:t>d</w:t>
      </w:r>
      <w:r w:rsidRPr="000531EB">
        <w:rPr>
          <w:lang w:val="fr-CH"/>
        </w:rPr>
        <w:t xml:space="preserve">'un changement </w:t>
      </w:r>
      <w:r w:rsidR="00B13A6E" w:rsidRPr="000531EB">
        <w:rPr>
          <w:lang w:val="fr-CH"/>
        </w:rPr>
        <w:t xml:space="preserve">du statut </w:t>
      </w:r>
      <w:r w:rsidRPr="000531EB">
        <w:rPr>
          <w:lang w:val="fr-CH"/>
        </w:rPr>
        <w:t>de la coordination</w:t>
      </w:r>
      <w:bookmarkEnd w:id="17"/>
      <w:r w:rsidR="00EE2559" w:rsidRPr="000531EB">
        <w:rPr>
          <w:lang w:val="fr-CH"/>
        </w:rPr>
        <w:t>.</w:t>
      </w:r>
    </w:p>
    <w:p w:rsidR="00BB5D01" w:rsidRPr="000531EB" w:rsidRDefault="00BB5D01" w:rsidP="00E51DAE">
      <w:pPr>
        <w:rPr>
          <w:lang w:val="fr-CH"/>
        </w:rPr>
      </w:pPr>
      <w:bookmarkStart w:id="18" w:name="lt_pId026"/>
      <w:r w:rsidRPr="000531EB">
        <w:rPr>
          <w:lang w:val="fr-CH"/>
        </w:rPr>
        <w:t>Comme cela est indiqué dans l</w:t>
      </w:r>
      <w:r w:rsidR="006C3DA5" w:rsidRPr="000531EB">
        <w:rPr>
          <w:lang w:val="fr-CH"/>
        </w:rPr>
        <w:t>e rapport du Directeur à la CMR-</w:t>
      </w:r>
      <w:r w:rsidRPr="000531EB">
        <w:rPr>
          <w:lang w:val="fr-CH"/>
        </w:rPr>
        <w:t>15 (Do</w:t>
      </w:r>
      <w:bookmarkEnd w:id="18"/>
      <w:r w:rsidR="006C3DA5" w:rsidRPr="000531EB">
        <w:rPr>
          <w:lang w:val="fr-CH"/>
        </w:rPr>
        <w:t>cument</w:t>
      </w:r>
      <w:r w:rsidRPr="000531EB">
        <w:rPr>
          <w:lang w:val="fr-CH"/>
        </w:rPr>
        <w:t> </w:t>
      </w:r>
      <w:bookmarkStart w:id="19" w:name="lt_pId027"/>
      <w:r w:rsidRPr="000531EB">
        <w:rPr>
          <w:lang w:val="fr-CH"/>
        </w:rPr>
        <w:t>WRC</w:t>
      </w:r>
      <w:r w:rsidR="00E51DAE">
        <w:rPr>
          <w:lang w:val="fr-CH"/>
        </w:rPr>
        <w:noBreakHyphen/>
      </w:r>
      <w:r w:rsidRPr="000531EB">
        <w:rPr>
          <w:lang w:val="fr-CH"/>
        </w:rPr>
        <w:t>15/4</w:t>
      </w:r>
      <w:r w:rsidR="00B13A6E" w:rsidRPr="000531EB">
        <w:rPr>
          <w:lang w:val="fr-CH"/>
        </w:rPr>
        <w:t>(</w:t>
      </w:r>
      <w:r w:rsidRPr="000531EB">
        <w:rPr>
          <w:lang w:val="fr-CH"/>
        </w:rPr>
        <w:t>Add.</w:t>
      </w:r>
      <w:bookmarkStart w:id="20" w:name="lt_pId028"/>
      <w:bookmarkEnd w:id="19"/>
      <w:r w:rsidRPr="000531EB">
        <w:rPr>
          <w:lang w:val="fr-CH"/>
        </w:rPr>
        <w:t>2</w:t>
      </w:r>
      <w:proofErr w:type="gramStart"/>
      <w:r w:rsidR="00B13A6E" w:rsidRPr="000531EB">
        <w:rPr>
          <w:lang w:val="fr-CH"/>
        </w:rPr>
        <w:t>)(</w:t>
      </w:r>
      <w:proofErr w:type="gramEnd"/>
      <w:r w:rsidRPr="000531EB">
        <w:rPr>
          <w:lang w:val="fr-CH"/>
        </w:rPr>
        <w:t>R</w:t>
      </w:r>
      <w:r w:rsidR="00B13A6E" w:rsidRPr="000531EB">
        <w:rPr>
          <w:lang w:val="fr-CH"/>
        </w:rPr>
        <w:t>é</w:t>
      </w:r>
      <w:r w:rsidRPr="000531EB">
        <w:rPr>
          <w:lang w:val="fr-CH"/>
        </w:rPr>
        <w:t>v.</w:t>
      </w:r>
      <w:bookmarkStart w:id="21" w:name="lt_pId029"/>
      <w:bookmarkEnd w:id="20"/>
      <w:r w:rsidRPr="000531EB">
        <w:rPr>
          <w:lang w:val="fr-CH"/>
        </w:rPr>
        <w:t>1</w:t>
      </w:r>
      <w:r w:rsidR="00B13A6E" w:rsidRPr="000531EB">
        <w:rPr>
          <w:lang w:val="fr-CH"/>
        </w:rPr>
        <w:t>)</w:t>
      </w:r>
      <w:r w:rsidRPr="000531EB">
        <w:rPr>
          <w:lang w:val="fr-CH"/>
        </w:rPr>
        <w:t>, §</w:t>
      </w:r>
      <w:r w:rsidR="00B13A6E" w:rsidRPr="000531EB">
        <w:rPr>
          <w:lang w:val="fr-CH"/>
        </w:rPr>
        <w:t> </w:t>
      </w:r>
      <w:r w:rsidRPr="000531EB">
        <w:rPr>
          <w:lang w:val="fr-CH"/>
        </w:rPr>
        <w:t xml:space="preserve">3.2.3.5), le Bureau est à présent en mesure de mettre pleinement en </w:t>
      </w:r>
      <w:proofErr w:type="spellStart"/>
      <w:r w:rsidRPr="000531EB">
        <w:rPr>
          <w:lang w:val="fr-CH"/>
        </w:rPr>
        <w:t>oeuvre</w:t>
      </w:r>
      <w:proofErr w:type="spellEnd"/>
      <w:r w:rsidRPr="000531EB">
        <w:rPr>
          <w:lang w:val="fr-CH"/>
        </w:rPr>
        <w:t xml:space="preserve"> le numéro </w:t>
      </w:r>
      <w:r w:rsidRPr="000531EB">
        <w:rPr>
          <w:b/>
          <w:bCs/>
          <w:lang w:val="fr-CH"/>
        </w:rPr>
        <w:t>11.41A</w:t>
      </w:r>
      <w:r w:rsidRPr="000531EB">
        <w:rPr>
          <w:lang w:val="fr-CH"/>
        </w:rPr>
        <w:t xml:space="preserve"> pour toutes les premières fiches de notification reçues au 1er janvier 2015.</w:t>
      </w:r>
      <w:bookmarkEnd w:id="21"/>
      <w:r w:rsidRPr="000531EB">
        <w:rPr>
          <w:lang w:val="fr-CH"/>
        </w:rPr>
        <w:t xml:space="preserve"> </w:t>
      </w:r>
    </w:p>
    <w:p w:rsidR="00BB5D01" w:rsidRPr="000531EB" w:rsidRDefault="00BB5D01" w:rsidP="00E51DAE">
      <w:pPr>
        <w:rPr>
          <w:lang w:val="fr-CH"/>
        </w:rPr>
      </w:pPr>
      <w:bookmarkStart w:id="22" w:name="lt_pId030"/>
      <w:r w:rsidRPr="000531EB">
        <w:rPr>
          <w:lang w:val="fr-CH"/>
        </w:rPr>
        <w:t xml:space="preserve">La liste des assignations de fréquence de réseaux à satellite </w:t>
      </w:r>
      <w:r w:rsidR="003B0C07" w:rsidRPr="000531EB">
        <w:rPr>
          <w:lang w:val="fr-CH"/>
        </w:rPr>
        <w:t>qui ont</w:t>
      </w:r>
      <w:r w:rsidRPr="000531EB">
        <w:rPr>
          <w:lang w:val="fr-CH"/>
        </w:rPr>
        <w:t xml:space="preserve"> constitué la base de</w:t>
      </w:r>
      <w:r w:rsidR="003B0C07" w:rsidRPr="000531EB">
        <w:rPr>
          <w:lang w:val="fr-CH"/>
        </w:rPr>
        <w:t xml:space="preserve"> la</w:t>
      </w:r>
      <w:r w:rsidRPr="000531EB">
        <w:rPr>
          <w:lang w:val="fr-CH"/>
        </w:rPr>
        <w:t xml:space="preserve"> conclusion</w:t>
      </w:r>
      <w:r w:rsidR="003B0C07" w:rsidRPr="000531EB">
        <w:rPr>
          <w:lang w:val="fr-CH"/>
        </w:rPr>
        <w:t xml:space="preserve"> défavorable</w:t>
      </w:r>
      <w:r w:rsidRPr="000531EB">
        <w:rPr>
          <w:lang w:val="fr-CH"/>
        </w:rPr>
        <w:t xml:space="preserve"> relativement au numéro</w:t>
      </w:r>
      <w:r w:rsidR="00B13A6E" w:rsidRPr="000531EB">
        <w:rPr>
          <w:lang w:val="fr-CH"/>
        </w:rPr>
        <w:t xml:space="preserve"> </w:t>
      </w:r>
      <w:r w:rsidRPr="000531EB">
        <w:rPr>
          <w:b/>
          <w:bCs/>
          <w:lang w:val="fr-CH"/>
        </w:rPr>
        <w:t>11.32A</w:t>
      </w:r>
      <w:r w:rsidRPr="000531EB">
        <w:rPr>
          <w:lang w:val="fr-CH"/>
        </w:rPr>
        <w:t xml:space="preserve"> pour une assignation inscrite conformément au numéro </w:t>
      </w:r>
      <w:r w:rsidRPr="000531EB">
        <w:rPr>
          <w:b/>
          <w:bCs/>
          <w:lang w:val="fr-CH"/>
        </w:rPr>
        <w:t>11.41</w:t>
      </w:r>
      <w:r w:rsidRPr="000531EB">
        <w:rPr>
          <w:lang w:val="fr-CH"/>
        </w:rPr>
        <w:t xml:space="preserve"> est tenue à jour avec la fiche de notification de l'assignation inscrite et sera actualisée chaque fois que ces assignations de fréquence sont supprimées</w:t>
      </w:r>
      <w:bookmarkEnd w:id="22"/>
      <w:r w:rsidR="003B0C07" w:rsidRPr="000531EB">
        <w:rPr>
          <w:lang w:val="fr-CH"/>
        </w:rPr>
        <w:t>.</w:t>
      </w:r>
    </w:p>
    <w:p w:rsidR="00BB5D01" w:rsidRPr="000531EB" w:rsidRDefault="00BB5D01" w:rsidP="00E51DAE">
      <w:pPr>
        <w:rPr>
          <w:lang w:val="fr-CH"/>
        </w:rPr>
      </w:pPr>
      <w:bookmarkStart w:id="23" w:name="lt_pId032"/>
      <w:r w:rsidRPr="000531EB">
        <w:rPr>
          <w:lang w:val="fr-CH"/>
        </w:rPr>
        <w:t xml:space="preserve">En ce qui concerne le statut de l'accord au titre du numéro </w:t>
      </w:r>
      <w:r w:rsidRPr="00E51DAE">
        <w:rPr>
          <w:b/>
          <w:bCs/>
          <w:lang w:val="fr-CH"/>
        </w:rPr>
        <w:t>9.21</w:t>
      </w:r>
      <w:r w:rsidRPr="000531EB">
        <w:rPr>
          <w:lang w:val="fr-CH"/>
        </w:rPr>
        <w:t>, la liste des réseaux/stations pour lesquels l'ac</w:t>
      </w:r>
      <w:r w:rsidR="00422625">
        <w:rPr>
          <w:lang w:val="fr-CH"/>
        </w:rPr>
        <w:t xml:space="preserve">cord n'a pas été obtenu sera </w:t>
      </w:r>
      <w:proofErr w:type="spellStart"/>
      <w:r w:rsidR="00422625">
        <w:rPr>
          <w:lang w:val="fr-CH"/>
        </w:rPr>
        <w:t>réé</w:t>
      </w:r>
      <w:r w:rsidRPr="000531EB">
        <w:rPr>
          <w:lang w:val="fr-CH"/>
        </w:rPr>
        <w:t>xaminée</w:t>
      </w:r>
      <w:proofErr w:type="spellEnd"/>
      <w:r w:rsidRPr="000531EB">
        <w:rPr>
          <w:lang w:val="fr-CH"/>
        </w:rPr>
        <w:t xml:space="preserve"> en conséquence</w:t>
      </w:r>
      <w:bookmarkEnd w:id="23"/>
      <w:r w:rsidR="00EE2559" w:rsidRPr="000531EB">
        <w:rPr>
          <w:lang w:val="fr-CH"/>
        </w:rPr>
        <w:t>.</w:t>
      </w:r>
    </w:p>
    <w:p w:rsidR="00BB5D01" w:rsidRPr="000531EB" w:rsidRDefault="00BB5D01" w:rsidP="00E51DAE">
      <w:pPr>
        <w:rPr>
          <w:lang w:val="fr-CH"/>
        </w:rPr>
      </w:pPr>
      <w:bookmarkStart w:id="24" w:name="lt_pId033"/>
      <w:r w:rsidRPr="000531EB">
        <w:rPr>
          <w:lang w:val="fr-CH"/>
        </w:rPr>
        <w:t xml:space="preserve">Le Bureau a établi une base de données en vue de répertorier les assignations de fréquence affectées de réseaux et de stations. Les administrations peuvent accéder à cette base de données, qui contient des informations sur la liste des réseaux et </w:t>
      </w:r>
      <w:r w:rsidR="003B0C07" w:rsidRPr="000531EB">
        <w:rPr>
          <w:lang w:val="fr-CH"/>
        </w:rPr>
        <w:t xml:space="preserve">des </w:t>
      </w:r>
      <w:r w:rsidRPr="000531EB">
        <w:rPr>
          <w:lang w:val="fr-CH"/>
        </w:rPr>
        <w:t>stations affectés</w:t>
      </w:r>
      <w:bookmarkEnd w:id="24"/>
      <w:r w:rsidR="00F924DF" w:rsidRPr="000531EB">
        <w:rPr>
          <w:lang w:val="fr-CH"/>
        </w:rPr>
        <w:t>,</w:t>
      </w:r>
      <w:bookmarkStart w:id="25" w:name="lt_pId034"/>
      <w:r w:rsidRPr="000531EB">
        <w:rPr>
          <w:lang w:val="fr-CH"/>
        </w:rPr>
        <w:t xml:space="preserve"> la disposition relative à la coordination et les caractéristiques fondamentales des groupes d'assignations de fréquence (c'est-à-dire la fréquence minimale</w:t>
      </w:r>
      <w:r w:rsidR="003B0C07" w:rsidRPr="000531EB">
        <w:rPr>
          <w:lang w:val="fr-CH"/>
        </w:rPr>
        <w:t xml:space="preserve"> et</w:t>
      </w:r>
      <w:r w:rsidRPr="000531EB">
        <w:rPr>
          <w:lang w:val="fr-CH"/>
        </w:rPr>
        <w:t xml:space="preserve"> la fréquence maximale, la largeur de bande assignée</w:t>
      </w:r>
      <w:r w:rsidR="00F924DF" w:rsidRPr="000531EB">
        <w:rPr>
          <w:lang w:val="fr-CH"/>
        </w:rPr>
        <w:t>,</w:t>
      </w:r>
      <w:r w:rsidRPr="000531EB">
        <w:rPr>
          <w:lang w:val="fr-CH"/>
        </w:rPr>
        <w:t xml:space="preserve"> etc.)</w:t>
      </w:r>
      <w:r w:rsidR="003B0C07" w:rsidRPr="000531EB">
        <w:rPr>
          <w:lang w:val="fr-CH"/>
        </w:rPr>
        <w:t xml:space="preserve"> examiné</w:t>
      </w:r>
      <w:r w:rsidRPr="000531EB">
        <w:rPr>
          <w:lang w:val="fr-CH"/>
        </w:rPr>
        <w:t xml:space="preserve">s conformément au numéro </w:t>
      </w:r>
      <w:r w:rsidRPr="000531EB">
        <w:rPr>
          <w:b/>
          <w:bCs/>
          <w:lang w:val="fr-CH"/>
        </w:rPr>
        <w:t>11.32A</w:t>
      </w:r>
      <w:r w:rsidR="00F924DF" w:rsidRPr="000531EB">
        <w:rPr>
          <w:lang w:val="fr-CH"/>
        </w:rPr>
        <w:t>,</w:t>
      </w:r>
      <w:r w:rsidRPr="000531EB">
        <w:rPr>
          <w:lang w:val="fr-CH"/>
        </w:rPr>
        <w:t xml:space="preserve"> par l'intermédiaire du système de recherche en ligne </w:t>
      </w:r>
      <w:proofErr w:type="spellStart"/>
      <w:r w:rsidRPr="00E51DAE">
        <w:rPr>
          <w:b/>
          <w:bCs/>
          <w:lang w:val="fr-CH"/>
        </w:rPr>
        <w:t>Notex</w:t>
      </w:r>
      <w:proofErr w:type="spellEnd"/>
      <w:r w:rsidR="00F924DF" w:rsidRPr="000531EB">
        <w:rPr>
          <w:lang w:val="fr-CH"/>
        </w:rPr>
        <w:t>,</w:t>
      </w:r>
      <w:r w:rsidRPr="000531EB">
        <w:rPr>
          <w:lang w:val="fr-CH"/>
        </w:rPr>
        <w:t xml:space="preserve"> </w:t>
      </w:r>
      <w:r w:rsidR="003B0C07" w:rsidRPr="000531EB">
        <w:rPr>
          <w:lang w:val="fr-CH"/>
        </w:rPr>
        <w:t xml:space="preserve">en utilisant le </w:t>
      </w:r>
      <w:r w:rsidRPr="000531EB">
        <w:rPr>
          <w:lang w:val="fr-CH"/>
        </w:rPr>
        <w:t>système de recherche en ligne SNS, à l'adresse web suivante</w:t>
      </w:r>
      <w:r w:rsidR="003B0C07" w:rsidRPr="000531EB">
        <w:rPr>
          <w:lang w:val="fr-CH"/>
        </w:rPr>
        <w:t>:</w:t>
      </w:r>
      <w:r w:rsidRPr="000531EB">
        <w:rPr>
          <w:lang w:val="fr-CH"/>
        </w:rPr>
        <w:t xml:space="preserve"> </w:t>
      </w:r>
      <w:hyperlink r:id="rId8" w:history="1">
        <w:r w:rsidR="003B0C07" w:rsidRPr="000531EB">
          <w:rPr>
            <w:rStyle w:val="Hyperlink"/>
            <w:lang w:val="fr-CH"/>
          </w:rPr>
          <w:t>http://www.itu.int/net4/ITU-R/noq</w:t>
        </w:r>
      </w:hyperlink>
      <w:r w:rsidRPr="000531EB">
        <w:rPr>
          <w:lang w:val="fr-CH"/>
        </w:rPr>
        <w:t xml:space="preserve"> o</w:t>
      </w:r>
      <w:r w:rsidR="003B0C07" w:rsidRPr="000531EB">
        <w:rPr>
          <w:lang w:val="fr-CH"/>
        </w:rPr>
        <w:t>u</w:t>
      </w:r>
      <w:r w:rsidRPr="000531EB">
        <w:rPr>
          <w:lang w:val="fr-CH"/>
        </w:rPr>
        <w:t xml:space="preserve"> </w:t>
      </w:r>
      <w:hyperlink r:id="rId9" w:history="1">
        <w:r w:rsidR="003B0C07" w:rsidRPr="000531EB">
          <w:rPr>
            <w:rStyle w:val="Hyperlink"/>
            <w:lang w:val="fr-CH"/>
          </w:rPr>
          <w:t>www.itu.int/go/notex/</w:t>
        </w:r>
      </w:hyperlink>
      <w:r w:rsidRPr="000531EB">
        <w:rPr>
          <w:lang w:val="fr-CH"/>
        </w:rPr>
        <w:t>.</w:t>
      </w:r>
      <w:bookmarkEnd w:id="25"/>
    </w:p>
    <w:p w:rsidR="00BB5D01" w:rsidRPr="000531EB" w:rsidRDefault="00BB5D01" w:rsidP="00E51DAE">
      <w:pPr>
        <w:rPr>
          <w:lang w:val="fr-CH"/>
        </w:rPr>
      </w:pPr>
      <w:bookmarkStart w:id="26" w:name="lt_pId035"/>
      <w:r w:rsidRPr="000531EB">
        <w:rPr>
          <w:lang w:val="fr-CH"/>
        </w:rPr>
        <w:t xml:space="preserve">Le Bureau mettra régulièrement à jour les renseignements au titre du numéro </w:t>
      </w:r>
      <w:r w:rsidRPr="000531EB">
        <w:rPr>
          <w:b/>
          <w:bCs/>
          <w:lang w:val="fr-CH"/>
        </w:rPr>
        <w:t>11.41</w:t>
      </w:r>
      <w:r w:rsidRPr="000531EB">
        <w:rPr>
          <w:lang w:val="fr-CH"/>
        </w:rPr>
        <w:t xml:space="preserve"> figurant dans le système</w:t>
      </w:r>
      <w:r w:rsidRPr="000531EB">
        <w:rPr>
          <w:b/>
          <w:bCs/>
          <w:lang w:val="fr-CH"/>
        </w:rPr>
        <w:t xml:space="preserve"> </w:t>
      </w:r>
      <w:proofErr w:type="spellStart"/>
      <w:r w:rsidRPr="000531EB">
        <w:rPr>
          <w:b/>
          <w:bCs/>
          <w:lang w:val="fr-CH"/>
        </w:rPr>
        <w:t>Notex</w:t>
      </w:r>
      <w:proofErr w:type="spellEnd"/>
      <w:r w:rsidRPr="000531EB">
        <w:rPr>
          <w:lang w:val="fr-CH"/>
        </w:rPr>
        <w:t xml:space="preserve"> concernant les réseaux/stations supprimés.</w:t>
      </w:r>
      <w:bookmarkEnd w:id="26"/>
    </w:p>
    <w:p w:rsidR="00BB5D01" w:rsidRPr="000531EB" w:rsidRDefault="00BB5D01" w:rsidP="00E51DAE">
      <w:pPr>
        <w:rPr>
          <w:lang w:val="fr-CH"/>
        </w:rPr>
      </w:pPr>
      <w:bookmarkStart w:id="27" w:name="lt_pId036"/>
      <w:r w:rsidRPr="000531EB">
        <w:rPr>
          <w:lang w:val="fr-CH"/>
        </w:rPr>
        <w:t xml:space="preserve">La structure fonctionnelle du système de recherche en ligne </w:t>
      </w:r>
      <w:proofErr w:type="spellStart"/>
      <w:r w:rsidRPr="000531EB">
        <w:rPr>
          <w:b/>
          <w:bCs/>
          <w:lang w:val="fr-CH"/>
        </w:rPr>
        <w:t>Notex</w:t>
      </w:r>
      <w:proofErr w:type="spellEnd"/>
      <w:r w:rsidRPr="000531EB">
        <w:rPr>
          <w:lang w:val="fr-CH"/>
        </w:rPr>
        <w:t xml:space="preserve"> est présentée en </w:t>
      </w:r>
      <w:r w:rsidR="00E51DAE" w:rsidRPr="000531EB">
        <w:rPr>
          <w:lang w:val="fr-CH"/>
        </w:rPr>
        <w:t>A</w:t>
      </w:r>
      <w:r w:rsidRPr="000531EB">
        <w:rPr>
          <w:lang w:val="fr-CH"/>
        </w:rPr>
        <w:t>nnexe</w:t>
      </w:r>
      <w:bookmarkEnd w:id="27"/>
      <w:r w:rsidR="00EA0285" w:rsidRPr="000531EB">
        <w:rPr>
          <w:lang w:val="fr-CH"/>
        </w:rPr>
        <w:t>.</w:t>
      </w:r>
    </w:p>
    <w:p w:rsidR="002A5DD7" w:rsidRDefault="00BB5D01" w:rsidP="00E51DAE">
      <w:pPr>
        <w:keepNext/>
        <w:keepLines/>
        <w:rPr>
          <w:lang w:val="fr-CH"/>
        </w:rPr>
      </w:pPr>
      <w:r w:rsidRPr="000531EB">
        <w:rPr>
          <w:lang w:val="fr-CH"/>
        </w:rPr>
        <w:lastRenderedPageBreak/>
        <w:t>Le Bureau reste à la disposition de votre Administration</w:t>
      </w:r>
      <w:r w:rsidR="00F924DF" w:rsidRPr="000531EB">
        <w:rPr>
          <w:lang w:val="fr-CH"/>
        </w:rPr>
        <w:t>,</w:t>
      </w:r>
      <w:r w:rsidR="00EA0285" w:rsidRPr="000531EB">
        <w:rPr>
          <w:lang w:val="fr-CH"/>
        </w:rPr>
        <w:t xml:space="preserve"> </w:t>
      </w:r>
      <w:r w:rsidRPr="000531EB">
        <w:rPr>
          <w:lang w:val="fr-CH"/>
        </w:rPr>
        <w:t xml:space="preserve">via l'adresse: </w:t>
      </w:r>
      <w:hyperlink r:id="rId10" w:history="1">
        <w:r w:rsidRPr="000531EB">
          <w:rPr>
            <w:rStyle w:val="Hyperlink"/>
            <w:lang w:val="fr-CH"/>
          </w:rPr>
          <w:t>brmail@itu.int</w:t>
        </w:r>
      </w:hyperlink>
      <w:r w:rsidRPr="000531EB">
        <w:rPr>
          <w:lang w:val="fr-CH"/>
        </w:rPr>
        <w:t>, pour toute précision dont elle pourrait avoir besoin en ce qui concerne les sujets traités dans la présente Lettre circulaire.</w:t>
      </w:r>
    </w:p>
    <w:p w:rsidR="008D6A87" w:rsidRPr="000531EB" w:rsidRDefault="008D6A87" w:rsidP="00E51DAE">
      <w:pPr>
        <w:keepNext/>
        <w:keepLines/>
        <w:rPr>
          <w:lang w:val="fr-CH"/>
        </w:rPr>
      </w:pPr>
    </w:p>
    <w:p w:rsidR="00C3556B" w:rsidRDefault="000531EB" w:rsidP="00E51DAE">
      <w:pPr>
        <w:keepNext/>
        <w:keepLines/>
        <w:spacing w:before="840"/>
        <w:jc w:val="left"/>
        <w:rPr>
          <w:rFonts w:asciiTheme="minorHAnsi" w:hAnsiTheme="minorHAnsi" w:cstheme="minorHAnsi"/>
          <w:szCs w:val="24"/>
          <w:lang w:val="fr-CH"/>
        </w:rPr>
      </w:pPr>
      <w:r w:rsidRPr="000531EB">
        <w:rPr>
          <w:rFonts w:asciiTheme="minorHAnsi" w:hAnsiTheme="minorHAnsi" w:cstheme="minorHAnsi"/>
          <w:szCs w:val="24"/>
          <w:lang w:val="fr-CH"/>
        </w:rPr>
        <w:t>François Rancy</w:t>
      </w:r>
      <w:r w:rsidRPr="000531EB">
        <w:rPr>
          <w:rFonts w:asciiTheme="minorHAnsi" w:hAnsiTheme="minorHAnsi" w:cstheme="minorHAnsi"/>
          <w:szCs w:val="24"/>
          <w:lang w:val="fr-CH"/>
        </w:rPr>
        <w:br/>
        <w:t>Directeur</w:t>
      </w:r>
    </w:p>
    <w:p w:rsidR="00E51DAE" w:rsidRDefault="00E51DAE" w:rsidP="00EA0285">
      <w:pPr>
        <w:spacing w:before="360"/>
        <w:jc w:val="left"/>
        <w:rPr>
          <w:rFonts w:asciiTheme="minorHAnsi" w:hAnsiTheme="minorHAnsi" w:cstheme="minorHAnsi"/>
          <w:b/>
          <w:bCs/>
          <w:szCs w:val="24"/>
          <w:lang w:val="fr-CH"/>
        </w:rPr>
      </w:pPr>
    </w:p>
    <w:p w:rsidR="00E51DAE" w:rsidRDefault="00E51DAE" w:rsidP="00EA0285">
      <w:pPr>
        <w:spacing w:before="360"/>
        <w:jc w:val="left"/>
        <w:rPr>
          <w:rFonts w:asciiTheme="minorHAnsi" w:hAnsiTheme="minorHAnsi" w:cstheme="minorHAnsi"/>
          <w:b/>
          <w:bCs/>
          <w:szCs w:val="24"/>
          <w:lang w:val="fr-CH"/>
        </w:rPr>
      </w:pPr>
    </w:p>
    <w:p w:rsidR="00E51DAE" w:rsidRDefault="00E51DAE" w:rsidP="00EA0285">
      <w:pPr>
        <w:spacing w:before="360"/>
        <w:jc w:val="left"/>
        <w:rPr>
          <w:rFonts w:asciiTheme="minorHAnsi" w:hAnsiTheme="minorHAnsi" w:cstheme="minorHAnsi"/>
          <w:b/>
          <w:bCs/>
          <w:szCs w:val="24"/>
          <w:lang w:val="fr-CH"/>
        </w:rPr>
      </w:pPr>
    </w:p>
    <w:p w:rsidR="00EA0285" w:rsidRDefault="00EA0285" w:rsidP="00EA0285">
      <w:pPr>
        <w:spacing w:before="360"/>
        <w:jc w:val="left"/>
        <w:rPr>
          <w:rFonts w:asciiTheme="minorHAnsi" w:hAnsiTheme="minorHAnsi" w:cstheme="minorHAnsi"/>
          <w:szCs w:val="24"/>
          <w:lang w:val="fr-CH"/>
        </w:rPr>
      </w:pPr>
      <w:r w:rsidRPr="00220783">
        <w:rPr>
          <w:rFonts w:asciiTheme="minorHAnsi" w:hAnsiTheme="minorHAnsi" w:cstheme="minorHAnsi"/>
          <w:b/>
          <w:bCs/>
          <w:szCs w:val="24"/>
          <w:lang w:val="fr-CH"/>
        </w:rPr>
        <w:t>Annexe</w:t>
      </w:r>
      <w:r>
        <w:rPr>
          <w:rFonts w:asciiTheme="minorHAnsi" w:hAnsiTheme="minorHAnsi" w:cstheme="minorHAnsi"/>
          <w:szCs w:val="24"/>
          <w:lang w:val="fr-CH"/>
        </w:rPr>
        <w:t>: 1</w:t>
      </w:r>
    </w:p>
    <w:p w:rsidR="00E51DAE" w:rsidRDefault="00E51DAE" w:rsidP="00EA0285">
      <w:pPr>
        <w:spacing w:before="360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E51DAE" w:rsidRDefault="00E51DAE" w:rsidP="00EA0285">
      <w:pPr>
        <w:spacing w:before="360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EA0285" w:rsidRPr="00EA0285" w:rsidRDefault="00EA0285" w:rsidP="00EA0285">
      <w:pPr>
        <w:spacing w:before="360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r w:rsidRPr="00EA0285">
        <w:rPr>
          <w:rFonts w:asciiTheme="minorHAnsi" w:hAnsiTheme="minorHAnsi" w:cstheme="minorHAnsi"/>
          <w:b/>
          <w:bCs/>
          <w:sz w:val="18"/>
          <w:szCs w:val="18"/>
          <w:lang w:val="fr-CH"/>
        </w:rPr>
        <w:t>Distribution:</w:t>
      </w:r>
    </w:p>
    <w:p w:rsidR="00EA0285" w:rsidRDefault="00EA0285" w:rsidP="00E51DAE">
      <w:pPr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EA0285">
        <w:rPr>
          <w:rFonts w:asciiTheme="minorHAnsi" w:hAnsiTheme="minorHAnsi" w:cstheme="minorHAnsi"/>
          <w:sz w:val="18"/>
          <w:szCs w:val="18"/>
          <w:lang w:val="fr-CH"/>
        </w:rPr>
        <w:t>–</w:t>
      </w:r>
      <w:r>
        <w:rPr>
          <w:rFonts w:asciiTheme="minorHAnsi" w:hAnsiTheme="minorHAnsi" w:cstheme="minorHAnsi"/>
          <w:sz w:val="18"/>
          <w:szCs w:val="18"/>
          <w:lang w:val="fr-CH"/>
        </w:rPr>
        <w:tab/>
        <w:t>Administrations des Etats Membres de l'UIT</w:t>
      </w:r>
    </w:p>
    <w:p w:rsidR="00EA0285" w:rsidRDefault="00EA0285" w:rsidP="00EA0285">
      <w:pPr>
        <w:spacing w:before="0"/>
        <w:jc w:val="left"/>
        <w:rPr>
          <w:rFonts w:asciiTheme="minorHAnsi" w:hAnsiTheme="minorHAnsi" w:cstheme="minorHAnsi"/>
          <w:szCs w:val="24"/>
          <w:lang w:val="fr-CH"/>
        </w:rPr>
      </w:pPr>
      <w:r w:rsidRPr="00EA0285">
        <w:rPr>
          <w:rFonts w:asciiTheme="minorHAnsi" w:hAnsiTheme="minorHAnsi" w:cstheme="minorHAnsi"/>
          <w:sz w:val="18"/>
          <w:szCs w:val="18"/>
          <w:lang w:val="fr-CH"/>
        </w:rPr>
        <w:t>–</w:t>
      </w:r>
      <w:r>
        <w:rPr>
          <w:rFonts w:asciiTheme="minorHAnsi" w:hAnsiTheme="minorHAnsi" w:cstheme="minorHAnsi"/>
          <w:sz w:val="18"/>
          <w:szCs w:val="18"/>
          <w:lang w:val="fr-CH"/>
        </w:rPr>
        <w:tab/>
        <w:t xml:space="preserve">Membres du Comité du </w:t>
      </w:r>
      <w:r w:rsidRPr="00EA0285">
        <w:rPr>
          <w:rFonts w:asciiTheme="minorHAnsi" w:hAnsiTheme="minorHAnsi" w:cstheme="minorHAnsi"/>
          <w:sz w:val="18"/>
          <w:szCs w:val="18"/>
          <w:lang w:val="fr-CH"/>
        </w:rPr>
        <w:t xml:space="preserve">Règlement des radiocommunications </w:t>
      </w:r>
    </w:p>
    <w:p w:rsidR="00EA0285" w:rsidRDefault="00EA0285" w:rsidP="00EA0285">
      <w:pPr>
        <w:spacing w:before="840"/>
        <w:jc w:val="left"/>
        <w:rPr>
          <w:rFonts w:asciiTheme="minorHAnsi" w:hAnsiTheme="minorHAnsi" w:cstheme="minorHAnsi"/>
          <w:szCs w:val="24"/>
          <w:lang w:val="fr-CH"/>
        </w:rPr>
        <w:sectPr w:rsidR="00EA0285" w:rsidSect="00422625">
          <w:headerReference w:type="even" r:id="rId11"/>
          <w:headerReference w:type="default" r:id="rId12"/>
          <w:headerReference w:type="first" r:id="rId13"/>
          <w:footerReference w:type="first" r:id="rId14"/>
          <w:pgSz w:w="11907" w:h="16834" w:code="9"/>
          <w:pgMar w:top="1134" w:right="1134" w:bottom="993" w:left="1134" w:header="567" w:footer="397" w:gutter="0"/>
          <w:cols w:space="720"/>
          <w:titlePg/>
          <w:docGrid w:linePitch="326"/>
        </w:sectPr>
      </w:pPr>
    </w:p>
    <w:p w:rsidR="00A270F5" w:rsidRPr="00E51DAE" w:rsidRDefault="004032EF" w:rsidP="009E3CA9">
      <w:pPr>
        <w:pStyle w:val="AnnexNoTitle"/>
        <w:spacing w:before="240" w:after="240"/>
        <w:rPr>
          <w:lang w:val="fr-CH"/>
        </w:rPr>
      </w:pPr>
      <w:r>
        <w:rPr>
          <w:lang w:val="fr-CH"/>
        </w:rPr>
        <w:lastRenderedPageBreak/>
        <w:t>Annexe</w:t>
      </w:r>
      <w:r>
        <w:rPr>
          <w:lang w:val="fr-CH"/>
        </w:rPr>
        <w:br/>
      </w:r>
      <w:r>
        <w:rPr>
          <w:lang w:val="fr-CH"/>
        </w:rPr>
        <w:br/>
        <w:t xml:space="preserve">Structure fonctionnelle du système de recherche en ligne </w:t>
      </w:r>
      <w:proofErr w:type="spellStart"/>
      <w:r>
        <w:rPr>
          <w:lang w:val="fr-CH"/>
        </w:rPr>
        <w:t>Notex</w:t>
      </w:r>
      <w:proofErr w:type="spellEnd"/>
    </w:p>
    <w:p w:rsidR="00A270F5" w:rsidRDefault="00A270F5" w:rsidP="00A270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  <w:r>
        <w:object w:dxaOrig="17086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6pt;height:324pt" o:ole="">
            <v:imagedata r:id="rId15" o:title=""/>
          </v:shape>
          <o:OLEObject Type="Embed" ProgID="Visio.Drawing.15" ShapeID="_x0000_i1025" DrawAspect="Content" ObjectID="_1521463651" r:id="rId16"/>
        </w:object>
      </w:r>
    </w:p>
    <w:p w:rsidR="00A270F5" w:rsidRDefault="00A270F5" w:rsidP="00A270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</w:p>
    <w:p w:rsidR="00D311D8" w:rsidRDefault="00D311D8" w:rsidP="0032202E">
      <w:pPr>
        <w:pStyle w:val="Reasons"/>
      </w:pPr>
    </w:p>
    <w:p w:rsidR="00D311D8" w:rsidRDefault="00D311D8">
      <w:pPr>
        <w:jc w:val="center"/>
      </w:pPr>
      <w:r>
        <w:t>______________</w:t>
      </w:r>
    </w:p>
    <w:p w:rsidR="00EA0285" w:rsidRPr="00BB5D01" w:rsidRDefault="00EA0285" w:rsidP="00A270F5">
      <w:pPr>
        <w:rPr>
          <w:rFonts w:asciiTheme="minorHAnsi" w:hAnsiTheme="minorHAnsi" w:cstheme="minorHAnsi"/>
          <w:szCs w:val="24"/>
          <w:lang w:val="fr-CH"/>
        </w:rPr>
      </w:pPr>
    </w:p>
    <w:sectPr w:rsidR="00EA0285" w:rsidRPr="00BB5D01" w:rsidSect="00E64C1C">
      <w:headerReference w:type="first" r:id="rId17"/>
      <w:footerReference w:type="first" r:id="rId18"/>
      <w:pgSz w:w="16834" w:h="11907" w:orient="landscape" w:code="9"/>
      <w:pgMar w:top="1134" w:right="1134" w:bottom="1134" w:left="993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99" w:rsidRDefault="00D93399">
      <w:r>
        <w:separator/>
      </w:r>
    </w:p>
  </w:endnote>
  <w:endnote w:type="continuationSeparator" w:id="0">
    <w:p w:rsidR="00D93399" w:rsidRDefault="00D9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BB5D01">
      <w:rPr>
        <w:color w:val="3E8EDE"/>
        <w:sz w:val="18"/>
        <w:szCs w:val="18"/>
        <w:lang w:val="fr-CH"/>
      </w:rPr>
      <w:t>Union internationale des télécommunications • Place des Nations • CH</w:t>
    </w:r>
    <w:r w:rsidRPr="00BB5D01">
      <w:rPr>
        <w:color w:val="3E8EDE"/>
        <w:sz w:val="18"/>
        <w:szCs w:val="18"/>
        <w:lang w:val="fr-CH"/>
      </w:rPr>
      <w:noBreakHyphen/>
      <w:t xml:space="preserve">1211 Genève 20 • Suisse </w:t>
    </w:r>
    <w:r w:rsidRPr="00BB5D01">
      <w:rPr>
        <w:color w:val="3E8EDE"/>
        <w:sz w:val="18"/>
        <w:szCs w:val="18"/>
        <w:lang w:val="fr-CH"/>
      </w:rPr>
      <w:br/>
      <w:t>Tél</w:t>
    </w:r>
    <w:r w:rsidR="00E51DAE">
      <w:rPr>
        <w:color w:val="3E8EDE"/>
        <w:sz w:val="18"/>
        <w:szCs w:val="18"/>
        <w:lang w:val="fr-CH"/>
      </w:rPr>
      <w:t>.</w:t>
    </w:r>
    <w:r w:rsidRPr="00BB5D01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BB5D01">
      <w:rPr>
        <w:color w:val="3E8EDE"/>
        <w:sz w:val="18"/>
        <w:szCs w:val="18"/>
        <w:lang w:val="fr-CH"/>
      </w:rPr>
      <w:br/>
    </w:r>
    <w:r w:rsidRPr="00BB5D01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BB5D0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BB5D01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BB5D0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BB5D01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BB5D01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C" w:rsidRPr="00422625" w:rsidRDefault="00E64C1C" w:rsidP="00422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99" w:rsidRDefault="00D93399">
      <w:r>
        <w:t>____________________</w:t>
      </w:r>
    </w:p>
  </w:footnote>
  <w:footnote w:type="continuationSeparator" w:id="0">
    <w:p w:rsidR="00D93399" w:rsidRDefault="00D9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F330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0571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BF2CF3" w:rsidRDefault="00422625" w:rsidP="00422625">
        <w:pPr>
          <w:pStyle w:val="Header"/>
          <w:numPr>
            <w:ilvl w:val="0"/>
            <w:numId w:val="4"/>
          </w:numPr>
          <w:jc w:val="center"/>
        </w:pPr>
        <w:r>
          <w:t xml:space="preserve"> </w:t>
        </w:r>
        <w:r w:rsidRPr="00422625">
          <w:rPr>
            <w:sz w:val="18"/>
            <w:szCs w:val="18"/>
          </w:rPr>
          <w:t>3</w:t>
        </w:r>
        <w: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E64C1C" w:rsidTr="0048222E">
      <w:tc>
        <w:tcPr>
          <w:tcW w:w="5031" w:type="dxa"/>
        </w:tcPr>
        <w:p w:rsidR="00E64C1C" w:rsidRDefault="00E64C1C" w:rsidP="00E64C1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874A61F" wp14:editId="1E15C190">
                <wp:extent cx="579396" cy="6572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E64C1C" w:rsidRDefault="00E64C1C" w:rsidP="00E64C1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43AF8409" wp14:editId="3F691520">
                <wp:extent cx="1017905" cy="925067"/>
                <wp:effectExtent l="0" t="0" r="0" b="889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4C1C" w:rsidRDefault="00E64C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C" w:rsidRPr="00BF2CF3" w:rsidRDefault="00E64C1C" w:rsidP="00BF2CF3">
    <w:pPr>
      <w:pStyle w:val="Header"/>
      <w:jc w:val="center"/>
      <w:rPr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3B0310"/>
    <w:multiLevelType w:val="hybridMultilevel"/>
    <w:tmpl w:val="7890B1C6"/>
    <w:lvl w:ilvl="0" w:tplc="52B67B3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1078ED"/>
    <w:multiLevelType w:val="hybridMultilevel"/>
    <w:tmpl w:val="24F065D6"/>
    <w:lvl w:ilvl="0" w:tplc="2D8258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9339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31EB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783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316F"/>
    <w:rsid w:val="003666FF"/>
    <w:rsid w:val="0037309C"/>
    <w:rsid w:val="00380A6E"/>
    <w:rsid w:val="003836D4"/>
    <w:rsid w:val="00387AE4"/>
    <w:rsid w:val="003A1F49"/>
    <w:rsid w:val="003A55ED"/>
    <w:rsid w:val="003A5D52"/>
    <w:rsid w:val="003B0C07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2EF"/>
    <w:rsid w:val="00406D71"/>
    <w:rsid w:val="00411CB3"/>
    <w:rsid w:val="004201C3"/>
    <w:rsid w:val="00422625"/>
    <w:rsid w:val="004228FA"/>
    <w:rsid w:val="004326DB"/>
    <w:rsid w:val="0043682E"/>
    <w:rsid w:val="00447ECB"/>
    <w:rsid w:val="004623F7"/>
    <w:rsid w:val="00480F51"/>
    <w:rsid w:val="00481124"/>
    <w:rsid w:val="004815EB"/>
    <w:rsid w:val="0048193F"/>
    <w:rsid w:val="00487569"/>
    <w:rsid w:val="00496864"/>
    <w:rsid w:val="00496920"/>
    <w:rsid w:val="004A4496"/>
    <w:rsid w:val="004B0EEC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031D"/>
    <w:rsid w:val="005224A1"/>
    <w:rsid w:val="00534372"/>
    <w:rsid w:val="00543DF8"/>
    <w:rsid w:val="00546101"/>
    <w:rsid w:val="00553DD7"/>
    <w:rsid w:val="0055721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48D1"/>
    <w:rsid w:val="005D3669"/>
    <w:rsid w:val="005E5EB3"/>
    <w:rsid w:val="005F330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2693"/>
    <w:rsid w:val="006829F3"/>
    <w:rsid w:val="00695B9B"/>
    <w:rsid w:val="006A518B"/>
    <w:rsid w:val="006B0590"/>
    <w:rsid w:val="006B49DA"/>
    <w:rsid w:val="006C3DA5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CEC"/>
    <w:rsid w:val="00854131"/>
    <w:rsid w:val="0085652D"/>
    <w:rsid w:val="00870FE8"/>
    <w:rsid w:val="0087694B"/>
    <w:rsid w:val="00880F4D"/>
    <w:rsid w:val="0088417E"/>
    <w:rsid w:val="0088443B"/>
    <w:rsid w:val="008B35A3"/>
    <w:rsid w:val="008B37E1"/>
    <w:rsid w:val="008B45F8"/>
    <w:rsid w:val="008C2E74"/>
    <w:rsid w:val="008D5409"/>
    <w:rsid w:val="008D6A87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57C1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CA9"/>
    <w:rsid w:val="009E4AEC"/>
    <w:rsid w:val="009E5BD8"/>
    <w:rsid w:val="009E681E"/>
    <w:rsid w:val="00A119E6"/>
    <w:rsid w:val="00A20FBC"/>
    <w:rsid w:val="00A231BC"/>
    <w:rsid w:val="00A270F5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A6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5D01"/>
    <w:rsid w:val="00BD5E70"/>
    <w:rsid w:val="00BD6738"/>
    <w:rsid w:val="00BD7E5E"/>
    <w:rsid w:val="00BE63DB"/>
    <w:rsid w:val="00BE6574"/>
    <w:rsid w:val="00BF2CF3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ADE"/>
    <w:rsid w:val="00CE076A"/>
    <w:rsid w:val="00CE463D"/>
    <w:rsid w:val="00D10BA0"/>
    <w:rsid w:val="00D21694"/>
    <w:rsid w:val="00D24EB5"/>
    <w:rsid w:val="00D311D8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399"/>
    <w:rsid w:val="00DA4037"/>
    <w:rsid w:val="00DE66A5"/>
    <w:rsid w:val="00DF2B50"/>
    <w:rsid w:val="00E01059"/>
    <w:rsid w:val="00E04C86"/>
    <w:rsid w:val="00E1291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DAE"/>
    <w:rsid w:val="00E520E2"/>
    <w:rsid w:val="00E530C4"/>
    <w:rsid w:val="00E53DCE"/>
    <w:rsid w:val="00E55996"/>
    <w:rsid w:val="00E64254"/>
    <w:rsid w:val="00E64C1C"/>
    <w:rsid w:val="00E67928"/>
    <w:rsid w:val="00E70FB5"/>
    <w:rsid w:val="00E915AF"/>
    <w:rsid w:val="00E96415"/>
    <w:rsid w:val="00EA0285"/>
    <w:rsid w:val="00EA15B3"/>
    <w:rsid w:val="00EA2C83"/>
    <w:rsid w:val="00EB2358"/>
    <w:rsid w:val="00EB2676"/>
    <w:rsid w:val="00EB3EB8"/>
    <w:rsid w:val="00EC00EF"/>
    <w:rsid w:val="00EC02FE"/>
    <w:rsid w:val="00EC4A96"/>
    <w:rsid w:val="00EE03A0"/>
    <w:rsid w:val="00EE1A57"/>
    <w:rsid w:val="00EE2559"/>
    <w:rsid w:val="00F031B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924DF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11E4FCC-444B-4923-A8D2-8C142D4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70FE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311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4C1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4/ITU-R/noq" TargetMode="Externa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1111111111111.vsdx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notex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9B020992540E29B7869A3A0AC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1A85-81B7-4CDD-8190-776D96428ADC}"/>
      </w:docPartPr>
      <w:docPartBody>
        <w:p w:rsidR="00B6613D" w:rsidRDefault="00B6613D">
          <w:pPr>
            <w:pStyle w:val="4519B020992540E29B7869A3A0AC9B7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3D"/>
    <w:rsid w:val="00B6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19B020992540E29B7869A3A0AC9B77">
    <w:name w:val="4519B020992540E29B7869A3A0AC9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832C-59C3-402C-A47E-38B621A4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13</TotalTime>
  <Pages>4</Pages>
  <Words>890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Anghelone, Christine</cp:lastModifiedBy>
  <cp:revision>7</cp:revision>
  <cp:lastPrinted>2016-04-06T13:56:00Z</cp:lastPrinted>
  <dcterms:created xsi:type="dcterms:W3CDTF">2016-04-06T13:49:00Z</dcterms:created>
  <dcterms:modified xsi:type="dcterms:W3CDTF">2016-04-06T14:01:00Z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