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841B33" w:rsidP="00E17344">
            <w:pPr>
              <w:spacing w:before="0"/>
              <w:jc w:val="left"/>
              <w:rPr>
                <w:szCs w:val="24"/>
                <w:lang w:val="fr-CH"/>
              </w:rPr>
            </w:pPr>
            <w:proofErr w:type="spellStart"/>
            <w:r w:rsidRPr="00F72E22">
              <w:rPr>
                <w:szCs w:val="24"/>
                <w:lang w:val="fr-CH"/>
              </w:rPr>
              <w:t>Circular</w:t>
            </w:r>
            <w:proofErr w:type="spellEnd"/>
            <w:r w:rsidRPr="00F72E22">
              <w:rPr>
                <w:szCs w:val="24"/>
                <w:lang w:val="fr-CH"/>
              </w:rPr>
              <w:t xml:space="preserve"> </w:t>
            </w:r>
            <w:proofErr w:type="spellStart"/>
            <w:r w:rsidRPr="00F72E22">
              <w:rPr>
                <w:szCs w:val="24"/>
                <w:lang w:val="fr-CH"/>
              </w:rPr>
              <w:t>Letter</w:t>
            </w:r>
            <w:proofErr w:type="spellEnd"/>
          </w:p>
          <w:p w:rsidR="00651777" w:rsidRPr="00CD4E44" w:rsidRDefault="00E17344" w:rsidP="008B0205">
            <w:pPr>
              <w:spacing w:before="0"/>
              <w:jc w:val="left"/>
              <w:rPr>
                <w:b/>
                <w:bCs/>
                <w:szCs w:val="24"/>
                <w:lang w:val="fr-CH"/>
              </w:rPr>
            </w:pPr>
            <w:r w:rsidRPr="00CD4E44">
              <w:rPr>
                <w:b/>
                <w:bCs/>
                <w:szCs w:val="24"/>
                <w:lang w:val="fr-CH"/>
              </w:rPr>
              <w:t>C</w:t>
            </w:r>
            <w:r w:rsidR="00841B33">
              <w:rPr>
                <w:b/>
                <w:bCs/>
                <w:szCs w:val="24"/>
                <w:lang w:val="fr-CH"/>
              </w:rPr>
              <w:t>R</w:t>
            </w:r>
            <w:r w:rsidR="003836D4" w:rsidRPr="00CD4E44">
              <w:rPr>
                <w:b/>
                <w:bCs/>
                <w:szCs w:val="24"/>
                <w:lang w:val="fr-CH"/>
              </w:rPr>
              <w:t>/</w:t>
            </w:r>
            <w:r w:rsidR="008B0205">
              <w:rPr>
                <w:b/>
                <w:bCs/>
                <w:szCs w:val="24"/>
                <w:lang w:val="fr-CH"/>
              </w:rPr>
              <w:t>397</w:t>
            </w:r>
          </w:p>
        </w:tc>
        <w:tc>
          <w:tcPr>
            <w:tcW w:w="2835" w:type="dxa"/>
            <w:shd w:val="clear" w:color="auto" w:fill="auto"/>
          </w:tcPr>
          <w:p w:rsidR="00651777" w:rsidRPr="00CD4E44" w:rsidRDefault="0086162D" w:rsidP="008D5815">
            <w:pPr>
              <w:spacing w:before="0"/>
              <w:jc w:val="right"/>
              <w:rPr>
                <w:szCs w:val="24"/>
                <w:lang w:val="en-GB"/>
              </w:rPr>
            </w:pPr>
            <w:r>
              <w:rPr>
                <w:szCs w:val="24"/>
                <w:lang w:val="en-GB"/>
              </w:rPr>
              <w:t>8</w:t>
            </w:r>
            <w:r w:rsidR="008D47D1">
              <w:rPr>
                <w:szCs w:val="24"/>
                <w:lang w:val="en-GB"/>
              </w:rPr>
              <w:t xml:space="preserve"> </w:t>
            </w:r>
            <w:r w:rsidR="008D5815">
              <w:rPr>
                <w:szCs w:val="24"/>
                <w:lang w:val="en-GB"/>
              </w:rPr>
              <w:t>April</w:t>
            </w:r>
            <w:r w:rsidR="008D47D1">
              <w:rPr>
                <w:szCs w:val="24"/>
                <w:lang w:val="en-GB"/>
              </w:rPr>
              <w:t xml:space="preserve"> 201</w:t>
            </w:r>
            <w:r w:rsidR="005722A7">
              <w:rPr>
                <w:szCs w:val="24"/>
                <w:lang w:val="en-GB"/>
              </w:rPr>
              <w:t>6</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b/>
                <w:bCs/>
                <w:szCs w:val="24"/>
              </w:rPr>
            </w:pPr>
            <w:r w:rsidRPr="00CD4E44">
              <w:rPr>
                <w:b/>
                <w:bCs/>
                <w:szCs w:val="24"/>
              </w:rPr>
              <w:t>To Administrati</w:t>
            </w:r>
            <w:r w:rsidR="00BE35C0">
              <w:rPr>
                <w:b/>
                <w:bCs/>
                <w:szCs w:val="24"/>
              </w:rPr>
              <w:t>ons of Member States of the ITU</w:t>
            </w:r>
          </w:p>
          <w:p w:rsidR="00D21694" w:rsidRPr="00CD4E44" w:rsidRDefault="00D21694" w:rsidP="006047E5">
            <w:pPr>
              <w:spacing w:before="0"/>
              <w:jc w:val="left"/>
              <w:rPr>
                <w:b/>
                <w:bCs/>
                <w:szCs w:val="24"/>
              </w:rPr>
            </w:pP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0F6E6D">
        <w:trPr>
          <w:trHeight w:val="74"/>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0F6E6D" w:rsidP="000F6E6D">
            <w:pPr>
              <w:spacing w:before="0"/>
              <w:rPr>
                <w:b/>
                <w:bCs/>
                <w:szCs w:val="24"/>
                <w:lang w:val="en-GB"/>
              </w:rPr>
            </w:pPr>
            <w:r>
              <w:rPr>
                <w:b/>
                <w:bCs/>
                <w:szCs w:val="24"/>
              </w:rPr>
              <w:t>P</w:t>
            </w:r>
            <w:r w:rsidR="00B15D66">
              <w:rPr>
                <w:b/>
                <w:bCs/>
                <w:szCs w:val="24"/>
              </w:rPr>
              <w:t xml:space="preserve">ublication of </w:t>
            </w:r>
            <w:r w:rsidR="00EC5E88">
              <w:rPr>
                <w:b/>
                <w:bCs/>
                <w:szCs w:val="24"/>
              </w:rPr>
              <w:t xml:space="preserve">information </w:t>
            </w:r>
            <w:r w:rsidR="00B15D66">
              <w:rPr>
                <w:b/>
                <w:bCs/>
                <w:szCs w:val="24"/>
              </w:rPr>
              <w:t>under No</w:t>
            </w:r>
            <w:r>
              <w:rPr>
                <w:b/>
                <w:bCs/>
                <w:szCs w:val="24"/>
              </w:rPr>
              <w:t>s</w:t>
            </w:r>
            <w:r w:rsidR="00B15D66">
              <w:rPr>
                <w:b/>
                <w:bCs/>
                <w:szCs w:val="24"/>
              </w:rPr>
              <w:t xml:space="preserve">. 11.41 </w:t>
            </w:r>
            <w:r w:rsidR="00EC5E88">
              <w:rPr>
                <w:b/>
                <w:bCs/>
                <w:szCs w:val="24"/>
              </w:rPr>
              <w:t xml:space="preserve">and </w:t>
            </w:r>
            <w:r w:rsidR="008D5815">
              <w:rPr>
                <w:b/>
                <w:bCs/>
                <w:szCs w:val="24"/>
              </w:rPr>
              <w:t>11.41A of the Radio Regulations</w:t>
            </w:r>
            <w:r w:rsidR="00EC5E88">
              <w:rPr>
                <w:b/>
                <w:bCs/>
                <w:szCs w:val="24"/>
              </w:rPr>
              <w:t xml:space="preserve"> </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4B733D" w:rsidRDefault="004B733D" w:rsidP="00281945">
      <w:pPr>
        <w:spacing w:before="120" w:line="240" w:lineRule="auto"/>
        <w:ind w:left="142"/>
        <w:rPr>
          <w:rFonts w:asciiTheme="minorHAnsi" w:hAnsiTheme="minorHAnsi"/>
          <w:szCs w:val="24"/>
        </w:rPr>
      </w:pPr>
    </w:p>
    <w:p w:rsidR="00841B33" w:rsidRDefault="00841B33" w:rsidP="00281945">
      <w:pPr>
        <w:spacing w:before="120" w:line="240" w:lineRule="auto"/>
        <w:ind w:left="142"/>
        <w:rPr>
          <w:szCs w:val="24"/>
        </w:rPr>
      </w:pPr>
      <w:r w:rsidRPr="00F72E22">
        <w:rPr>
          <w:rFonts w:asciiTheme="minorHAnsi" w:hAnsiTheme="minorHAnsi"/>
          <w:szCs w:val="24"/>
        </w:rPr>
        <w:t xml:space="preserve">The purpose of this Circular Letter is to provide information on </w:t>
      </w:r>
      <w:r>
        <w:rPr>
          <w:rFonts w:asciiTheme="minorHAnsi" w:hAnsiTheme="minorHAnsi"/>
          <w:szCs w:val="24"/>
        </w:rPr>
        <w:t xml:space="preserve">the </w:t>
      </w:r>
      <w:r w:rsidR="00B15D66">
        <w:rPr>
          <w:rFonts w:asciiTheme="minorHAnsi" w:hAnsiTheme="minorHAnsi"/>
          <w:szCs w:val="24"/>
        </w:rPr>
        <w:t xml:space="preserve">new format for publication by the </w:t>
      </w:r>
      <w:proofErr w:type="spellStart"/>
      <w:r w:rsidR="00A84CB2">
        <w:rPr>
          <w:rFonts w:asciiTheme="minorHAnsi" w:hAnsiTheme="minorHAnsi"/>
          <w:szCs w:val="24"/>
        </w:rPr>
        <w:t>Radiocommunication</w:t>
      </w:r>
      <w:proofErr w:type="spellEnd"/>
      <w:r w:rsidR="00A84CB2">
        <w:rPr>
          <w:rFonts w:asciiTheme="minorHAnsi" w:hAnsiTheme="minorHAnsi"/>
          <w:szCs w:val="24"/>
        </w:rPr>
        <w:t xml:space="preserve"> </w:t>
      </w:r>
      <w:r w:rsidR="00B15D66">
        <w:rPr>
          <w:rFonts w:asciiTheme="minorHAnsi" w:hAnsiTheme="minorHAnsi"/>
          <w:szCs w:val="24"/>
        </w:rPr>
        <w:t xml:space="preserve">Bureau </w:t>
      </w:r>
      <w:r w:rsidR="000876EE">
        <w:rPr>
          <w:rFonts w:asciiTheme="minorHAnsi" w:hAnsiTheme="minorHAnsi"/>
          <w:szCs w:val="24"/>
        </w:rPr>
        <w:t xml:space="preserve">of </w:t>
      </w:r>
      <w:r w:rsidR="002E6BA2">
        <w:rPr>
          <w:rFonts w:asciiTheme="minorHAnsi" w:hAnsiTheme="minorHAnsi"/>
          <w:szCs w:val="24"/>
        </w:rPr>
        <w:t xml:space="preserve">the </w:t>
      </w:r>
      <w:r w:rsidR="000876EE">
        <w:rPr>
          <w:rFonts w:asciiTheme="minorHAnsi" w:hAnsiTheme="minorHAnsi"/>
          <w:szCs w:val="24"/>
        </w:rPr>
        <w:t xml:space="preserve">coordination requirements established under No. </w:t>
      </w:r>
      <w:r w:rsidR="000876EE" w:rsidRPr="000876EE">
        <w:rPr>
          <w:rFonts w:asciiTheme="minorHAnsi" w:hAnsiTheme="minorHAnsi"/>
          <w:b/>
          <w:bCs/>
          <w:szCs w:val="24"/>
        </w:rPr>
        <w:t>9.36.2</w:t>
      </w:r>
      <w:r w:rsidR="000876EE">
        <w:rPr>
          <w:rFonts w:asciiTheme="minorHAnsi" w:hAnsiTheme="minorHAnsi"/>
          <w:szCs w:val="24"/>
        </w:rPr>
        <w:t xml:space="preserve"> </w:t>
      </w:r>
      <w:r w:rsidR="00662A6B">
        <w:rPr>
          <w:rFonts w:asciiTheme="minorHAnsi" w:hAnsiTheme="minorHAnsi"/>
          <w:szCs w:val="24"/>
        </w:rPr>
        <w:t xml:space="preserve">of the Radio Regulations </w:t>
      </w:r>
      <w:r w:rsidR="000876EE">
        <w:rPr>
          <w:rFonts w:asciiTheme="minorHAnsi" w:hAnsiTheme="minorHAnsi"/>
          <w:szCs w:val="24"/>
        </w:rPr>
        <w:t>and</w:t>
      </w:r>
      <w:r w:rsidR="002E6BA2">
        <w:rPr>
          <w:rFonts w:asciiTheme="minorHAnsi" w:hAnsiTheme="minorHAnsi"/>
          <w:szCs w:val="24"/>
        </w:rPr>
        <w:t xml:space="preserve"> on</w:t>
      </w:r>
      <w:r w:rsidR="000F6E6D">
        <w:rPr>
          <w:rFonts w:asciiTheme="minorHAnsi" w:hAnsiTheme="minorHAnsi"/>
          <w:szCs w:val="24"/>
        </w:rPr>
        <w:t xml:space="preserve"> </w:t>
      </w:r>
      <w:r w:rsidR="00B15D66" w:rsidRPr="00B15D66">
        <w:rPr>
          <w:szCs w:val="24"/>
        </w:rPr>
        <w:t xml:space="preserve">the new process </w:t>
      </w:r>
      <w:r w:rsidR="00662A6B">
        <w:rPr>
          <w:szCs w:val="24"/>
        </w:rPr>
        <w:t xml:space="preserve">for </w:t>
      </w:r>
      <w:r w:rsidR="00B15D66" w:rsidRPr="00B15D66">
        <w:rPr>
          <w:szCs w:val="24"/>
        </w:rPr>
        <w:t xml:space="preserve">recording and reviewing No. </w:t>
      </w:r>
      <w:r w:rsidR="00B15D66" w:rsidRPr="00B15D66">
        <w:rPr>
          <w:b/>
          <w:bCs/>
          <w:szCs w:val="24"/>
        </w:rPr>
        <w:t>11.41</w:t>
      </w:r>
      <w:r w:rsidR="00B15D66" w:rsidRPr="00B15D66">
        <w:rPr>
          <w:szCs w:val="24"/>
        </w:rPr>
        <w:t xml:space="preserve"> findings in</w:t>
      </w:r>
      <w:r w:rsidR="006A5FFC">
        <w:rPr>
          <w:szCs w:val="24"/>
        </w:rPr>
        <w:t xml:space="preserve"> </w:t>
      </w:r>
      <w:r w:rsidR="00B15D66" w:rsidRPr="00B15D66">
        <w:rPr>
          <w:szCs w:val="24"/>
        </w:rPr>
        <w:t xml:space="preserve">application of No. </w:t>
      </w:r>
      <w:r w:rsidR="00B15D66" w:rsidRPr="00B15D66">
        <w:rPr>
          <w:b/>
          <w:bCs/>
          <w:szCs w:val="24"/>
        </w:rPr>
        <w:t>11.41A</w:t>
      </w:r>
      <w:r w:rsidR="008D5815">
        <w:rPr>
          <w:szCs w:val="24"/>
        </w:rPr>
        <w:t>.</w:t>
      </w:r>
    </w:p>
    <w:p w:rsidR="000876EE" w:rsidRDefault="00A84CB2" w:rsidP="00A84CB2">
      <w:pPr>
        <w:spacing w:line="240" w:lineRule="auto"/>
        <w:ind w:left="142"/>
      </w:pPr>
      <w:r>
        <w:t>At its June 2015 meeting</w:t>
      </w:r>
      <w:r w:rsidR="0080251E">
        <w:t>,</w:t>
      </w:r>
      <w:r>
        <w:t xml:space="preserve"> </w:t>
      </w:r>
      <w:r w:rsidR="000876EE">
        <w:t xml:space="preserve">ITU-R Working Party 4A </w:t>
      </w:r>
      <w:r w:rsidR="000F6E6D">
        <w:t>requested</w:t>
      </w:r>
      <w:r w:rsidR="000876EE">
        <w:t xml:space="preserve"> the Director of the Radiocommunication Bureau to study and implement, if feasible, </w:t>
      </w:r>
      <w:r w:rsidR="00221F85">
        <w:t xml:space="preserve">the </w:t>
      </w:r>
      <w:r w:rsidR="000876EE">
        <w:t>following proposals (Doc. 4A/669 Annex 14):</w:t>
      </w:r>
    </w:p>
    <w:p w:rsidR="000876EE" w:rsidRDefault="000876EE" w:rsidP="00B804E6">
      <w:pPr>
        <w:pStyle w:val="ListParagraph"/>
        <w:numPr>
          <w:ilvl w:val="0"/>
          <w:numId w:val="6"/>
        </w:numPr>
        <w:tabs>
          <w:tab w:val="clear" w:pos="794"/>
          <w:tab w:val="clear" w:pos="1191"/>
          <w:tab w:val="left" w:pos="851"/>
        </w:tabs>
        <w:spacing w:after="100" w:line="240" w:lineRule="auto"/>
        <w:ind w:left="851" w:hanging="709"/>
      </w:pPr>
      <w:r>
        <w:t xml:space="preserve">To separate into two distinct lists those satellite networks, which </w:t>
      </w:r>
      <w:proofErr w:type="gramStart"/>
      <w:r>
        <w:t>are identified</w:t>
      </w:r>
      <w:proofErr w:type="gramEnd"/>
      <w:r>
        <w:t xml:space="preserve"> under </w:t>
      </w:r>
      <w:r w:rsidR="008D5815">
        <w:br/>
      </w:r>
      <w:r>
        <w:t xml:space="preserve">No. </w:t>
      </w:r>
      <w:r w:rsidRPr="000876EE">
        <w:rPr>
          <w:b/>
        </w:rPr>
        <w:t>9.7</w:t>
      </w:r>
      <w:r>
        <w:t xml:space="preserve"> in application of No. </w:t>
      </w:r>
      <w:r w:rsidRPr="000876EE">
        <w:rPr>
          <w:b/>
          <w:bCs/>
        </w:rPr>
        <w:t>9.36.2</w:t>
      </w:r>
      <w:r w:rsidR="00397261" w:rsidRPr="000C4D65">
        <w:t>,</w:t>
      </w:r>
      <w:r>
        <w:t xml:space="preserve"> </w:t>
      </w:r>
      <w:r w:rsidR="00397261">
        <w:t xml:space="preserve">as </w:t>
      </w:r>
      <w:r>
        <w:t>either in the same or in the opposite direction of transmission.</w:t>
      </w:r>
    </w:p>
    <w:p w:rsidR="008D5815" w:rsidRDefault="008D5815" w:rsidP="00281945">
      <w:pPr>
        <w:pStyle w:val="ListParagraph"/>
        <w:ind w:left="142"/>
      </w:pPr>
    </w:p>
    <w:p w:rsidR="00385AE7" w:rsidRDefault="000876EE" w:rsidP="00B804E6">
      <w:pPr>
        <w:pStyle w:val="ListParagraph"/>
        <w:numPr>
          <w:ilvl w:val="0"/>
          <w:numId w:val="6"/>
        </w:numPr>
        <w:tabs>
          <w:tab w:val="clear" w:pos="1191"/>
        </w:tabs>
        <w:spacing w:line="240" w:lineRule="auto"/>
        <w:ind w:left="851" w:hanging="709"/>
      </w:pPr>
      <w:proofErr w:type="gramStart"/>
      <w:r>
        <w:rPr>
          <w:lang w:eastAsia="zh-CN"/>
        </w:rPr>
        <w:t xml:space="preserve">To replace </w:t>
      </w:r>
      <w:r w:rsidR="002E6BA2">
        <w:rPr>
          <w:lang w:eastAsia="zh-CN"/>
        </w:rPr>
        <w:t xml:space="preserve">the </w:t>
      </w:r>
      <w:r>
        <w:t xml:space="preserve">single list of administrations under No. </w:t>
      </w:r>
      <w:r w:rsidRPr="000876EE">
        <w:rPr>
          <w:b/>
        </w:rPr>
        <w:t>11.41</w:t>
      </w:r>
      <w:r>
        <w:t xml:space="preserve"> in Part II-S of satellite networks with distinguished lists for </w:t>
      </w:r>
      <w:r w:rsidR="002E6BA2">
        <w:t xml:space="preserve">the </w:t>
      </w:r>
      <w:r>
        <w:t xml:space="preserve">various provisions for which coordination </w:t>
      </w:r>
      <w:r w:rsidR="00397261">
        <w:t>has</w:t>
      </w:r>
      <w:r w:rsidR="000407E8">
        <w:t xml:space="preserve"> yet </w:t>
      </w:r>
      <w:r>
        <w:t xml:space="preserve">to be completed (e.g., Nos. </w:t>
      </w:r>
      <w:r w:rsidRPr="000876EE">
        <w:rPr>
          <w:b/>
        </w:rPr>
        <w:t>11.41</w:t>
      </w:r>
      <w:r>
        <w:t>/</w:t>
      </w:r>
      <w:r w:rsidRPr="000876EE">
        <w:rPr>
          <w:b/>
        </w:rPr>
        <w:t>9.7</w:t>
      </w:r>
      <w:r>
        <w:t xml:space="preserve">, </w:t>
      </w:r>
      <w:r w:rsidRPr="000876EE">
        <w:rPr>
          <w:b/>
        </w:rPr>
        <w:t>11.41</w:t>
      </w:r>
      <w:r>
        <w:t>/</w:t>
      </w:r>
      <w:r w:rsidRPr="000876EE">
        <w:rPr>
          <w:b/>
        </w:rPr>
        <w:t>9.12</w:t>
      </w:r>
      <w:r>
        <w:t xml:space="preserve">, </w:t>
      </w:r>
      <w:r w:rsidRPr="000876EE">
        <w:rPr>
          <w:b/>
        </w:rPr>
        <w:t>11.41</w:t>
      </w:r>
      <w:r>
        <w:t>/</w:t>
      </w:r>
      <w:r w:rsidRPr="000876EE">
        <w:rPr>
          <w:b/>
        </w:rPr>
        <w:t>9.13</w:t>
      </w:r>
      <w:r>
        <w:t xml:space="preserve">, </w:t>
      </w:r>
      <w:r w:rsidRPr="000876EE">
        <w:rPr>
          <w:b/>
        </w:rPr>
        <w:t>11.41</w:t>
      </w:r>
      <w:r>
        <w:t>/</w:t>
      </w:r>
      <w:r w:rsidRPr="000876EE">
        <w:rPr>
          <w:b/>
        </w:rPr>
        <w:t>9.14</w:t>
      </w:r>
      <w:r>
        <w:t>, etc.)</w:t>
      </w:r>
      <w:r w:rsidR="004D13BD">
        <w:t>,</w:t>
      </w:r>
      <w:r>
        <w:t xml:space="preserve"> </w:t>
      </w:r>
      <w:r w:rsidR="000407E8">
        <w:t>as well as</w:t>
      </w:r>
      <w:r>
        <w:t xml:space="preserve"> to list the various satellite networks and systems with which coordination </w:t>
      </w:r>
      <w:r w:rsidR="00397261">
        <w:t>ha</w:t>
      </w:r>
      <w:r w:rsidR="000407E8">
        <w:t xml:space="preserve">s yet </w:t>
      </w:r>
      <w:r w:rsidR="004D13BD">
        <w:t>to be completed</w:t>
      </w:r>
      <w:r w:rsidR="008D5815">
        <w:t>.</w:t>
      </w:r>
      <w:proofErr w:type="gramEnd"/>
    </w:p>
    <w:p w:rsidR="00385AE7" w:rsidRPr="00F50823" w:rsidRDefault="00A43C7A" w:rsidP="00281945">
      <w:pPr>
        <w:spacing w:line="240" w:lineRule="auto"/>
        <w:ind w:left="142"/>
      </w:pPr>
      <w:r>
        <w:t>T</w:t>
      </w:r>
      <w:r w:rsidR="00385AE7">
        <w:t xml:space="preserve">he Bureau is </w:t>
      </w:r>
      <w:r>
        <w:t>pleased to</w:t>
      </w:r>
      <w:bookmarkStart w:id="0" w:name="_GoBack"/>
      <w:bookmarkEnd w:id="0"/>
      <w:r>
        <w:t xml:space="preserve"> inform administrations </w:t>
      </w:r>
      <w:r w:rsidR="00385AE7">
        <w:t xml:space="preserve">that the </w:t>
      </w:r>
      <w:r>
        <w:t xml:space="preserve">above </w:t>
      </w:r>
      <w:r w:rsidR="00385AE7">
        <w:t xml:space="preserve">proposals by the Working Party 4A </w:t>
      </w:r>
      <w:proofErr w:type="gramStart"/>
      <w:r w:rsidR="00385AE7">
        <w:t xml:space="preserve">have </w:t>
      </w:r>
      <w:r w:rsidR="00A84CB2">
        <w:t xml:space="preserve">now </w:t>
      </w:r>
      <w:r w:rsidR="00AE2872">
        <w:t>been implemented</w:t>
      </w:r>
      <w:proofErr w:type="gramEnd"/>
      <w:r w:rsidR="00385AE7" w:rsidRPr="00013F8B">
        <w:t>.</w:t>
      </w:r>
    </w:p>
    <w:p w:rsidR="0010129D" w:rsidRPr="00846FCB" w:rsidRDefault="00846FCB" w:rsidP="00281945">
      <w:pPr>
        <w:ind w:left="142"/>
        <w:rPr>
          <w:b/>
          <w:bCs/>
        </w:rPr>
      </w:pPr>
      <w:r w:rsidRPr="00846FCB">
        <w:rPr>
          <w:b/>
          <w:bCs/>
        </w:rPr>
        <w:t>New provision symbols</w:t>
      </w:r>
    </w:p>
    <w:p w:rsidR="00F50823" w:rsidRPr="00F50823" w:rsidRDefault="00F50823" w:rsidP="00281945">
      <w:pPr>
        <w:spacing w:line="240" w:lineRule="auto"/>
        <w:ind w:left="142"/>
      </w:pPr>
      <w:r w:rsidRPr="00F50823">
        <w:t xml:space="preserve">The Bureau </w:t>
      </w:r>
      <w:r w:rsidR="00AE2872" w:rsidRPr="00F50823">
        <w:t>has modified</w:t>
      </w:r>
      <w:r w:rsidRPr="00F50823">
        <w:t xml:space="preserve"> </w:t>
      </w:r>
      <w:r w:rsidR="00CF720A">
        <w:t xml:space="preserve">the GIBC/AP8 </w:t>
      </w:r>
      <w:r w:rsidR="00AE2872" w:rsidRPr="00F50823">
        <w:t>software,</w:t>
      </w:r>
      <w:r w:rsidR="00CF720A">
        <w:t xml:space="preserve"> </w:t>
      </w:r>
      <w:r w:rsidR="00794B57">
        <w:t xml:space="preserve">available </w:t>
      </w:r>
      <w:r w:rsidRPr="00F50823">
        <w:t>as of BR IFIC 281</w:t>
      </w:r>
      <w:r w:rsidR="00794B57">
        <w:t>7</w:t>
      </w:r>
      <w:r w:rsidRPr="00F50823">
        <w:t xml:space="preserve"> / </w:t>
      </w:r>
      <w:r w:rsidR="00794B57">
        <w:t>12</w:t>
      </w:r>
      <w:r w:rsidRPr="00F50823">
        <w:t>.0</w:t>
      </w:r>
      <w:r w:rsidR="00794B57">
        <w:t>4</w:t>
      </w:r>
      <w:r w:rsidRPr="00F50823">
        <w:t>.2016</w:t>
      </w:r>
      <w:r w:rsidR="00CF720A">
        <w:t xml:space="preserve">, to implement the above first </w:t>
      </w:r>
      <w:proofErr w:type="gramStart"/>
      <w:r w:rsidR="00CF720A">
        <w:t>requirement</w:t>
      </w:r>
      <w:r w:rsidR="00C264BF">
        <w:t xml:space="preserve">, </w:t>
      </w:r>
      <w:r w:rsidR="00AE2872">
        <w:t>that</w:t>
      </w:r>
      <w:proofErr w:type="gramEnd"/>
      <w:r w:rsidR="00AE2872" w:rsidRPr="00F50823">
        <w:t xml:space="preserve"> will</w:t>
      </w:r>
      <w:r w:rsidRPr="00F50823">
        <w:t xml:space="preserve"> be applied to </w:t>
      </w:r>
      <w:r w:rsidR="00CF720A">
        <w:t xml:space="preserve">requests for coordination of </w:t>
      </w:r>
      <w:r w:rsidRPr="00F50823">
        <w:t xml:space="preserve">satellite networks </w:t>
      </w:r>
      <w:r w:rsidR="00CF720A">
        <w:t xml:space="preserve">received as of </w:t>
      </w:r>
      <w:r w:rsidRPr="00F50823">
        <w:t>28 November 2015.</w:t>
      </w:r>
    </w:p>
    <w:p w:rsidR="00A84CB2" w:rsidRDefault="00A84CB2" w:rsidP="00281945">
      <w:pPr>
        <w:spacing w:line="240" w:lineRule="auto"/>
        <w:ind w:left="142"/>
      </w:pPr>
    </w:p>
    <w:p w:rsidR="00236015" w:rsidRDefault="00236015" w:rsidP="00281945">
      <w:pPr>
        <w:spacing w:line="240" w:lineRule="auto"/>
        <w:ind w:left="142"/>
      </w:pPr>
    </w:p>
    <w:p w:rsidR="00B15D66" w:rsidRDefault="00B15D66" w:rsidP="00281945">
      <w:pPr>
        <w:spacing w:line="240" w:lineRule="auto"/>
        <w:ind w:left="142"/>
      </w:pPr>
      <w:r>
        <w:t xml:space="preserve">The CR/C special section will </w:t>
      </w:r>
      <w:r w:rsidR="00C264BF">
        <w:t xml:space="preserve">include </w:t>
      </w:r>
      <w:r>
        <w:t>separate tables to identify specific satellite networks under No.</w:t>
      </w:r>
      <w:r w:rsidR="003E0FDB">
        <w:t> </w:t>
      </w:r>
      <w:r w:rsidRPr="003E0FDB">
        <w:rPr>
          <w:b/>
          <w:bCs/>
        </w:rPr>
        <w:t>9.36.2</w:t>
      </w:r>
      <w:r>
        <w:t xml:space="preserve"> for Case I (Wanted and interfering networks sharing the same frequency band in the same direction of transmission) and Case II (Wanted and interfering networks sharing the same frequency band in opposite directions of transmission (bidirectional use)). Similarly, in </w:t>
      </w:r>
      <w:r w:rsidR="008E47E0">
        <w:t xml:space="preserve">the </w:t>
      </w:r>
      <w:r>
        <w:t xml:space="preserve">SRS database, these cases will be </w:t>
      </w:r>
      <w:r w:rsidR="00C264BF">
        <w:t xml:space="preserve">indicated </w:t>
      </w:r>
      <w:r>
        <w:t xml:space="preserve">with the appropriate </w:t>
      </w:r>
      <w:r w:rsidR="00C264BF">
        <w:t>code</w:t>
      </w:r>
      <w:r w:rsidR="00B13E4C">
        <w:t xml:space="preserve">, </w:t>
      </w:r>
      <w:r w:rsidR="00CF720A">
        <w:t xml:space="preserve">respectively </w:t>
      </w:r>
      <w:r w:rsidR="009B2A24">
        <w:t>9.7-CI and 9.7-CII</w:t>
      </w:r>
      <w:r>
        <w:t xml:space="preserve"> in the </w:t>
      </w:r>
      <w:proofErr w:type="spellStart"/>
      <w:r w:rsidRPr="003E0FDB">
        <w:rPr>
          <w:i/>
          <w:iCs/>
        </w:rPr>
        <w:t>coord_prov</w:t>
      </w:r>
      <w:proofErr w:type="spellEnd"/>
      <w:r>
        <w:t xml:space="preserve"> field of the </w:t>
      </w:r>
      <w:proofErr w:type="spellStart"/>
      <w:r w:rsidRPr="003E0FDB">
        <w:rPr>
          <w:i/>
          <w:iCs/>
        </w:rPr>
        <w:t>tr_aff_ntw</w:t>
      </w:r>
      <w:proofErr w:type="spellEnd"/>
      <w:r>
        <w:t xml:space="preserve"> table.</w:t>
      </w:r>
    </w:p>
    <w:p w:rsidR="003E0FDB" w:rsidRDefault="00A84CB2" w:rsidP="00281945">
      <w:pPr>
        <w:spacing w:line="240" w:lineRule="auto"/>
        <w:ind w:left="142"/>
      </w:pPr>
      <w:r>
        <w:t>Concerning</w:t>
      </w:r>
      <w:r w:rsidR="003E0FDB">
        <w:t xml:space="preserve"> </w:t>
      </w:r>
      <w:r w:rsidR="000E0580">
        <w:t xml:space="preserve">the frequency </w:t>
      </w:r>
      <w:r w:rsidR="003E0FDB">
        <w:t>assignment</w:t>
      </w:r>
      <w:r w:rsidR="000E0580">
        <w:t>s</w:t>
      </w:r>
      <w:r w:rsidR="003E0FDB">
        <w:t xml:space="preserve"> </w:t>
      </w:r>
      <w:r w:rsidR="000E0580">
        <w:t xml:space="preserve">for </w:t>
      </w:r>
      <w:r w:rsidR="00AE2872">
        <w:t>which the</w:t>
      </w:r>
      <w:r w:rsidR="000E0580">
        <w:t xml:space="preserve"> </w:t>
      </w:r>
      <w:r w:rsidR="000313C3">
        <w:t xml:space="preserve">coordination </w:t>
      </w:r>
      <w:r w:rsidR="003E0FDB">
        <w:t xml:space="preserve">under provisions Nos. </w:t>
      </w:r>
      <w:r w:rsidR="003E0FDB" w:rsidRPr="003E0FDB">
        <w:rPr>
          <w:b/>
          <w:bCs/>
        </w:rPr>
        <w:t>9.7</w:t>
      </w:r>
      <w:r w:rsidR="003E0FDB" w:rsidRPr="008576F8">
        <w:t>,</w:t>
      </w:r>
      <w:r w:rsidR="003E0FDB" w:rsidRPr="003E0FDB">
        <w:rPr>
          <w:b/>
          <w:bCs/>
        </w:rPr>
        <w:t xml:space="preserve"> 9.12</w:t>
      </w:r>
      <w:r w:rsidR="003E0FDB" w:rsidRPr="000C4D65">
        <w:t>,</w:t>
      </w:r>
      <w:r w:rsidR="003E0FDB" w:rsidRPr="003E0FDB">
        <w:rPr>
          <w:b/>
          <w:bCs/>
        </w:rPr>
        <w:t xml:space="preserve"> 9.12A</w:t>
      </w:r>
      <w:r w:rsidR="003E0FDB" w:rsidRPr="000C4D65">
        <w:t>,</w:t>
      </w:r>
      <w:r w:rsidR="003E0FDB" w:rsidRPr="003E0FDB">
        <w:rPr>
          <w:b/>
          <w:bCs/>
        </w:rPr>
        <w:t xml:space="preserve"> 9.13</w:t>
      </w:r>
      <w:r w:rsidR="003E0FDB" w:rsidRPr="000C4D65">
        <w:t>,</w:t>
      </w:r>
      <w:r w:rsidR="003E0FDB" w:rsidRPr="003E0FDB">
        <w:rPr>
          <w:b/>
          <w:bCs/>
        </w:rPr>
        <w:t xml:space="preserve"> 9.14</w:t>
      </w:r>
      <w:r w:rsidR="003E0FDB">
        <w:t xml:space="preserve"> </w:t>
      </w:r>
      <w:r w:rsidR="000E0580">
        <w:t>have not yet been completed</w:t>
      </w:r>
      <w:r w:rsidR="000313C3">
        <w:t>,</w:t>
      </w:r>
      <w:r w:rsidR="003E0FDB">
        <w:t xml:space="preserve"> </w:t>
      </w:r>
      <w:r w:rsidR="000313C3">
        <w:t xml:space="preserve">the Bureau </w:t>
      </w:r>
      <w:r w:rsidR="00221F85">
        <w:t xml:space="preserve">has started </w:t>
      </w:r>
      <w:r w:rsidR="00AE68D3">
        <w:t xml:space="preserve">to publish </w:t>
      </w:r>
      <w:r w:rsidR="000E0580">
        <w:t xml:space="preserve">since </w:t>
      </w:r>
      <w:r w:rsidR="000313C3">
        <w:t>1</w:t>
      </w:r>
      <w:r w:rsidR="002B6696">
        <w:t> November </w:t>
      </w:r>
      <w:r w:rsidR="000313C3">
        <w:t>2015</w:t>
      </w:r>
      <w:r w:rsidR="00F37EDE">
        <w:t>,</w:t>
      </w:r>
      <w:r w:rsidR="000313C3">
        <w:t xml:space="preserve"> </w:t>
      </w:r>
      <w:r w:rsidR="00221F85">
        <w:t xml:space="preserve">No. </w:t>
      </w:r>
      <w:r w:rsidR="003E0FDB" w:rsidRPr="001A0A41">
        <w:rPr>
          <w:b/>
          <w:bCs/>
        </w:rPr>
        <w:t>11.41</w:t>
      </w:r>
      <w:r w:rsidR="003E0FDB">
        <w:t xml:space="preserve"> finding</w:t>
      </w:r>
      <w:r w:rsidR="00EA73C5">
        <w:t>s</w:t>
      </w:r>
      <w:r w:rsidR="002B6696">
        <w:t xml:space="preserve"> </w:t>
      </w:r>
      <w:r w:rsidR="003E0FDB">
        <w:t xml:space="preserve">with </w:t>
      </w:r>
      <w:r w:rsidR="00C264BF">
        <w:t xml:space="preserve">a </w:t>
      </w:r>
      <w:r w:rsidR="003E0FDB">
        <w:t xml:space="preserve">reference to </w:t>
      </w:r>
      <w:r w:rsidR="000E0580">
        <w:t xml:space="preserve">the </w:t>
      </w:r>
      <w:r w:rsidR="003E0FDB">
        <w:t xml:space="preserve">specific provision </w:t>
      </w:r>
      <w:r w:rsidR="000E0580">
        <w:t xml:space="preserve">under </w:t>
      </w:r>
      <w:r w:rsidR="003E0FDB">
        <w:t>which</w:t>
      </w:r>
      <w:r w:rsidR="000313C3">
        <w:t xml:space="preserve"> coordination </w:t>
      </w:r>
      <w:r w:rsidR="00C52AE6">
        <w:t xml:space="preserve">has </w:t>
      </w:r>
      <w:r w:rsidR="000313C3">
        <w:t xml:space="preserve">not </w:t>
      </w:r>
      <w:r w:rsidR="00F37EDE">
        <w:t xml:space="preserve">yet </w:t>
      </w:r>
      <w:r w:rsidR="00C52AE6">
        <w:t xml:space="preserve">been </w:t>
      </w:r>
      <w:r w:rsidR="000313C3">
        <w:t xml:space="preserve">completed (e.g. </w:t>
      </w:r>
      <w:r w:rsidR="000313C3" w:rsidRPr="000313C3">
        <w:rPr>
          <w:b/>
          <w:bCs/>
        </w:rPr>
        <w:t>11.41/9.7</w:t>
      </w:r>
      <w:r w:rsidR="000313C3">
        <w:t xml:space="preserve">, </w:t>
      </w:r>
      <w:r w:rsidR="000313C3" w:rsidRPr="000313C3">
        <w:rPr>
          <w:b/>
          <w:bCs/>
        </w:rPr>
        <w:t>11.41/9.12</w:t>
      </w:r>
      <w:r w:rsidR="000313C3">
        <w:t xml:space="preserve"> etc.).</w:t>
      </w:r>
    </w:p>
    <w:p w:rsidR="000313C3" w:rsidRDefault="000064F7" w:rsidP="00281945">
      <w:pPr>
        <w:spacing w:line="240" w:lineRule="auto"/>
        <w:ind w:left="142"/>
        <w:rPr>
          <w:color w:val="000000"/>
        </w:rPr>
      </w:pPr>
      <w:r>
        <w:t>Similarly, t</w:t>
      </w:r>
      <w:r w:rsidR="000313C3">
        <w:t xml:space="preserve">he </w:t>
      </w:r>
      <w:r w:rsidR="001A0A41">
        <w:t xml:space="preserve">Bureau </w:t>
      </w:r>
      <w:r w:rsidR="00221F85">
        <w:t xml:space="preserve">has </w:t>
      </w:r>
      <w:r w:rsidR="00C264BF">
        <w:t xml:space="preserve">also </w:t>
      </w:r>
      <w:r w:rsidR="00B72D59">
        <w:t>been publishing</w:t>
      </w:r>
      <w:r w:rsidR="00EA73C5">
        <w:t xml:space="preserve"> </w:t>
      </w:r>
      <w:r w:rsidR="001A0A41">
        <w:t xml:space="preserve">the </w:t>
      </w:r>
      <w:r w:rsidR="000313C3">
        <w:t xml:space="preserve">findings under No. </w:t>
      </w:r>
      <w:r w:rsidR="000313C3" w:rsidRPr="000313C3">
        <w:rPr>
          <w:b/>
          <w:bCs/>
        </w:rPr>
        <w:t>9.21</w:t>
      </w:r>
      <w:r w:rsidR="0065487B" w:rsidRPr="00EA73C5">
        <w:t xml:space="preserve"> </w:t>
      </w:r>
      <w:r w:rsidR="002B1536" w:rsidRPr="00EA73C5">
        <w:t>agreement procedure</w:t>
      </w:r>
      <w:r w:rsidR="00C264BF" w:rsidRPr="00C264BF">
        <w:t xml:space="preserve"> </w:t>
      </w:r>
      <w:r w:rsidR="00C264BF">
        <w:t xml:space="preserve">in </w:t>
      </w:r>
      <w:r w:rsidR="000C4D65">
        <w:t xml:space="preserve">application of No. </w:t>
      </w:r>
      <w:r w:rsidR="00C264BF" w:rsidRPr="000F6E6D">
        <w:rPr>
          <w:b/>
          <w:bCs/>
        </w:rPr>
        <w:t>11.31.1</w:t>
      </w:r>
      <w:r w:rsidR="00B72D59" w:rsidRPr="00C264BF">
        <w:t xml:space="preserve">, </w:t>
      </w:r>
      <w:r w:rsidR="00B72D59" w:rsidRPr="00EA73C5">
        <w:t>by</w:t>
      </w:r>
      <w:r w:rsidR="0065487B" w:rsidRPr="00EA73C5">
        <w:t xml:space="preserve"> </w:t>
      </w:r>
      <w:r w:rsidR="00AE68D3">
        <w:t>distinguishing</w:t>
      </w:r>
      <w:r w:rsidR="0065487B" w:rsidRPr="00EA73C5">
        <w:t xml:space="preserve"> the type of networks </w:t>
      </w:r>
      <w:r w:rsidR="00AE68D3">
        <w:t xml:space="preserve">(GSO/Non-GSO/terrestrial networks) of the affected </w:t>
      </w:r>
      <w:r w:rsidR="00EA73C5">
        <w:t>administration</w:t>
      </w:r>
      <w:r w:rsidR="00AE68D3">
        <w:t xml:space="preserve"> </w:t>
      </w:r>
      <w:r>
        <w:t xml:space="preserve">with which </w:t>
      </w:r>
      <w:r w:rsidR="0065487B">
        <w:t>the No.</w:t>
      </w:r>
      <w:r w:rsidR="00B72D59">
        <w:t xml:space="preserve"> </w:t>
      </w:r>
      <w:r w:rsidR="0065487B" w:rsidRPr="00B72D59">
        <w:rPr>
          <w:b/>
          <w:bCs/>
        </w:rPr>
        <w:t>9.21</w:t>
      </w:r>
      <w:r w:rsidR="0065487B">
        <w:t xml:space="preserve"> agreement </w:t>
      </w:r>
      <w:r w:rsidR="008E47E0">
        <w:t xml:space="preserve">has </w:t>
      </w:r>
      <w:r w:rsidR="0065487B">
        <w:t>not been obtained</w:t>
      </w:r>
      <w:r w:rsidR="00F57FCC">
        <w:t xml:space="preserve"> (e.g.</w:t>
      </w:r>
      <w:r w:rsidR="000313C3">
        <w:t xml:space="preserve"> </w:t>
      </w:r>
      <w:r w:rsidR="000313C3" w:rsidRPr="000313C3">
        <w:rPr>
          <w:b/>
          <w:bCs/>
        </w:rPr>
        <w:t>V/11.31.1</w:t>
      </w:r>
      <w:r w:rsidR="000313C3" w:rsidRPr="000313C3">
        <w:rPr>
          <w:b/>
          <w:bCs/>
          <w:color w:val="000000"/>
        </w:rPr>
        <w:t>/A</w:t>
      </w:r>
      <w:r w:rsidR="000313C3" w:rsidRPr="000C4D65">
        <w:rPr>
          <w:color w:val="000000"/>
        </w:rPr>
        <w:t>,</w:t>
      </w:r>
      <w:r w:rsidR="000313C3" w:rsidRPr="000313C3">
        <w:rPr>
          <w:b/>
          <w:bCs/>
          <w:color w:val="000000"/>
        </w:rPr>
        <w:t xml:space="preserve"> </w:t>
      </w:r>
      <w:r w:rsidR="000313C3" w:rsidRPr="000313C3">
        <w:rPr>
          <w:b/>
          <w:bCs/>
        </w:rPr>
        <w:t>V/11.31.1</w:t>
      </w:r>
      <w:r w:rsidR="000313C3" w:rsidRPr="000313C3">
        <w:rPr>
          <w:b/>
          <w:bCs/>
          <w:color w:val="000000"/>
        </w:rPr>
        <w:t>/B</w:t>
      </w:r>
      <w:r w:rsidR="000313C3" w:rsidRPr="000313C3">
        <w:rPr>
          <w:color w:val="000000"/>
        </w:rPr>
        <w:t>,</w:t>
      </w:r>
      <w:r w:rsidR="000313C3" w:rsidRPr="000313C3">
        <w:rPr>
          <w:b/>
          <w:bCs/>
          <w:color w:val="000000"/>
        </w:rPr>
        <w:t xml:space="preserve"> </w:t>
      </w:r>
      <w:proofErr w:type="gramStart"/>
      <w:r w:rsidR="000313C3" w:rsidRPr="000313C3">
        <w:rPr>
          <w:b/>
          <w:bCs/>
        </w:rPr>
        <w:t>V</w:t>
      </w:r>
      <w:proofErr w:type="gramEnd"/>
      <w:r w:rsidR="000313C3" w:rsidRPr="000313C3">
        <w:rPr>
          <w:b/>
          <w:bCs/>
        </w:rPr>
        <w:t>/11.31.1</w:t>
      </w:r>
      <w:r w:rsidR="000313C3" w:rsidRPr="000313C3">
        <w:rPr>
          <w:b/>
          <w:bCs/>
          <w:color w:val="000000"/>
        </w:rPr>
        <w:t>/C</w:t>
      </w:r>
      <w:r w:rsidR="00B72D59" w:rsidRPr="00F50823">
        <w:rPr>
          <w:color w:val="000000"/>
        </w:rPr>
        <w:t>)</w:t>
      </w:r>
      <w:r w:rsidR="00B72D59" w:rsidRPr="0032557F">
        <w:rPr>
          <w:color w:val="000000"/>
        </w:rPr>
        <w:t>.</w:t>
      </w:r>
    </w:p>
    <w:p w:rsidR="000313C3" w:rsidRPr="000313C3" w:rsidRDefault="00AE68D3" w:rsidP="00281945">
      <w:pPr>
        <w:spacing w:line="240" w:lineRule="auto"/>
        <w:ind w:left="142"/>
      </w:pPr>
      <w:r>
        <w:t>In this regard, t</w:t>
      </w:r>
      <w:r w:rsidR="001A0A41">
        <w:t xml:space="preserve">he Bureau </w:t>
      </w:r>
      <w:r>
        <w:t xml:space="preserve">has </w:t>
      </w:r>
      <w:r w:rsidR="000064F7">
        <w:t xml:space="preserve">updated the Preface to the BR IFIC (Space Services) </w:t>
      </w:r>
      <w:r w:rsidR="000313C3">
        <w:t>accordingly.</w:t>
      </w:r>
    </w:p>
    <w:p w:rsidR="000313C3" w:rsidRPr="000313C3" w:rsidRDefault="000313C3" w:rsidP="00281945">
      <w:pPr>
        <w:spacing w:line="240" w:lineRule="auto"/>
        <w:ind w:left="142"/>
        <w:rPr>
          <w:b/>
          <w:bCs/>
        </w:rPr>
      </w:pPr>
      <w:r w:rsidRPr="000313C3">
        <w:rPr>
          <w:b/>
          <w:bCs/>
        </w:rPr>
        <w:t>Application of No. 11.41A</w:t>
      </w:r>
    </w:p>
    <w:p w:rsidR="00B15D66" w:rsidRPr="00954F87" w:rsidRDefault="00B15D66" w:rsidP="00281945">
      <w:pPr>
        <w:spacing w:line="240" w:lineRule="auto"/>
        <w:ind w:left="142"/>
      </w:pPr>
      <w:r w:rsidRPr="00954F87">
        <w:t xml:space="preserve">Nos. </w:t>
      </w:r>
      <w:r w:rsidRPr="00954F87">
        <w:rPr>
          <w:b/>
          <w:bCs/>
        </w:rPr>
        <w:t>11.41A</w:t>
      </w:r>
      <w:r w:rsidRPr="00954F87">
        <w:t xml:space="preserve"> and </w:t>
      </w:r>
      <w:r w:rsidRPr="00954F87">
        <w:rPr>
          <w:b/>
          <w:bCs/>
        </w:rPr>
        <w:t>11.41B</w:t>
      </w:r>
      <w:r w:rsidRPr="00954F87">
        <w:t xml:space="preserve"> specify the conditions for </w:t>
      </w:r>
      <w:r w:rsidR="004B2E72">
        <w:t xml:space="preserve">reviewing </w:t>
      </w:r>
      <w:r w:rsidRPr="00954F87">
        <w:t>the findings of an assignment recorded under No. </w:t>
      </w:r>
      <w:r w:rsidRPr="00954F87">
        <w:rPr>
          <w:b/>
          <w:bCs/>
        </w:rPr>
        <w:t>11.41</w:t>
      </w:r>
      <w:r w:rsidRPr="00954F87">
        <w:t xml:space="preserve"> </w:t>
      </w:r>
      <w:r w:rsidR="004B2E72">
        <w:t xml:space="preserve">due to a </w:t>
      </w:r>
      <w:r w:rsidRPr="00954F87">
        <w:t>change of coordination status.</w:t>
      </w:r>
    </w:p>
    <w:p w:rsidR="00B15D66" w:rsidRPr="00954F87" w:rsidRDefault="00B13E4C" w:rsidP="00281945">
      <w:pPr>
        <w:spacing w:line="240" w:lineRule="auto"/>
        <w:ind w:left="142"/>
      </w:pPr>
      <w:r>
        <w:t xml:space="preserve">As reported in </w:t>
      </w:r>
      <w:r w:rsidR="00C85C3C">
        <w:t xml:space="preserve">the </w:t>
      </w:r>
      <w:r>
        <w:t xml:space="preserve">Director’s Report to WRC-15 (Doc. WRC-15/4Add.2 Rev.1, Section </w:t>
      </w:r>
      <w:r w:rsidRPr="00954F87">
        <w:t>3.2.3.5</w:t>
      </w:r>
      <w:r>
        <w:t>)</w:t>
      </w:r>
      <w:r w:rsidR="00B15D66" w:rsidRPr="00954F87">
        <w:t xml:space="preserve">, the Bureau is now in the position to fully implement No. </w:t>
      </w:r>
      <w:r w:rsidR="00B15D66" w:rsidRPr="00954F87">
        <w:rPr>
          <w:b/>
          <w:bCs/>
        </w:rPr>
        <w:t>11.41A</w:t>
      </w:r>
      <w:r w:rsidR="00B15D66" w:rsidRPr="00954F87">
        <w:t xml:space="preserve"> for all </w:t>
      </w:r>
      <w:r w:rsidR="00C85C3C">
        <w:t xml:space="preserve">first </w:t>
      </w:r>
      <w:r w:rsidR="00AE68D3">
        <w:t xml:space="preserve">notification </w:t>
      </w:r>
      <w:r w:rsidR="00C85C3C">
        <w:t>notices</w:t>
      </w:r>
      <w:r w:rsidR="00B15D66" w:rsidRPr="00954F87">
        <w:t xml:space="preserve"> received </w:t>
      </w:r>
      <w:r w:rsidR="00C85C3C">
        <w:t>as of</w:t>
      </w:r>
      <w:r w:rsidR="002B6696">
        <w:t xml:space="preserve"> 1 January </w:t>
      </w:r>
      <w:r w:rsidR="00B15D66" w:rsidRPr="00954F87">
        <w:t>2015.</w:t>
      </w:r>
    </w:p>
    <w:p w:rsidR="00B15D66" w:rsidRPr="00954F87" w:rsidRDefault="00C85C3C" w:rsidP="00281945">
      <w:pPr>
        <w:spacing w:line="240" w:lineRule="auto"/>
        <w:ind w:left="142"/>
      </w:pPr>
      <w:r>
        <w:t>The</w:t>
      </w:r>
      <w:r w:rsidR="00B15D66" w:rsidRPr="00954F87">
        <w:t xml:space="preserve"> </w:t>
      </w:r>
      <w:r>
        <w:t xml:space="preserve">list of frequency assignments to satellite </w:t>
      </w:r>
      <w:proofErr w:type="gramStart"/>
      <w:r w:rsidR="00A84CB2">
        <w:t>networks</w:t>
      </w:r>
      <w:r w:rsidR="00B72D59" w:rsidRPr="00954F87">
        <w:t xml:space="preserve"> which</w:t>
      </w:r>
      <w:proofErr w:type="gramEnd"/>
      <w:r w:rsidR="00B15D66" w:rsidRPr="00954F87">
        <w:t xml:space="preserve"> were the basis of </w:t>
      </w:r>
      <w:r w:rsidR="0010129D" w:rsidRPr="00954F87">
        <w:t>unfavorable</w:t>
      </w:r>
      <w:r w:rsidR="00B15D66" w:rsidRPr="00954F87">
        <w:t xml:space="preserve"> finding under No. </w:t>
      </w:r>
      <w:r w:rsidR="00B15D66" w:rsidRPr="00954F87">
        <w:rPr>
          <w:b/>
          <w:bCs/>
        </w:rPr>
        <w:t>11.32A</w:t>
      </w:r>
      <w:r w:rsidR="00B15D66" w:rsidRPr="00954F87">
        <w:t xml:space="preserve"> </w:t>
      </w:r>
      <w:r w:rsidR="002B1536">
        <w:t>to</w:t>
      </w:r>
      <w:r w:rsidR="002B1536" w:rsidRPr="00954F87">
        <w:t xml:space="preserve"> </w:t>
      </w:r>
      <w:r w:rsidR="00B15D66" w:rsidRPr="00954F87">
        <w:t xml:space="preserve">a recorded assignment under No. </w:t>
      </w:r>
      <w:r w:rsidR="00B15D66" w:rsidRPr="00954F87">
        <w:rPr>
          <w:b/>
          <w:bCs/>
        </w:rPr>
        <w:t>11.41</w:t>
      </w:r>
      <w:r w:rsidR="00B15D66" w:rsidRPr="00954F87">
        <w:t xml:space="preserve">, </w:t>
      </w:r>
      <w:r>
        <w:t>is kept with the notice of the recorded assignment and</w:t>
      </w:r>
      <w:r w:rsidR="00B15D66" w:rsidRPr="00954F87">
        <w:t xml:space="preserve"> will be updated whenever these</w:t>
      </w:r>
      <w:r>
        <w:t xml:space="preserve"> frequency</w:t>
      </w:r>
      <w:r w:rsidR="00B15D66" w:rsidRPr="00954F87">
        <w:t xml:space="preserve"> </w:t>
      </w:r>
      <w:r>
        <w:t>assignments are</w:t>
      </w:r>
      <w:r w:rsidR="00B15D66" w:rsidRPr="00954F87">
        <w:t xml:space="preserve"> suppressed</w:t>
      </w:r>
      <w:r w:rsidR="00B72D59">
        <w:t>.</w:t>
      </w:r>
    </w:p>
    <w:p w:rsidR="00841B33" w:rsidRDefault="00A84CB2" w:rsidP="00281945">
      <w:pPr>
        <w:spacing w:before="120" w:line="240" w:lineRule="auto"/>
        <w:ind w:left="142"/>
        <w:rPr>
          <w:rFonts w:asciiTheme="minorHAnsi" w:hAnsiTheme="minorHAnsi" w:cstheme="minorHAnsi"/>
          <w:szCs w:val="24"/>
        </w:rPr>
      </w:pPr>
      <w:r>
        <w:rPr>
          <w:rFonts w:asciiTheme="minorHAnsi" w:hAnsiTheme="minorHAnsi" w:cstheme="minorHAnsi"/>
          <w:szCs w:val="24"/>
        </w:rPr>
        <w:t>Concerning</w:t>
      </w:r>
      <w:r w:rsidR="000313C3">
        <w:rPr>
          <w:rFonts w:asciiTheme="minorHAnsi" w:hAnsiTheme="minorHAnsi" w:cstheme="minorHAnsi"/>
          <w:szCs w:val="24"/>
        </w:rPr>
        <w:t xml:space="preserve"> the </w:t>
      </w:r>
      <w:r w:rsidR="00F57FCC">
        <w:rPr>
          <w:rFonts w:asciiTheme="minorHAnsi" w:hAnsiTheme="minorHAnsi" w:cstheme="minorHAnsi"/>
          <w:szCs w:val="24"/>
        </w:rPr>
        <w:t>agreement status</w:t>
      </w:r>
      <w:r w:rsidR="000313C3">
        <w:rPr>
          <w:rFonts w:asciiTheme="minorHAnsi" w:hAnsiTheme="minorHAnsi" w:cstheme="minorHAnsi"/>
          <w:szCs w:val="24"/>
        </w:rPr>
        <w:t xml:space="preserve"> under No. </w:t>
      </w:r>
      <w:r w:rsidR="000313C3" w:rsidRPr="000313C3">
        <w:rPr>
          <w:rFonts w:asciiTheme="minorHAnsi" w:hAnsiTheme="minorHAnsi" w:cstheme="minorHAnsi"/>
          <w:b/>
          <w:bCs/>
          <w:szCs w:val="24"/>
        </w:rPr>
        <w:t>9.21</w:t>
      </w:r>
      <w:r w:rsidRPr="00447B04">
        <w:rPr>
          <w:rFonts w:asciiTheme="minorHAnsi" w:hAnsiTheme="minorHAnsi" w:cstheme="minorHAnsi"/>
          <w:szCs w:val="24"/>
        </w:rPr>
        <w:t>,</w:t>
      </w:r>
      <w:r w:rsidR="000313C3">
        <w:rPr>
          <w:rFonts w:asciiTheme="minorHAnsi" w:hAnsiTheme="minorHAnsi" w:cstheme="minorHAnsi"/>
          <w:szCs w:val="24"/>
        </w:rPr>
        <w:t xml:space="preserve"> the list of networks/stations </w:t>
      </w:r>
      <w:r w:rsidR="00844956">
        <w:rPr>
          <w:rFonts w:asciiTheme="minorHAnsi" w:hAnsiTheme="minorHAnsi" w:cstheme="minorHAnsi"/>
          <w:szCs w:val="24"/>
        </w:rPr>
        <w:t xml:space="preserve">for </w:t>
      </w:r>
      <w:r w:rsidR="000313C3">
        <w:rPr>
          <w:rFonts w:asciiTheme="minorHAnsi" w:hAnsiTheme="minorHAnsi" w:cstheme="minorHAnsi"/>
          <w:szCs w:val="24"/>
        </w:rPr>
        <w:t xml:space="preserve">which </w:t>
      </w:r>
      <w:r w:rsidR="00844956">
        <w:rPr>
          <w:rFonts w:asciiTheme="minorHAnsi" w:hAnsiTheme="minorHAnsi" w:cstheme="minorHAnsi"/>
          <w:szCs w:val="24"/>
        </w:rPr>
        <w:t xml:space="preserve">the agreement </w:t>
      </w:r>
      <w:proofErr w:type="gramStart"/>
      <w:r w:rsidR="00844956">
        <w:rPr>
          <w:rFonts w:asciiTheme="minorHAnsi" w:hAnsiTheme="minorHAnsi" w:cstheme="minorHAnsi"/>
          <w:szCs w:val="24"/>
        </w:rPr>
        <w:t>has not been obtained</w:t>
      </w:r>
      <w:proofErr w:type="gramEnd"/>
      <w:r w:rsidR="00844956">
        <w:rPr>
          <w:rFonts w:asciiTheme="minorHAnsi" w:hAnsiTheme="minorHAnsi" w:cstheme="minorHAnsi"/>
          <w:szCs w:val="24"/>
        </w:rPr>
        <w:t xml:space="preserve"> </w:t>
      </w:r>
      <w:r w:rsidR="000313C3">
        <w:rPr>
          <w:rFonts w:asciiTheme="minorHAnsi" w:hAnsiTheme="minorHAnsi" w:cstheme="minorHAnsi"/>
          <w:szCs w:val="24"/>
        </w:rPr>
        <w:t>will be review</w:t>
      </w:r>
      <w:r w:rsidR="001A0A41">
        <w:rPr>
          <w:rFonts w:asciiTheme="minorHAnsi" w:hAnsiTheme="minorHAnsi" w:cstheme="minorHAnsi"/>
          <w:szCs w:val="24"/>
        </w:rPr>
        <w:t>ed</w:t>
      </w:r>
      <w:r w:rsidR="000313C3">
        <w:rPr>
          <w:rFonts w:asciiTheme="minorHAnsi" w:hAnsiTheme="minorHAnsi" w:cstheme="minorHAnsi"/>
          <w:szCs w:val="24"/>
        </w:rPr>
        <w:t xml:space="preserve"> accordingly.</w:t>
      </w:r>
    </w:p>
    <w:p w:rsidR="00841B33" w:rsidRDefault="00EF1C72" w:rsidP="00281945">
      <w:pPr>
        <w:spacing w:before="120" w:line="240" w:lineRule="auto"/>
        <w:ind w:left="142"/>
        <w:rPr>
          <w:rFonts w:asciiTheme="minorHAnsi" w:hAnsiTheme="minorHAnsi" w:cstheme="minorHAnsi"/>
          <w:szCs w:val="24"/>
        </w:rPr>
      </w:pPr>
      <w:r>
        <w:rPr>
          <w:rFonts w:asciiTheme="minorHAnsi" w:hAnsiTheme="minorHAnsi" w:cstheme="minorHAnsi"/>
          <w:szCs w:val="24"/>
        </w:rPr>
        <w:t xml:space="preserve">The </w:t>
      </w:r>
      <w:r w:rsidR="001A0A41">
        <w:rPr>
          <w:rFonts w:asciiTheme="minorHAnsi" w:hAnsiTheme="minorHAnsi" w:cstheme="minorHAnsi"/>
          <w:szCs w:val="24"/>
        </w:rPr>
        <w:t xml:space="preserve">Bureau </w:t>
      </w:r>
      <w:r w:rsidR="00221F85">
        <w:rPr>
          <w:rFonts w:asciiTheme="minorHAnsi" w:hAnsiTheme="minorHAnsi" w:cstheme="minorHAnsi"/>
          <w:szCs w:val="24"/>
        </w:rPr>
        <w:t xml:space="preserve">has </w:t>
      </w:r>
      <w:r w:rsidR="001A0A41">
        <w:rPr>
          <w:rFonts w:asciiTheme="minorHAnsi" w:hAnsiTheme="minorHAnsi" w:cstheme="minorHAnsi"/>
          <w:szCs w:val="24"/>
        </w:rPr>
        <w:t xml:space="preserve">established </w:t>
      </w:r>
      <w:r w:rsidR="00221F85">
        <w:rPr>
          <w:rFonts w:asciiTheme="minorHAnsi" w:hAnsiTheme="minorHAnsi" w:cstheme="minorHAnsi"/>
          <w:szCs w:val="24"/>
        </w:rPr>
        <w:t xml:space="preserve">a database </w:t>
      </w:r>
      <w:r>
        <w:rPr>
          <w:rFonts w:asciiTheme="minorHAnsi" w:hAnsiTheme="minorHAnsi" w:cstheme="minorHAnsi"/>
          <w:szCs w:val="24"/>
        </w:rPr>
        <w:t xml:space="preserve">to keep the record of the affected </w:t>
      </w:r>
      <w:r w:rsidR="00C85C3C">
        <w:rPr>
          <w:rFonts w:asciiTheme="minorHAnsi" w:hAnsiTheme="minorHAnsi" w:cstheme="minorHAnsi"/>
          <w:szCs w:val="24"/>
        </w:rPr>
        <w:t xml:space="preserve">frequency assignments to </w:t>
      </w:r>
      <w:r>
        <w:rPr>
          <w:rFonts w:asciiTheme="minorHAnsi" w:hAnsiTheme="minorHAnsi" w:cstheme="minorHAnsi"/>
          <w:szCs w:val="24"/>
        </w:rPr>
        <w:t>networks and stations</w:t>
      </w:r>
      <w:r w:rsidR="001A0A41">
        <w:rPr>
          <w:rFonts w:asciiTheme="minorHAnsi" w:hAnsiTheme="minorHAnsi" w:cstheme="minorHAnsi"/>
          <w:szCs w:val="24"/>
        </w:rPr>
        <w:t xml:space="preserve">. </w:t>
      </w:r>
      <w:proofErr w:type="gramStart"/>
      <w:r w:rsidR="001A0A41">
        <w:rPr>
          <w:rFonts w:asciiTheme="minorHAnsi" w:hAnsiTheme="minorHAnsi" w:cstheme="minorHAnsi"/>
          <w:szCs w:val="24"/>
        </w:rPr>
        <w:t xml:space="preserve">The </w:t>
      </w:r>
      <w:r w:rsidR="002B1536">
        <w:rPr>
          <w:rFonts w:asciiTheme="minorHAnsi" w:hAnsiTheme="minorHAnsi" w:cstheme="minorHAnsi"/>
          <w:szCs w:val="24"/>
        </w:rPr>
        <w:t xml:space="preserve">database with </w:t>
      </w:r>
      <w:r w:rsidR="001A0A41">
        <w:rPr>
          <w:rFonts w:asciiTheme="minorHAnsi" w:hAnsiTheme="minorHAnsi" w:cstheme="minorHAnsi"/>
          <w:szCs w:val="24"/>
        </w:rPr>
        <w:t>information on the list of affected networks</w:t>
      </w:r>
      <w:r w:rsidR="00C85C3C">
        <w:rPr>
          <w:rFonts w:asciiTheme="minorHAnsi" w:hAnsiTheme="minorHAnsi" w:cstheme="minorHAnsi"/>
          <w:szCs w:val="24"/>
        </w:rPr>
        <w:t xml:space="preserve"> and stations</w:t>
      </w:r>
      <w:r w:rsidR="001A0A41">
        <w:rPr>
          <w:rFonts w:asciiTheme="minorHAnsi" w:hAnsiTheme="minorHAnsi" w:cstheme="minorHAnsi"/>
          <w:szCs w:val="24"/>
        </w:rPr>
        <w:t xml:space="preserve">, coordination provision and basic characteristics of the </w:t>
      </w:r>
      <w:r w:rsidR="007C731D">
        <w:rPr>
          <w:rFonts w:asciiTheme="minorHAnsi" w:hAnsiTheme="minorHAnsi" w:cstheme="minorHAnsi"/>
          <w:szCs w:val="24"/>
        </w:rPr>
        <w:t xml:space="preserve">frequency assignment </w:t>
      </w:r>
      <w:r w:rsidR="001A0A41">
        <w:rPr>
          <w:rFonts w:asciiTheme="minorHAnsi" w:hAnsiTheme="minorHAnsi" w:cstheme="minorHAnsi"/>
          <w:szCs w:val="24"/>
        </w:rPr>
        <w:t>group</w:t>
      </w:r>
      <w:r w:rsidR="007C731D">
        <w:rPr>
          <w:rFonts w:asciiTheme="minorHAnsi" w:hAnsiTheme="minorHAnsi" w:cstheme="minorHAnsi"/>
          <w:szCs w:val="24"/>
        </w:rPr>
        <w:t>s</w:t>
      </w:r>
      <w:r w:rsidR="00844956">
        <w:rPr>
          <w:rFonts w:asciiTheme="minorHAnsi" w:hAnsiTheme="minorHAnsi" w:cstheme="minorHAnsi"/>
          <w:szCs w:val="24"/>
        </w:rPr>
        <w:t xml:space="preserve"> (</w:t>
      </w:r>
      <w:r w:rsidR="007C731D">
        <w:rPr>
          <w:rFonts w:asciiTheme="minorHAnsi" w:hAnsiTheme="minorHAnsi" w:cstheme="minorHAnsi"/>
          <w:szCs w:val="24"/>
        </w:rPr>
        <w:t>i.e.</w:t>
      </w:r>
      <w:r w:rsidR="00844956">
        <w:rPr>
          <w:rFonts w:asciiTheme="minorHAnsi" w:hAnsiTheme="minorHAnsi" w:cstheme="minorHAnsi"/>
          <w:szCs w:val="24"/>
        </w:rPr>
        <w:t xml:space="preserve"> min</w:t>
      </w:r>
      <w:r w:rsidR="00F50823">
        <w:rPr>
          <w:rFonts w:asciiTheme="minorHAnsi" w:hAnsiTheme="minorHAnsi" w:cstheme="minorHAnsi"/>
          <w:szCs w:val="24"/>
        </w:rPr>
        <w:t>imum and maximum</w:t>
      </w:r>
      <w:r w:rsidR="00844956">
        <w:rPr>
          <w:rFonts w:asciiTheme="minorHAnsi" w:hAnsiTheme="minorHAnsi" w:cstheme="minorHAnsi"/>
          <w:szCs w:val="24"/>
        </w:rPr>
        <w:t xml:space="preserve"> frequency, assigned bandwidth, etc</w:t>
      </w:r>
      <w:r w:rsidR="002B6696">
        <w:rPr>
          <w:rFonts w:asciiTheme="minorHAnsi" w:hAnsiTheme="minorHAnsi" w:cstheme="minorHAnsi"/>
          <w:szCs w:val="24"/>
        </w:rPr>
        <w:t>.</w:t>
      </w:r>
      <w:r w:rsidR="00844956">
        <w:rPr>
          <w:rFonts w:asciiTheme="minorHAnsi" w:hAnsiTheme="minorHAnsi" w:cstheme="minorHAnsi"/>
          <w:szCs w:val="24"/>
        </w:rPr>
        <w:t>)</w:t>
      </w:r>
      <w:r w:rsidR="001A0A41">
        <w:rPr>
          <w:rFonts w:asciiTheme="minorHAnsi" w:hAnsiTheme="minorHAnsi" w:cstheme="minorHAnsi"/>
          <w:szCs w:val="24"/>
        </w:rPr>
        <w:t xml:space="preserve"> </w:t>
      </w:r>
      <w:r w:rsidR="002B1536">
        <w:rPr>
          <w:rFonts w:asciiTheme="minorHAnsi" w:hAnsiTheme="minorHAnsi" w:cstheme="minorHAnsi"/>
          <w:szCs w:val="24"/>
        </w:rPr>
        <w:t>examined</w:t>
      </w:r>
      <w:r w:rsidR="001A0A41">
        <w:rPr>
          <w:rFonts w:asciiTheme="minorHAnsi" w:hAnsiTheme="minorHAnsi" w:cstheme="minorHAnsi"/>
          <w:szCs w:val="24"/>
        </w:rPr>
        <w:t xml:space="preserve"> under No. </w:t>
      </w:r>
      <w:r w:rsidR="001A0A41" w:rsidRPr="00B72D59">
        <w:rPr>
          <w:rFonts w:asciiTheme="minorHAnsi" w:hAnsiTheme="minorHAnsi" w:cstheme="minorHAnsi"/>
          <w:b/>
          <w:bCs/>
          <w:szCs w:val="24"/>
        </w:rPr>
        <w:t>11.32A</w:t>
      </w:r>
      <w:r w:rsidR="001A0A41">
        <w:rPr>
          <w:rFonts w:asciiTheme="minorHAnsi" w:hAnsiTheme="minorHAnsi" w:cstheme="minorHAnsi"/>
          <w:szCs w:val="24"/>
        </w:rPr>
        <w:t xml:space="preserve"> </w:t>
      </w:r>
      <w:r w:rsidR="00BD28C5" w:rsidRPr="006E5A3E">
        <w:rPr>
          <w:rFonts w:asciiTheme="minorHAnsi" w:hAnsiTheme="minorHAnsi" w:cstheme="minorHAnsi"/>
          <w:szCs w:val="24"/>
        </w:rPr>
        <w:t>is</w:t>
      </w:r>
      <w:r w:rsidR="00BD28C5">
        <w:rPr>
          <w:rFonts w:asciiTheme="minorHAnsi" w:hAnsiTheme="minorHAnsi" w:cstheme="minorHAnsi"/>
          <w:szCs w:val="24"/>
        </w:rPr>
        <w:t xml:space="preserve"> </w:t>
      </w:r>
      <w:r w:rsidR="001A0A41">
        <w:rPr>
          <w:rFonts w:asciiTheme="minorHAnsi" w:hAnsiTheme="minorHAnsi" w:cstheme="minorHAnsi"/>
          <w:szCs w:val="24"/>
        </w:rPr>
        <w:t xml:space="preserve">available to administrations through the online query system </w:t>
      </w:r>
      <w:proofErr w:type="spellStart"/>
      <w:r w:rsidR="001A0A41" w:rsidRPr="001A0A41">
        <w:rPr>
          <w:rFonts w:asciiTheme="minorHAnsi" w:hAnsiTheme="minorHAnsi" w:cstheme="minorHAnsi"/>
          <w:b/>
          <w:bCs/>
          <w:szCs w:val="24"/>
        </w:rPr>
        <w:t>Notex</w:t>
      </w:r>
      <w:proofErr w:type="spellEnd"/>
      <w:r w:rsidR="007C731D">
        <w:rPr>
          <w:rFonts w:asciiTheme="minorHAnsi" w:hAnsiTheme="minorHAnsi" w:cstheme="minorHAnsi"/>
          <w:szCs w:val="24"/>
        </w:rPr>
        <w:t>, using</w:t>
      </w:r>
      <w:r w:rsidR="00B72D59">
        <w:rPr>
          <w:rFonts w:asciiTheme="minorHAnsi" w:hAnsiTheme="minorHAnsi" w:cstheme="minorHAnsi"/>
          <w:szCs w:val="24"/>
        </w:rPr>
        <w:t xml:space="preserve"> </w:t>
      </w:r>
      <w:r w:rsidR="001A0A41">
        <w:rPr>
          <w:rFonts w:asciiTheme="minorHAnsi" w:hAnsiTheme="minorHAnsi" w:cstheme="minorHAnsi"/>
          <w:szCs w:val="24"/>
        </w:rPr>
        <w:t xml:space="preserve">SNS Online Query System at the following web address </w:t>
      </w:r>
      <w:hyperlink r:id="rId8" w:history="1">
        <w:r w:rsidR="001A0A41">
          <w:rPr>
            <w:rStyle w:val="Hyperlink"/>
          </w:rPr>
          <w:t>http://www.itu.int/net4/ITU-R/noq</w:t>
        </w:r>
      </w:hyperlink>
      <w:r w:rsidR="001A0A41">
        <w:rPr>
          <w:color w:val="538135"/>
        </w:rPr>
        <w:t xml:space="preserve"> </w:t>
      </w:r>
      <w:r w:rsidR="001A0A41" w:rsidRPr="001A0A41">
        <w:rPr>
          <w:rFonts w:asciiTheme="minorHAnsi" w:hAnsiTheme="minorHAnsi" w:cstheme="minorHAnsi"/>
          <w:szCs w:val="24"/>
        </w:rPr>
        <w:t xml:space="preserve">or </w:t>
      </w:r>
      <w:hyperlink r:id="rId9" w:history="1">
        <w:r w:rsidR="001A0A41">
          <w:rPr>
            <w:rStyle w:val="Hyperlink"/>
          </w:rPr>
          <w:t>www.itu.int/go/notex/</w:t>
        </w:r>
      </w:hyperlink>
      <w:r w:rsidR="001A0A41" w:rsidRPr="000C4D65">
        <w:t>.</w:t>
      </w:r>
      <w:proofErr w:type="gramEnd"/>
    </w:p>
    <w:p w:rsidR="00846FCB" w:rsidRDefault="00846FCB" w:rsidP="00B6552B">
      <w:pPr>
        <w:spacing w:before="120" w:line="240" w:lineRule="auto"/>
        <w:ind w:left="142"/>
        <w:rPr>
          <w:rFonts w:asciiTheme="minorHAnsi" w:hAnsiTheme="minorHAnsi" w:cstheme="minorHAnsi"/>
          <w:szCs w:val="24"/>
        </w:rPr>
      </w:pPr>
      <w:r>
        <w:rPr>
          <w:rFonts w:asciiTheme="minorHAnsi" w:hAnsiTheme="minorHAnsi" w:cstheme="minorHAnsi"/>
          <w:szCs w:val="24"/>
        </w:rPr>
        <w:t xml:space="preserve">The Bureau </w:t>
      </w:r>
      <w:r w:rsidR="00B6552B">
        <w:rPr>
          <w:rFonts w:asciiTheme="minorHAnsi" w:hAnsiTheme="minorHAnsi" w:cstheme="minorHAnsi"/>
          <w:szCs w:val="24"/>
        </w:rPr>
        <w:t>will</w:t>
      </w:r>
      <w:r>
        <w:rPr>
          <w:rFonts w:asciiTheme="minorHAnsi" w:hAnsiTheme="minorHAnsi" w:cstheme="minorHAnsi"/>
          <w:szCs w:val="24"/>
        </w:rPr>
        <w:t xml:space="preserve"> </w:t>
      </w:r>
      <w:r w:rsidR="00B72D59">
        <w:rPr>
          <w:rFonts w:asciiTheme="minorHAnsi" w:hAnsiTheme="minorHAnsi" w:cstheme="minorHAnsi"/>
          <w:szCs w:val="24"/>
        </w:rPr>
        <w:t xml:space="preserve">periodically </w:t>
      </w:r>
      <w:r>
        <w:rPr>
          <w:rFonts w:asciiTheme="minorHAnsi" w:hAnsiTheme="minorHAnsi" w:cstheme="minorHAnsi"/>
          <w:szCs w:val="24"/>
        </w:rPr>
        <w:t xml:space="preserve">update </w:t>
      </w:r>
      <w:r w:rsidR="00EC5E88">
        <w:rPr>
          <w:rFonts w:asciiTheme="minorHAnsi" w:hAnsiTheme="minorHAnsi" w:cstheme="minorHAnsi"/>
          <w:szCs w:val="24"/>
        </w:rPr>
        <w:t xml:space="preserve">the </w:t>
      </w:r>
      <w:r w:rsidR="00EA73C5">
        <w:rPr>
          <w:rFonts w:asciiTheme="minorHAnsi" w:hAnsiTheme="minorHAnsi" w:cstheme="minorHAnsi"/>
          <w:szCs w:val="24"/>
        </w:rPr>
        <w:t xml:space="preserve">No. </w:t>
      </w:r>
      <w:r w:rsidRPr="00EA73C5">
        <w:rPr>
          <w:rFonts w:asciiTheme="minorHAnsi" w:hAnsiTheme="minorHAnsi" w:cstheme="minorHAnsi"/>
          <w:b/>
          <w:bCs/>
          <w:szCs w:val="24"/>
        </w:rPr>
        <w:t>11.41</w:t>
      </w:r>
      <w:r>
        <w:rPr>
          <w:rFonts w:asciiTheme="minorHAnsi" w:hAnsiTheme="minorHAnsi" w:cstheme="minorHAnsi"/>
          <w:szCs w:val="24"/>
        </w:rPr>
        <w:t xml:space="preserve"> </w:t>
      </w:r>
      <w:r w:rsidR="00EC5E88">
        <w:rPr>
          <w:rFonts w:asciiTheme="minorHAnsi" w:hAnsiTheme="minorHAnsi" w:cstheme="minorHAnsi"/>
          <w:szCs w:val="24"/>
        </w:rPr>
        <w:t xml:space="preserve">information </w:t>
      </w:r>
      <w:r>
        <w:rPr>
          <w:rFonts w:asciiTheme="minorHAnsi" w:hAnsiTheme="minorHAnsi" w:cstheme="minorHAnsi"/>
          <w:szCs w:val="24"/>
        </w:rPr>
        <w:t xml:space="preserve">in </w:t>
      </w:r>
      <w:proofErr w:type="spellStart"/>
      <w:r w:rsidRPr="00EA73C5">
        <w:rPr>
          <w:rFonts w:asciiTheme="minorHAnsi" w:hAnsiTheme="minorHAnsi" w:cstheme="minorHAnsi"/>
          <w:b/>
          <w:bCs/>
          <w:szCs w:val="24"/>
        </w:rPr>
        <w:t>Notex</w:t>
      </w:r>
      <w:proofErr w:type="spellEnd"/>
      <w:r>
        <w:rPr>
          <w:rFonts w:asciiTheme="minorHAnsi" w:hAnsiTheme="minorHAnsi" w:cstheme="minorHAnsi"/>
          <w:szCs w:val="24"/>
        </w:rPr>
        <w:t xml:space="preserve"> o</w:t>
      </w:r>
      <w:r w:rsidR="009E567C">
        <w:rPr>
          <w:rFonts w:asciiTheme="minorHAnsi" w:hAnsiTheme="minorHAnsi" w:cstheme="minorHAnsi"/>
          <w:szCs w:val="24"/>
        </w:rPr>
        <w:t>n suppressed networks/stations.</w:t>
      </w:r>
    </w:p>
    <w:p w:rsidR="002A0614" w:rsidRDefault="002A0614" w:rsidP="00B6552B">
      <w:pPr>
        <w:spacing w:before="120" w:line="240" w:lineRule="auto"/>
        <w:ind w:left="142"/>
        <w:rPr>
          <w:rFonts w:asciiTheme="minorHAnsi" w:hAnsiTheme="minorHAnsi" w:cstheme="minorHAnsi"/>
          <w:szCs w:val="24"/>
        </w:rPr>
      </w:pPr>
    </w:p>
    <w:p w:rsidR="002A0614" w:rsidRDefault="002A0614" w:rsidP="00B6552B">
      <w:pPr>
        <w:spacing w:before="120" w:line="240" w:lineRule="auto"/>
        <w:ind w:left="142"/>
        <w:rPr>
          <w:rFonts w:asciiTheme="minorHAnsi" w:hAnsiTheme="minorHAnsi" w:cstheme="minorHAnsi"/>
          <w:szCs w:val="24"/>
        </w:rPr>
      </w:pPr>
    </w:p>
    <w:p w:rsidR="002A0614" w:rsidRDefault="002A0614" w:rsidP="00B6552B">
      <w:pPr>
        <w:spacing w:before="120" w:line="240" w:lineRule="auto"/>
        <w:ind w:left="142"/>
        <w:rPr>
          <w:rFonts w:asciiTheme="minorHAnsi" w:hAnsiTheme="minorHAnsi" w:cstheme="minorHAnsi"/>
          <w:szCs w:val="24"/>
        </w:rPr>
      </w:pPr>
    </w:p>
    <w:p w:rsidR="002A0614" w:rsidRDefault="002A0614" w:rsidP="00B6552B">
      <w:pPr>
        <w:spacing w:before="120" w:line="240" w:lineRule="auto"/>
        <w:ind w:left="142"/>
        <w:rPr>
          <w:rFonts w:asciiTheme="minorHAnsi" w:hAnsiTheme="minorHAnsi" w:cstheme="minorHAnsi"/>
          <w:szCs w:val="24"/>
        </w:rPr>
      </w:pPr>
    </w:p>
    <w:p w:rsidR="002A0614" w:rsidRDefault="002A0614" w:rsidP="00B6552B">
      <w:pPr>
        <w:spacing w:before="120" w:line="240" w:lineRule="auto"/>
        <w:ind w:left="142"/>
        <w:rPr>
          <w:rFonts w:asciiTheme="minorHAnsi" w:hAnsiTheme="minorHAnsi" w:cstheme="minorHAnsi"/>
          <w:szCs w:val="24"/>
        </w:rPr>
      </w:pPr>
    </w:p>
    <w:p w:rsidR="002A0614" w:rsidRDefault="002A0614" w:rsidP="00B6552B">
      <w:pPr>
        <w:spacing w:before="120" w:line="240" w:lineRule="auto"/>
        <w:ind w:left="142"/>
        <w:rPr>
          <w:rFonts w:asciiTheme="minorHAnsi" w:hAnsiTheme="minorHAnsi" w:cstheme="minorHAnsi"/>
          <w:szCs w:val="24"/>
        </w:rPr>
      </w:pPr>
    </w:p>
    <w:p w:rsidR="002A0614" w:rsidRDefault="002A0614" w:rsidP="00B6552B">
      <w:pPr>
        <w:spacing w:before="120" w:line="240" w:lineRule="auto"/>
        <w:ind w:left="142"/>
        <w:rPr>
          <w:rFonts w:asciiTheme="minorHAnsi" w:hAnsiTheme="minorHAnsi" w:cstheme="minorHAnsi"/>
          <w:szCs w:val="24"/>
        </w:rPr>
      </w:pPr>
    </w:p>
    <w:p w:rsidR="00733E2E" w:rsidRDefault="00733E2E" w:rsidP="00281945">
      <w:pPr>
        <w:spacing w:before="120" w:line="240" w:lineRule="auto"/>
        <w:ind w:left="142"/>
        <w:rPr>
          <w:rFonts w:asciiTheme="minorHAnsi" w:hAnsiTheme="minorHAnsi" w:cstheme="minorHAnsi"/>
          <w:szCs w:val="24"/>
        </w:rPr>
      </w:pPr>
      <w:r>
        <w:rPr>
          <w:rFonts w:asciiTheme="minorHAnsi" w:hAnsiTheme="minorHAnsi" w:cstheme="minorHAnsi"/>
          <w:szCs w:val="24"/>
        </w:rPr>
        <w:t xml:space="preserve">The functional structure of </w:t>
      </w:r>
      <w:proofErr w:type="spellStart"/>
      <w:r w:rsidRPr="00B72D59">
        <w:rPr>
          <w:rFonts w:asciiTheme="minorHAnsi" w:hAnsiTheme="minorHAnsi" w:cstheme="minorHAnsi"/>
          <w:b/>
          <w:bCs/>
          <w:szCs w:val="24"/>
        </w:rPr>
        <w:t>Notex</w:t>
      </w:r>
      <w:proofErr w:type="spellEnd"/>
      <w:r>
        <w:rPr>
          <w:rFonts w:asciiTheme="minorHAnsi" w:hAnsiTheme="minorHAnsi" w:cstheme="minorHAnsi"/>
          <w:szCs w:val="24"/>
        </w:rPr>
        <w:t xml:space="preserve"> Online Query system </w:t>
      </w:r>
      <w:proofErr w:type="gramStart"/>
      <w:r>
        <w:rPr>
          <w:rFonts w:asciiTheme="minorHAnsi" w:hAnsiTheme="minorHAnsi" w:cstheme="minorHAnsi"/>
          <w:szCs w:val="24"/>
        </w:rPr>
        <w:t>is provided</w:t>
      </w:r>
      <w:proofErr w:type="gramEnd"/>
      <w:r>
        <w:rPr>
          <w:rFonts w:asciiTheme="minorHAnsi" w:hAnsiTheme="minorHAnsi" w:cstheme="minorHAnsi"/>
          <w:szCs w:val="24"/>
        </w:rPr>
        <w:t xml:space="preserve"> in</w:t>
      </w:r>
      <w:r w:rsidR="00B6552B">
        <w:rPr>
          <w:rFonts w:asciiTheme="minorHAnsi" w:hAnsiTheme="minorHAnsi" w:cstheme="minorHAnsi"/>
          <w:szCs w:val="24"/>
        </w:rPr>
        <w:t xml:space="preserve"> the</w:t>
      </w:r>
      <w:r>
        <w:rPr>
          <w:rFonts w:asciiTheme="minorHAnsi" w:hAnsiTheme="minorHAnsi" w:cstheme="minorHAnsi"/>
          <w:szCs w:val="24"/>
        </w:rPr>
        <w:t xml:space="preserve"> Annex.</w:t>
      </w:r>
    </w:p>
    <w:p w:rsidR="001A0A41" w:rsidRPr="00F72E22" w:rsidRDefault="001A0A41" w:rsidP="004B733D">
      <w:pPr>
        <w:spacing w:before="120" w:line="240" w:lineRule="auto"/>
        <w:ind w:left="142"/>
        <w:rPr>
          <w:rFonts w:asciiTheme="minorHAnsi" w:hAnsiTheme="minorHAnsi"/>
          <w:szCs w:val="24"/>
        </w:rPr>
      </w:pPr>
      <w:r w:rsidRPr="00F72E22">
        <w:rPr>
          <w:rFonts w:asciiTheme="minorHAnsi" w:hAnsiTheme="minorHAnsi"/>
          <w:szCs w:val="24"/>
        </w:rPr>
        <w:t xml:space="preserve">The Bureau remains at the disposal of your Administration via the </w:t>
      </w:r>
      <w:hyperlink r:id="rId10" w:history="1">
        <w:r w:rsidRPr="00F72E22">
          <w:rPr>
            <w:rStyle w:val="Hyperlink"/>
            <w:rFonts w:asciiTheme="minorHAnsi" w:hAnsiTheme="minorHAnsi"/>
            <w:szCs w:val="24"/>
          </w:rPr>
          <w:t>brmail@itu.int</w:t>
        </w:r>
      </w:hyperlink>
      <w:r w:rsidRPr="00F72E22">
        <w:rPr>
          <w:rFonts w:asciiTheme="minorHAnsi" w:hAnsiTheme="minorHAnsi"/>
          <w:szCs w:val="24"/>
        </w:rPr>
        <w:t xml:space="preserve"> address for any clarification you may require with respect to the subjects covered in this Circular Letter.</w:t>
      </w:r>
    </w:p>
    <w:p w:rsidR="00733E2E" w:rsidRDefault="00733E2E" w:rsidP="00281945">
      <w:pPr>
        <w:spacing w:before="120" w:line="240" w:lineRule="auto"/>
        <w:ind w:left="142"/>
        <w:rPr>
          <w:rFonts w:asciiTheme="minorHAnsi" w:hAnsiTheme="minorHAnsi" w:cstheme="minorHAnsi"/>
          <w:szCs w:val="24"/>
        </w:rPr>
      </w:pPr>
    </w:p>
    <w:p w:rsidR="00E3253D" w:rsidRDefault="00E3253D" w:rsidP="00281945">
      <w:pPr>
        <w:spacing w:before="120" w:line="240" w:lineRule="auto"/>
        <w:ind w:left="142"/>
        <w:rPr>
          <w:rFonts w:asciiTheme="minorHAnsi" w:hAnsiTheme="minorHAnsi" w:cstheme="minorHAnsi"/>
          <w:szCs w:val="24"/>
        </w:rPr>
      </w:pPr>
    </w:p>
    <w:p w:rsidR="002A0614" w:rsidRDefault="002A0614" w:rsidP="00281945">
      <w:pPr>
        <w:spacing w:before="120" w:line="240" w:lineRule="auto"/>
        <w:ind w:left="142"/>
        <w:rPr>
          <w:rFonts w:asciiTheme="minorHAnsi" w:hAnsiTheme="minorHAnsi" w:cstheme="minorHAnsi"/>
          <w:szCs w:val="24"/>
        </w:rPr>
      </w:pPr>
    </w:p>
    <w:p w:rsidR="002A0614" w:rsidRPr="00846FCB" w:rsidRDefault="002A0614" w:rsidP="00281945">
      <w:pPr>
        <w:spacing w:before="120" w:line="240" w:lineRule="auto"/>
        <w:ind w:left="142"/>
        <w:rPr>
          <w:rFonts w:asciiTheme="minorHAnsi" w:hAnsiTheme="minorHAnsi" w:cstheme="minorHAnsi"/>
          <w:szCs w:val="24"/>
        </w:rPr>
      </w:pPr>
    </w:p>
    <w:p w:rsidR="00841B33" w:rsidRDefault="00841B33" w:rsidP="00281945">
      <w:pPr>
        <w:spacing w:before="120" w:line="240" w:lineRule="auto"/>
        <w:ind w:left="142"/>
        <w:jc w:val="left"/>
        <w:rPr>
          <w:rFonts w:asciiTheme="minorHAnsi" w:hAnsiTheme="minorHAnsi" w:cstheme="minorHAnsi"/>
          <w:szCs w:val="24"/>
          <w:lang w:val="fr-CH"/>
        </w:rPr>
      </w:pPr>
      <w:r w:rsidRPr="00733E2E">
        <w:rPr>
          <w:rFonts w:asciiTheme="minorHAnsi" w:hAnsiTheme="minorHAnsi" w:cstheme="minorHAnsi"/>
          <w:szCs w:val="24"/>
          <w:lang w:val="fr-CH"/>
        </w:rPr>
        <w:t>François Rancy</w:t>
      </w:r>
      <w:r w:rsidR="00EE5A42" w:rsidRPr="00733E2E">
        <w:rPr>
          <w:rFonts w:asciiTheme="minorHAnsi" w:hAnsiTheme="minorHAnsi" w:cstheme="minorHAnsi"/>
          <w:szCs w:val="24"/>
          <w:lang w:val="fr-CH"/>
        </w:rPr>
        <w:br/>
      </w:r>
      <w:proofErr w:type="spellStart"/>
      <w:r w:rsidRPr="00733E2E">
        <w:rPr>
          <w:rFonts w:asciiTheme="minorHAnsi" w:hAnsiTheme="minorHAnsi" w:cstheme="minorHAnsi"/>
          <w:szCs w:val="24"/>
          <w:lang w:val="fr-CH"/>
        </w:rPr>
        <w:t>Director</w:t>
      </w:r>
      <w:proofErr w:type="spellEnd"/>
    </w:p>
    <w:p w:rsidR="00B6552B" w:rsidRDefault="00B6552B" w:rsidP="00281945">
      <w:pPr>
        <w:spacing w:before="120" w:line="240" w:lineRule="auto"/>
        <w:ind w:left="142"/>
        <w:jc w:val="left"/>
        <w:rPr>
          <w:rFonts w:asciiTheme="minorHAnsi" w:hAnsiTheme="minorHAnsi" w:cstheme="minorHAnsi"/>
          <w:szCs w:val="24"/>
          <w:lang w:val="fr-CH"/>
        </w:rPr>
      </w:pPr>
    </w:p>
    <w:p w:rsidR="008576F8" w:rsidRDefault="008576F8" w:rsidP="00281945">
      <w:pPr>
        <w:spacing w:before="120" w:line="240" w:lineRule="auto"/>
        <w:ind w:left="142"/>
        <w:jc w:val="left"/>
        <w:rPr>
          <w:rFonts w:asciiTheme="minorHAnsi" w:hAnsiTheme="minorHAnsi" w:cstheme="minorHAnsi"/>
          <w:szCs w:val="24"/>
          <w:lang w:val="fr-CH"/>
        </w:rPr>
      </w:pPr>
    </w:p>
    <w:p w:rsidR="008576F8" w:rsidRDefault="008576F8" w:rsidP="00281945">
      <w:pPr>
        <w:spacing w:before="120" w:line="240" w:lineRule="auto"/>
        <w:ind w:left="142"/>
        <w:jc w:val="left"/>
        <w:rPr>
          <w:rFonts w:asciiTheme="minorHAnsi" w:hAnsiTheme="minorHAnsi" w:cstheme="minorHAnsi"/>
          <w:szCs w:val="24"/>
          <w:lang w:val="fr-CH"/>
        </w:rPr>
      </w:pPr>
    </w:p>
    <w:p w:rsidR="008576F8" w:rsidRDefault="008576F8" w:rsidP="00281945">
      <w:pPr>
        <w:spacing w:before="120" w:line="240" w:lineRule="auto"/>
        <w:ind w:left="142"/>
        <w:jc w:val="left"/>
        <w:rPr>
          <w:rFonts w:asciiTheme="minorHAnsi" w:hAnsiTheme="minorHAnsi" w:cstheme="minorHAnsi"/>
          <w:szCs w:val="24"/>
          <w:lang w:val="fr-CH"/>
        </w:rPr>
      </w:pPr>
    </w:p>
    <w:p w:rsidR="008576F8" w:rsidRDefault="008576F8" w:rsidP="00281945">
      <w:pPr>
        <w:spacing w:before="120" w:line="240" w:lineRule="auto"/>
        <w:ind w:left="142"/>
        <w:jc w:val="left"/>
        <w:rPr>
          <w:rFonts w:asciiTheme="minorHAnsi" w:hAnsiTheme="minorHAnsi" w:cstheme="minorHAnsi"/>
          <w:szCs w:val="24"/>
          <w:lang w:val="fr-CH"/>
        </w:rPr>
      </w:pPr>
    </w:p>
    <w:p w:rsidR="008576F8" w:rsidRDefault="008576F8" w:rsidP="00281945">
      <w:pPr>
        <w:spacing w:before="120" w:line="240" w:lineRule="auto"/>
        <w:ind w:left="142"/>
        <w:jc w:val="left"/>
        <w:rPr>
          <w:rFonts w:asciiTheme="minorHAnsi" w:hAnsiTheme="minorHAnsi" w:cstheme="minorHAnsi"/>
          <w:szCs w:val="24"/>
          <w:lang w:val="fr-CH"/>
        </w:rPr>
      </w:pPr>
    </w:p>
    <w:p w:rsidR="008576F8" w:rsidRDefault="008576F8" w:rsidP="00281945">
      <w:pPr>
        <w:spacing w:before="120" w:line="240" w:lineRule="auto"/>
        <w:ind w:left="142"/>
        <w:jc w:val="left"/>
        <w:rPr>
          <w:rFonts w:asciiTheme="minorHAnsi" w:hAnsiTheme="minorHAnsi" w:cstheme="minorHAnsi"/>
          <w:szCs w:val="24"/>
          <w:lang w:val="fr-CH"/>
        </w:rPr>
      </w:pPr>
    </w:p>
    <w:p w:rsidR="008576F8" w:rsidRDefault="008576F8" w:rsidP="00281945">
      <w:pPr>
        <w:spacing w:before="120" w:line="240" w:lineRule="auto"/>
        <w:ind w:left="142"/>
        <w:jc w:val="left"/>
        <w:rPr>
          <w:rFonts w:asciiTheme="minorHAnsi" w:hAnsiTheme="minorHAnsi" w:cstheme="minorHAnsi"/>
          <w:szCs w:val="24"/>
          <w:lang w:val="fr-CH"/>
        </w:rPr>
      </w:pPr>
    </w:p>
    <w:p w:rsidR="008576F8" w:rsidRDefault="008576F8" w:rsidP="00281945">
      <w:pPr>
        <w:spacing w:before="120" w:line="240" w:lineRule="auto"/>
        <w:ind w:left="142"/>
        <w:jc w:val="left"/>
        <w:rPr>
          <w:rFonts w:asciiTheme="minorHAnsi" w:hAnsiTheme="minorHAnsi" w:cstheme="minorHAnsi"/>
          <w:szCs w:val="24"/>
          <w:lang w:val="fr-CH"/>
        </w:rPr>
      </w:pPr>
    </w:p>
    <w:p w:rsidR="008576F8" w:rsidRDefault="008576F8" w:rsidP="00281945">
      <w:pPr>
        <w:spacing w:before="120" w:line="240" w:lineRule="auto"/>
        <w:ind w:left="142"/>
        <w:jc w:val="left"/>
        <w:rPr>
          <w:rFonts w:asciiTheme="minorHAnsi" w:hAnsiTheme="minorHAnsi" w:cstheme="minorHAnsi"/>
          <w:szCs w:val="24"/>
          <w:lang w:val="fr-CH"/>
        </w:rPr>
      </w:pPr>
    </w:p>
    <w:p w:rsidR="008576F8" w:rsidRDefault="008576F8" w:rsidP="00281945">
      <w:pPr>
        <w:spacing w:before="120" w:line="240" w:lineRule="auto"/>
        <w:ind w:left="142"/>
        <w:jc w:val="left"/>
        <w:rPr>
          <w:rFonts w:asciiTheme="minorHAnsi" w:hAnsiTheme="minorHAnsi" w:cstheme="minorHAnsi"/>
          <w:szCs w:val="24"/>
          <w:lang w:val="fr-CH"/>
        </w:rPr>
      </w:pPr>
    </w:p>
    <w:p w:rsidR="008576F8" w:rsidRDefault="008576F8" w:rsidP="00281945">
      <w:pPr>
        <w:spacing w:before="120" w:line="240" w:lineRule="auto"/>
        <w:ind w:left="142"/>
        <w:jc w:val="left"/>
        <w:rPr>
          <w:rFonts w:asciiTheme="minorHAnsi" w:hAnsiTheme="minorHAnsi" w:cstheme="minorHAnsi"/>
          <w:szCs w:val="24"/>
          <w:lang w:val="fr-CH"/>
        </w:rPr>
      </w:pPr>
    </w:p>
    <w:p w:rsidR="008576F8" w:rsidRDefault="008576F8" w:rsidP="00281945">
      <w:pPr>
        <w:spacing w:before="120" w:line="240" w:lineRule="auto"/>
        <w:ind w:left="142"/>
        <w:jc w:val="left"/>
        <w:rPr>
          <w:rFonts w:asciiTheme="minorHAnsi" w:hAnsiTheme="minorHAnsi" w:cstheme="minorHAnsi"/>
          <w:szCs w:val="24"/>
          <w:lang w:val="fr-CH"/>
        </w:rPr>
      </w:pPr>
    </w:p>
    <w:p w:rsidR="00B6552B" w:rsidRDefault="00B6552B" w:rsidP="00B6552B">
      <w:pPr>
        <w:spacing w:before="120" w:line="240" w:lineRule="auto"/>
        <w:ind w:left="142"/>
        <w:jc w:val="left"/>
        <w:rPr>
          <w:rFonts w:asciiTheme="minorHAnsi" w:hAnsiTheme="minorHAnsi" w:cstheme="minorHAnsi"/>
          <w:szCs w:val="24"/>
          <w:lang w:val="fr-CH"/>
        </w:rPr>
      </w:pPr>
      <w:proofErr w:type="spellStart"/>
      <w:r>
        <w:rPr>
          <w:rFonts w:asciiTheme="minorHAnsi" w:hAnsiTheme="minorHAnsi" w:cstheme="minorHAnsi"/>
          <w:szCs w:val="24"/>
          <w:lang w:val="fr-CH"/>
        </w:rPr>
        <w:t>Annex</w:t>
      </w:r>
      <w:proofErr w:type="spellEnd"/>
      <w:r w:rsidRPr="00733E2E">
        <w:rPr>
          <w:rFonts w:asciiTheme="minorHAnsi" w:hAnsiTheme="minorHAnsi" w:cstheme="minorHAnsi"/>
          <w:szCs w:val="24"/>
          <w:lang w:val="fr-CH"/>
        </w:rPr>
        <w:t>: 1</w:t>
      </w:r>
    </w:p>
    <w:p w:rsidR="00832E3A" w:rsidRDefault="00832E3A" w:rsidP="00B6552B">
      <w:pPr>
        <w:spacing w:before="120" w:line="240" w:lineRule="auto"/>
        <w:ind w:left="142"/>
        <w:jc w:val="left"/>
        <w:rPr>
          <w:rFonts w:asciiTheme="minorHAnsi" w:hAnsiTheme="minorHAnsi" w:cstheme="minorHAnsi"/>
          <w:szCs w:val="24"/>
          <w:lang w:val="fr-CH"/>
        </w:rPr>
      </w:pPr>
    </w:p>
    <w:p w:rsidR="00832E3A" w:rsidRDefault="00832E3A" w:rsidP="00B6552B">
      <w:pPr>
        <w:spacing w:before="120" w:line="240" w:lineRule="auto"/>
        <w:ind w:left="142"/>
        <w:jc w:val="left"/>
        <w:rPr>
          <w:rFonts w:asciiTheme="minorHAnsi" w:hAnsiTheme="minorHAnsi" w:cstheme="minorHAnsi"/>
          <w:szCs w:val="24"/>
          <w:lang w:val="fr-CH"/>
        </w:rPr>
      </w:pPr>
    </w:p>
    <w:p w:rsidR="00832E3A" w:rsidRDefault="00832E3A" w:rsidP="00B6552B">
      <w:pPr>
        <w:spacing w:before="120" w:line="240" w:lineRule="auto"/>
        <w:ind w:left="142"/>
        <w:jc w:val="left"/>
        <w:rPr>
          <w:rFonts w:asciiTheme="minorHAnsi" w:hAnsiTheme="minorHAnsi" w:cstheme="minorHAnsi"/>
          <w:szCs w:val="24"/>
          <w:lang w:val="fr-CH"/>
        </w:rPr>
      </w:pPr>
    </w:p>
    <w:p w:rsidR="00841B33" w:rsidRPr="00733E2E" w:rsidRDefault="00841B33" w:rsidP="00281945">
      <w:pPr>
        <w:pStyle w:val="toc0"/>
        <w:tabs>
          <w:tab w:val="left" w:pos="794"/>
          <w:tab w:val="left" w:pos="1191"/>
          <w:tab w:val="left" w:pos="1588"/>
          <w:tab w:val="left" w:pos="1985"/>
        </w:tabs>
        <w:spacing w:before="480"/>
        <w:ind w:left="142"/>
        <w:jc w:val="both"/>
        <w:rPr>
          <w:bCs/>
          <w:sz w:val="18"/>
          <w:szCs w:val="18"/>
          <w:u w:val="single"/>
          <w:lang w:val="fr-CH"/>
        </w:rPr>
      </w:pPr>
      <w:bookmarkStart w:id="1" w:name="ddistribution"/>
      <w:bookmarkEnd w:id="1"/>
      <w:r w:rsidRPr="00733E2E">
        <w:rPr>
          <w:bCs/>
          <w:sz w:val="18"/>
          <w:szCs w:val="18"/>
          <w:u w:val="single"/>
          <w:lang w:val="fr-CH"/>
        </w:rPr>
        <w:t>Distribution:</w:t>
      </w:r>
    </w:p>
    <w:p w:rsidR="00841B33" w:rsidRPr="008E0564" w:rsidRDefault="00841B33" w:rsidP="00281945">
      <w:pPr>
        <w:pStyle w:val="enumlev1"/>
        <w:tabs>
          <w:tab w:val="clear" w:pos="794"/>
          <w:tab w:val="left" w:pos="284"/>
        </w:tabs>
        <w:ind w:left="142"/>
        <w:rPr>
          <w:sz w:val="18"/>
          <w:szCs w:val="18"/>
        </w:rPr>
      </w:pPr>
      <w:r w:rsidRPr="008E0564">
        <w:rPr>
          <w:sz w:val="18"/>
          <w:szCs w:val="18"/>
        </w:rPr>
        <w:t>–</w:t>
      </w:r>
      <w:r w:rsidRPr="008E0564">
        <w:rPr>
          <w:sz w:val="18"/>
          <w:szCs w:val="18"/>
        </w:rPr>
        <w:tab/>
        <w:t>Administrations of Member States of ITU</w:t>
      </w:r>
    </w:p>
    <w:p w:rsidR="00841B33" w:rsidRDefault="00841B33" w:rsidP="00281945">
      <w:pPr>
        <w:pStyle w:val="enumlev1"/>
        <w:tabs>
          <w:tab w:val="clear" w:pos="794"/>
          <w:tab w:val="left" w:pos="284"/>
        </w:tabs>
        <w:spacing w:before="0"/>
        <w:ind w:left="142"/>
        <w:rPr>
          <w:sz w:val="18"/>
          <w:szCs w:val="18"/>
        </w:rPr>
      </w:pPr>
      <w:r w:rsidRPr="008E0564">
        <w:rPr>
          <w:sz w:val="18"/>
          <w:szCs w:val="18"/>
        </w:rPr>
        <w:t>–</w:t>
      </w:r>
      <w:r w:rsidRPr="008E0564">
        <w:rPr>
          <w:sz w:val="18"/>
          <w:szCs w:val="18"/>
        </w:rPr>
        <w:tab/>
        <w:t>Members of the Radio Regulations Board</w:t>
      </w:r>
    </w:p>
    <w:p w:rsidR="00860794" w:rsidRDefault="00860794">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sectPr w:rsidR="00860794" w:rsidSect="008A3C5C">
          <w:headerReference w:type="even" r:id="rId11"/>
          <w:headerReference w:type="default" r:id="rId12"/>
          <w:headerReference w:type="first" r:id="rId13"/>
          <w:footerReference w:type="first" r:id="rId14"/>
          <w:pgSz w:w="11907" w:h="16834" w:code="9"/>
          <w:pgMar w:top="1134" w:right="1134" w:bottom="992" w:left="1134" w:header="567" w:footer="397" w:gutter="0"/>
          <w:cols w:space="720"/>
          <w:titlePg/>
        </w:sectPr>
      </w:pPr>
    </w:p>
    <w:p w:rsidR="00860794" w:rsidRPr="0010129D" w:rsidRDefault="00C14479" w:rsidP="00B6552B">
      <w:pPr>
        <w:jc w:val="center"/>
        <w:rPr>
          <w:b/>
          <w:bCs/>
        </w:rPr>
      </w:pPr>
      <w:r>
        <w:rPr>
          <w:b/>
          <w:bCs/>
        </w:rPr>
        <w:lastRenderedPageBreak/>
        <w:t>A</w:t>
      </w:r>
      <w:r w:rsidR="00860794" w:rsidRPr="0010129D">
        <w:rPr>
          <w:b/>
          <w:bCs/>
        </w:rPr>
        <w:t xml:space="preserve">nnex </w:t>
      </w:r>
    </w:p>
    <w:p w:rsidR="00860794" w:rsidRDefault="00860794" w:rsidP="00860794">
      <w:pPr>
        <w:jc w:val="center"/>
        <w:rPr>
          <w:b/>
          <w:bCs/>
        </w:rPr>
      </w:pPr>
      <w:r w:rsidRPr="0010129D">
        <w:rPr>
          <w:b/>
          <w:bCs/>
        </w:rPr>
        <w:t xml:space="preserve">Functional structure of </w:t>
      </w:r>
      <w:proofErr w:type="spellStart"/>
      <w:r w:rsidRPr="0010129D">
        <w:rPr>
          <w:b/>
          <w:bCs/>
        </w:rPr>
        <w:t>Notex</w:t>
      </w:r>
      <w:proofErr w:type="spellEnd"/>
      <w:r w:rsidRPr="0010129D">
        <w:rPr>
          <w:b/>
          <w:bCs/>
        </w:rPr>
        <w:t xml:space="preserve"> Online Query System</w:t>
      </w:r>
    </w:p>
    <w:p w:rsidR="00C14479" w:rsidRDefault="00C14479" w:rsidP="00860794">
      <w:pPr>
        <w:jc w:val="center"/>
        <w:rPr>
          <w:b/>
          <w:bCs/>
        </w:rPr>
      </w:pPr>
    </w:p>
    <w:p w:rsidR="0010129D" w:rsidRDefault="0080132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object w:dxaOrig="17086" w:dyaOrig="7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324pt" o:ole="">
            <v:imagedata r:id="rId15" o:title=""/>
          </v:shape>
          <o:OLEObject Type="Embed" ProgID="Visio.Drawing.15" ShapeID="_x0000_i1025" DrawAspect="Content" ObjectID="_1521464491" r:id="rId16"/>
        </w:object>
      </w:r>
    </w:p>
    <w:p w:rsidR="00801328" w:rsidRDefault="0080132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p>
    <w:p w:rsidR="008376CE" w:rsidRDefault="008376CE" w:rsidP="008376CE">
      <w:pPr>
        <w:tabs>
          <w:tab w:val="clear" w:pos="794"/>
          <w:tab w:val="clear" w:pos="1191"/>
          <w:tab w:val="clear" w:pos="1588"/>
          <w:tab w:val="clear" w:pos="1985"/>
        </w:tabs>
        <w:overflowPunct/>
        <w:autoSpaceDE/>
        <w:autoSpaceDN/>
        <w:adjustRightInd/>
        <w:spacing w:before="0" w:line="240" w:lineRule="auto"/>
        <w:ind w:left="142"/>
        <w:jc w:val="center"/>
        <w:textAlignment w:val="auto"/>
        <w:rPr>
          <w:sz w:val="18"/>
          <w:szCs w:val="18"/>
        </w:rPr>
      </w:pPr>
    </w:p>
    <w:p w:rsidR="008376CE" w:rsidRDefault="008376CE" w:rsidP="008376CE">
      <w:pPr>
        <w:tabs>
          <w:tab w:val="clear" w:pos="794"/>
          <w:tab w:val="clear" w:pos="1191"/>
          <w:tab w:val="clear" w:pos="1588"/>
          <w:tab w:val="clear" w:pos="1985"/>
        </w:tabs>
        <w:overflowPunct/>
        <w:autoSpaceDE/>
        <w:autoSpaceDN/>
        <w:adjustRightInd/>
        <w:spacing w:before="0" w:line="240" w:lineRule="auto"/>
        <w:ind w:left="142"/>
        <w:jc w:val="center"/>
        <w:textAlignment w:val="auto"/>
        <w:rPr>
          <w:sz w:val="18"/>
          <w:szCs w:val="18"/>
        </w:rPr>
      </w:pPr>
    </w:p>
    <w:p w:rsidR="00C14479" w:rsidRDefault="008376CE" w:rsidP="008376CE">
      <w:pPr>
        <w:tabs>
          <w:tab w:val="clear" w:pos="794"/>
          <w:tab w:val="clear" w:pos="1191"/>
          <w:tab w:val="clear" w:pos="1588"/>
          <w:tab w:val="clear" w:pos="1985"/>
        </w:tabs>
        <w:overflowPunct/>
        <w:autoSpaceDE/>
        <w:autoSpaceDN/>
        <w:adjustRightInd/>
        <w:spacing w:before="0" w:line="240" w:lineRule="auto"/>
        <w:ind w:left="142"/>
        <w:jc w:val="center"/>
        <w:textAlignment w:val="auto"/>
        <w:rPr>
          <w:sz w:val="18"/>
          <w:szCs w:val="18"/>
        </w:rPr>
      </w:pPr>
      <w:r>
        <w:rPr>
          <w:sz w:val="18"/>
          <w:szCs w:val="18"/>
        </w:rPr>
        <w:t>____________________________</w:t>
      </w:r>
    </w:p>
    <w:p w:rsidR="008376CE" w:rsidRDefault="008376CE" w:rsidP="008376CE">
      <w:pPr>
        <w:tabs>
          <w:tab w:val="clear" w:pos="794"/>
          <w:tab w:val="clear" w:pos="1191"/>
          <w:tab w:val="clear" w:pos="1588"/>
          <w:tab w:val="clear" w:pos="1985"/>
        </w:tabs>
        <w:overflowPunct/>
        <w:autoSpaceDE/>
        <w:autoSpaceDN/>
        <w:adjustRightInd/>
        <w:spacing w:before="0" w:line="240" w:lineRule="auto"/>
        <w:ind w:left="142"/>
        <w:jc w:val="center"/>
        <w:textAlignment w:val="auto"/>
        <w:rPr>
          <w:sz w:val="18"/>
          <w:szCs w:val="18"/>
        </w:rPr>
      </w:pPr>
    </w:p>
    <w:sectPr w:rsidR="008376CE" w:rsidSect="00C14479">
      <w:headerReference w:type="first" r:id="rId17"/>
      <w:footerReference w:type="first" r:id="rId18"/>
      <w:pgSz w:w="16834" w:h="11907" w:orient="landscape" w:code="9"/>
      <w:pgMar w:top="1134" w:right="1134" w:bottom="1134" w:left="426"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6D6" w:rsidRDefault="00A456D6">
      <w:r>
        <w:separator/>
      </w:r>
    </w:p>
  </w:endnote>
  <w:endnote w:type="continuationSeparator" w:id="0">
    <w:p w:rsidR="00A456D6" w:rsidRDefault="00A4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09" w:rsidRDefault="00DA2B09" w:rsidP="00DA2B09">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94" w:rsidRPr="00860794" w:rsidRDefault="00860794" w:rsidP="00860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6D6" w:rsidRDefault="00A456D6">
      <w:r>
        <w:t>____________________</w:t>
      </w:r>
    </w:p>
  </w:footnote>
  <w:footnote w:type="continuationSeparator" w:id="0">
    <w:p w:rsidR="00A456D6" w:rsidRDefault="00A45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857678"/>
      <w:docPartObj>
        <w:docPartGallery w:val="Page Numbers (Top of Page)"/>
        <w:docPartUnique/>
      </w:docPartObj>
    </w:sdtPr>
    <w:sdtEndPr>
      <w:rPr>
        <w:noProof/>
        <w:sz w:val="22"/>
      </w:rPr>
    </w:sdtEndPr>
    <w:sdtContent>
      <w:p w:rsidR="0051108F" w:rsidRDefault="00294C13" w:rsidP="00294C13">
        <w:pPr>
          <w:pStyle w:val="Header"/>
          <w:jc w:val="center"/>
        </w:pPr>
        <w:r>
          <w:rPr>
            <w:sz w:val="18"/>
            <w:szCs w:val="18"/>
          </w:rPr>
          <w:t>-</w:t>
        </w:r>
        <w:r w:rsidR="001A7D2C">
          <w:rPr>
            <w:sz w:val="18"/>
            <w:szCs w:val="18"/>
          </w:rPr>
          <w:t xml:space="preserve"> </w:t>
        </w:r>
        <w:r>
          <w:rPr>
            <w:sz w:val="18"/>
            <w:szCs w:val="18"/>
          </w:rPr>
          <w:t>2</w:t>
        </w:r>
        <w:r w:rsidR="001A7D2C">
          <w:rPr>
            <w:sz w:val="18"/>
            <w:szCs w:val="18"/>
          </w:rPr>
          <w:t xml:space="preserve"> </w:t>
        </w:r>
        <w:r>
          <w:rPr>
            <w:sz w:val="18"/>
            <w:szCs w:val="18"/>
          </w:rPr>
          <w:t>-</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298019"/>
      <w:docPartObj>
        <w:docPartGallery w:val="Page Numbers (Top of Page)"/>
        <w:docPartUnique/>
      </w:docPartObj>
    </w:sdtPr>
    <w:sdtEndPr>
      <w:rPr>
        <w:noProof/>
        <w:sz w:val="18"/>
        <w:szCs w:val="18"/>
      </w:rPr>
    </w:sdtEndPr>
    <w:sdtContent>
      <w:p w:rsidR="00E915AF" w:rsidRPr="008A3C5C" w:rsidRDefault="008A3C5C" w:rsidP="008A3C5C">
        <w:pPr>
          <w:pStyle w:val="Header"/>
          <w:numPr>
            <w:ilvl w:val="0"/>
            <w:numId w:val="3"/>
          </w:numPr>
          <w:rPr>
            <w:sz w:val="18"/>
            <w:szCs w:val="18"/>
          </w:rPr>
        </w:pPr>
        <w:r w:rsidRPr="008A3C5C">
          <w:rPr>
            <w:sz w:val="18"/>
            <w:szCs w:val="18"/>
          </w:rPr>
          <w:fldChar w:fldCharType="begin"/>
        </w:r>
        <w:r w:rsidRPr="008A3C5C">
          <w:rPr>
            <w:sz w:val="18"/>
            <w:szCs w:val="18"/>
          </w:rPr>
          <w:instrText xml:space="preserve"> PAGE   \* MERGEFORMAT </w:instrText>
        </w:r>
        <w:r w:rsidRPr="008A3C5C">
          <w:rPr>
            <w:sz w:val="18"/>
            <w:szCs w:val="18"/>
          </w:rPr>
          <w:fldChar w:fldCharType="separate"/>
        </w:r>
        <w:r w:rsidR="00B804E6">
          <w:rPr>
            <w:noProof/>
            <w:sz w:val="18"/>
            <w:szCs w:val="18"/>
          </w:rPr>
          <w:t>3</w:t>
        </w:r>
        <w:r w:rsidRPr="008A3C5C">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2B09" w:rsidTr="00EA0353">
      <w:tc>
        <w:tcPr>
          <w:tcW w:w="5031" w:type="dxa"/>
        </w:tcPr>
        <w:p w:rsidR="00DA2B09" w:rsidRDefault="00DA2B09" w:rsidP="00DA2B09">
          <w:pPr>
            <w:pStyle w:val="Header"/>
            <w:tabs>
              <w:tab w:val="clear" w:pos="794"/>
              <w:tab w:val="clear" w:pos="4820"/>
            </w:tabs>
            <w:spacing w:before="120" w:line="360" w:lineRule="auto"/>
          </w:pPr>
          <w:r>
            <w:rPr>
              <w:b/>
              <w:bCs/>
              <w:noProof/>
              <w:lang w:val="en-GB" w:eastAsia="zh-CN"/>
            </w:rPr>
            <w:drawing>
              <wp:inline distT="0" distB="0" distL="0" distR="0" wp14:anchorId="764E4FC4" wp14:editId="3557103C">
                <wp:extent cx="579396" cy="65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2B09" w:rsidRDefault="00DA2B09" w:rsidP="00DA2B09">
          <w:pPr>
            <w:pStyle w:val="Header"/>
            <w:tabs>
              <w:tab w:val="clear" w:pos="794"/>
              <w:tab w:val="clear" w:pos="4820"/>
            </w:tabs>
            <w:spacing w:line="360" w:lineRule="auto"/>
            <w:jc w:val="right"/>
          </w:pPr>
          <w:r w:rsidRPr="00975D6F">
            <w:rPr>
              <w:rFonts w:cs="Arial"/>
              <w:noProof/>
              <w:lang w:val="en-GB" w:eastAsia="zh-CN"/>
            </w:rPr>
            <w:drawing>
              <wp:inline distT="0" distB="0" distL="0" distR="0" wp14:anchorId="6816955A" wp14:editId="456C8971">
                <wp:extent cx="1017905" cy="925067"/>
                <wp:effectExtent l="0" t="0" r="0" b="889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BA072F" w:rsidRDefault="00E915AF" w:rsidP="00BA07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94" w:rsidRPr="00A93E55" w:rsidRDefault="00860794" w:rsidP="003E0C46">
    <w:pPr>
      <w:pStyle w:val="Header"/>
      <w:ind w:left="1080"/>
      <w:rPr>
        <w:sz w:val="18"/>
        <w:szCs w:val="18"/>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5F7B30"/>
    <w:multiLevelType w:val="hybridMultilevel"/>
    <w:tmpl w:val="D12C0A8E"/>
    <w:lvl w:ilvl="0" w:tplc="A7E21E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3396F"/>
    <w:multiLevelType w:val="hybridMultilevel"/>
    <w:tmpl w:val="34AC0A74"/>
    <w:lvl w:ilvl="0" w:tplc="7B54CE7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CA2921"/>
    <w:multiLevelType w:val="hybridMultilevel"/>
    <w:tmpl w:val="32B81CC4"/>
    <w:lvl w:ilvl="0" w:tplc="650E2D9C">
      <w:start w:val="1"/>
      <w:numFmt w:val="decimal"/>
      <w:lvlText w:val="%1)"/>
      <w:lvlJc w:val="left"/>
      <w:pPr>
        <w:ind w:left="1154" w:hanging="360"/>
      </w:pPr>
      <w:rPr>
        <w:rFonts w:hint="default"/>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7" w15:restartNumberingAfterBreak="0">
    <w:nsid w:val="340D09C5"/>
    <w:multiLevelType w:val="hybridMultilevel"/>
    <w:tmpl w:val="CB6C7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85098"/>
    <w:multiLevelType w:val="hybridMultilevel"/>
    <w:tmpl w:val="05167482"/>
    <w:lvl w:ilvl="0" w:tplc="B45A8C40">
      <w:numFmt w:val="bullet"/>
      <w:lvlText w:val="-"/>
      <w:lvlJc w:val="left"/>
      <w:pPr>
        <w:ind w:left="5064" w:hanging="360"/>
      </w:pPr>
      <w:rPr>
        <w:rFonts w:ascii="Calibri" w:eastAsia="Times New Roman" w:hAnsi="Calibri" w:cs="Calibri" w:hint="default"/>
      </w:rPr>
    </w:lvl>
    <w:lvl w:ilvl="1" w:tplc="04090003" w:tentative="1">
      <w:start w:val="1"/>
      <w:numFmt w:val="bullet"/>
      <w:lvlText w:val="o"/>
      <w:lvlJc w:val="left"/>
      <w:pPr>
        <w:ind w:left="5784" w:hanging="360"/>
      </w:pPr>
      <w:rPr>
        <w:rFonts w:ascii="Courier New" w:hAnsi="Courier New" w:cs="Courier New" w:hint="default"/>
      </w:rPr>
    </w:lvl>
    <w:lvl w:ilvl="2" w:tplc="04090005" w:tentative="1">
      <w:start w:val="1"/>
      <w:numFmt w:val="bullet"/>
      <w:lvlText w:val=""/>
      <w:lvlJc w:val="left"/>
      <w:pPr>
        <w:ind w:left="6504" w:hanging="360"/>
      </w:pPr>
      <w:rPr>
        <w:rFonts w:ascii="Wingdings" w:hAnsi="Wingdings" w:hint="default"/>
      </w:rPr>
    </w:lvl>
    <w:lvl w:ilvl="3" w:tplc="04090001" w:tentative="1">
      <w:start w:val="1"/>
      <w:numFmt w:val="bullet"/>
      <w:lvlText w:val=""/>
      <w:lvlJc w:val="left"/>
      <w:pPr>
        <w:ind w:left="7224" w:hanging="360"/>
      </w:pPr>
      <w:rPr>
        <w:rFonts w:ascii="Symbol" w:hAnsi="Symbol" w:hint="default"/>
      </w:rPr>
    </w:lvl>
    <w:lvl w:ilvl="4" w:tplc="04090003" w:tentative="1">
      <w:start w:val="1"/>
      <w:numFmt w:val="bullet"/>
      <w:lvlText w:val="o"/>
      <w:lvlJc w:val="left"/>
      <w:pPr>
        <w:ind w:left="7944" w:hanging="360"/>
      </w:pPr>
      <w:rPr>
        <w:rFonts w:ascii="Courier New" w:hAnsi="Courier New" w:cs="Courier New" w:hint="default"/>
      </w:rPr>
    </w:lvl>
    <w:lvl w:ilvl="5" w:tplc="04090005" w:tentative="1">
      <w:start w:val="1"/>
      <w:numFmt w:val="bullet"/>
      <w:lvlText w:val=""/>
      <w:lvlJc w:val="left"/>
      <w:pPr>
        <w:ind w:left="8664" w:hanging="360"/>
      </w:pPr>
      <w:rPr>
        <w:rFonts w:ascii="Wingdings" w:hAnsi="Wingdings" w:hint="default"/>
      </w:rPr>
    </w:lvl>
    <w:lvl w:ilvl="6" w:tplc="04090001" w:tentative="1">
      <w:start w:val="1"/>
      <w:numFmt w:val="bullet"/>
      <w:lvlText w:val=""/>
      <w:lvlJc w:val="left"/>
      <w:pPr>
        <w:ind w:left="9384" w:hanging="360"/>
      </w:pPr>
      <w:rPr>
        <w:rFonts w:ascii="Symbol" w:hAnsi="Symbol" w:hint="default"/>
      </w:rPr>
    </w:lvl>
    <w:lvl w:ilvl="7" w:tplc="04090003" w:tentative="1">
      <w:start w:val="1"/>
      <w:numFmt w:val="bullet"/>
      <w:lvlText w:val="o"/>
      <w:lvlJc w:val="left"/>
      <w:pPr>
        <w:ind w:left="10104" w:hanging="360"/>
      </w:pPr>
      <w:rPr>
        <w:rFonts w:ascii="Courier New" w:hAnsi="Courier New" w:cs="Courier New" w:hint="default"/>
      </w:rPr>
    </w:lvl>
    <w:lvl w:ilvl="8" w:tplc="04090005" w:tentative="1">
      <w:start w:val="1"/>
      <w:numFmt w:val="bullet"/>
      <w:lvlText w:val=""/>
      <w:lvlJc w:val="left"/>
      <w:pPr>
        <w:ind w:left="10824" w:hanging="360"/>
      </w:pPr>
      <w:rPr>
        <w:rFonts w:ascii="Wingdings" w:hAnsi="Wingdings" w:hint="default"/>
      </w:rPr>
    </w:lvl>
  </w:abstractNum>
  <w:abstractNum w:abstractNumId="9"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64" w:dllVersion="131078" w:nlCheck="1" w:checkStyle="0"/>
  <w:activeWritingStyle w:appName="MSWord" w:lang="fr-CH"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D7459"/>
    <w:rsid w:val="000064F7"/>
    <w:rsid w:val="00006A31"/>
    <w:rsid w:val="00006C82"/>
    <w:rsid w:val="00010E30"/>
    <w:rsid w:val="00012C68"/>
    <w:rsid w:val="00013F8B"/>
    <w:rsid w:val="00015C76"/>
    <w:rsid w:val="000176D7"/>
    <w:rsid w:val="00026CF8"/>
    <w:rsid w:val="00030BD7"/>
    <w:rsid w:val="000313C3"/>
    <w:rsid w:val="00031E64"/>
    <w:rsid w:val="00034340"/>
    <w:rsid w:val="00036A4A"/>
    <w:rsid w:val="000370AE"/>
    <w:rsid w:val="000407E8"/>
    <w:rsid w:val="00045A8D"/>
    <w:rsid w:val="0005167A"/>
    <w:rsid w:val="00054E5D"/>
    <w:rsid w:val="00070258"/>
    <w:rsid w:val="0007323C"/>
    <w:rsid w:val="000763F5"/>
    <w:rsid w:val="00086D03"/>
    <w:rsid w:val="000876EE"/>
    <w:rsid w:val="000A096A"/>
    <w:rsid w:val="000A375E"/>
    <w:rsid w:val="000A7051"/>
    <w:rsid w:val="000B0AF6"/>
    <w:rsid w:val="000B0E9B"/>
    <w:rsid w:val="000B2CAE"/>
    <w:rsid w:val="000C03C7"/>
    <w:rsid w:val="000C2AD0"/>
    <w:rsid w:val="000C4D65"/>
    <w:rsid w:val="000E0580"/>
    <w:rsid w:val="000E3DEE"/>
    <w:rsid w:val="000F6E6D"/>
    <w:rsid w:val="00100B72"/>
    <w:rsid w:val="0010129D"/>
    <w:rsid w:val="00101F7D"/>
    <w:rsid w:val="00103C76"/>
    <w:rsid w:val="00104C35"/>
    <w:rsid w:val="0011265F"/>
    <w:rsid w:val="00117282"/>
    <w:rsid w:val="00117389"/>
    <w:rsid w:val="00121C2D"/>
    <w:rsid w:val="00130EDE"/>
    <w:rsid w:val="00134404"/>
    <w:rsid w:val="00144DFB"/>
    <w:rsid w:val="001516A0"/>
    <w:rsid w:val="00177970"/>
    <w:rsid w:val="00187CA3"/>
    <w:rsid w:val="00196710"/>
    <w:rsid w:val="00197324"/>
    <w:rsid w:val="001A0A41"/>
    <w:rsid w:val="001A7D2C"/>
    <w:rsid w:val="001B351B"/>
    <w:rsid w:val="001C06DB"/>
    <w:rsid w:val="001C6971"/>
    <w:rsid w:val="001D2785"/>
    <w:rsid w:val="001D4B24"/>
    <w:rsid w:val="001D7070"/>
    <w:rsid w:val="001D7459"/>
    <w:rsid w:val="001F2170"/>
    <w:rsid w:val="001F3948"/>
    <w:rsid w:val="001F5A49"/>
    <w:rsid w:val="00201097"/>
    <w:rsid w:val="00201B6E"/>
    <w:rsid w:val="00221F85"/>
    <w:rsid w:val="002302B3"/>
    <w:rsid w:val="00230C66"/>
    <w:rsid w:val="00235A29"/>
    <w:rsid w:val="00236015"/>
    <w:rsid w:val="00241526"/>
    <w:rsid w:val="002443A2"/>
    <w:rsid w:val="00266E74"/>
    <w:rsid w:val="00281945"/>
    <w:rsid w:val="00283C3B"/>
    <w:rsid w:val="002861E6"/>
    <w:rsid w:val="00287D18"/>
    <w:rsid w:val="00294C13"/>
    <w:rsid w:val="002A0614"/>
    <w:rsid w:val="002A2618"/>
    <w:rsid w:val="002A5DD7"/>
    <w:rsid w:val="002B0CAC"/>
    <w:rsid w:val="002B1536"/>
    <w:rsid w:val="002B6696"/>
    <w:rsid w:val="002D5A15"/>
    <w:rsid w:val="002D5BDD"/>
    <w:rsid w:val="002E3D27"/>
    <w:rsid w:val="002E6BA2"/>
    <w:rsid w:val="002F0890"/>
    <w:rsid w:val="002F2531"/>
    <w:rsid w:val="002F4967"/>
    <w:rsid w:val="00316935"/>
    <w:rsid w:val="0032278F"/>
    <w:rsid w:val="0032557F"/>
    <w:rsid w:val="003266ED"/>
    <w:rsid w:val="003370B8"/>
    <w:rsid w:val="00345D38"/>
    <w:rsid w:val="00352097"/>
    <w:rsid w:val="003666FF"/>
    <w:rsid w:val="0037309C"/>
    <w:rsid w:val="00380A6E"/>
    <w:rsid w:val="003836D4"/>
    <w:rsid w:val="00385AE7"/>
    <w:rsid w:val="00397261"/>
    <w:rsid w:val="003A1F49"/>
    <w:rsid w:val="003A5D52"/>
    <w:rsid w:val="003B2BDA"/>
    <w:rsid w:val="003B55EC"/>
    <w:rsid w:val="003C2EA7"/>
    <w:rsid w:val="003C4471"/>
    <w:rsid w:val="003C7D41"/>
    <w:rsid w:val="003D4A69"/>
    <w:rsid w:val="003E0C46"/>
    <w:rsid w:val="003E0FDB"/>
    <w:rsid w:val="003E504F"/>
    <w:rsid w:val="003E765E"/>
    <w:rsid w:val="003E78D6"/>
    <w:rsid w:val="00400573"/>
    <w:rsid w:val="004007A3"/>
    <w:rsid w:val="00404150"/>
    <w:rsid w:val="00406D71"/>
    <w:rsid w:val="004326DB"/>
    <w:rsid w:val="0043682E"/>
    <w:rsid w:val="00447B04"/>
    <w:rsid w:val="00447ECB"/>
    <w:rsid w:val="004623F7"/>
    <w:rsid w:val="00480F51"/>
    <w:rsid w:val="00481124"/>
    <w:rsid w:val="004815EB"/>
    <w:rsid w:val="00487569"/>
    <w:rsid w:val="00496864"/>
    <w:rsid w:val="00496920"/>
    <w:rsid w:val="004A4496"/>
    <w:rsid w:val="004A659D"/>
    <w:rsid w:val="004B11AB"/>
    <w:rsid w:val="004B2E72"/>
    <w:rsid w:val="004B733D"/>
    <w:rsid w:val="004B7C9A"/>
    <w:rsid w:val="004C6779"/>
    <w:rsid w:val="004D13BD"/>
    <w:rsid w:val="004D733B"/>
    <w:rsid w:val="004E0DC4"/>
    <w:rsid w:val="004E0FB5"/>
    <w:rsid w:val="004E20A8"/>
    <w:rsid w:val="004E43BB"/>
    <w:rsid w:val="004E460D"/>
    <w:rsid w:val="004F178E"/>
    <w:rsid w:val="004F4543"/>
    <w:rsid w:val="004F57BB"/>
    <w:rsid w:val="00505309"/>
    <w:rsid w:val="0050789B"/>
    <w:rsid w:val="0051108F"/>
    <w:rsid w:val="005224A1"/>
    <w:rsid w:val="00534372"/>
    <w:rsid w:val="00543DF8"/>
    <w:rsid w:val="00546101"/>
    <w:rsid w:val="00547962"/>
    <w:rsid w:val="005517EF"/>
    <w:rsid w:val="00553210"/>
    <w:rsid w:val="00553DD7"/>
    <w:rsid w:val="005564EE"/>
    <w:rsid w:val="005638CF"/>
    <w:rsid w:val="0056741E"/>
    <w:rsid w:val="005722A7"/>
    <w:rsid w:val="0057325A"/>
    <w:rsid w:val="0057469A"/>
    <w:rsid w:val="005775B5"/>
    <w:rsid w:val="00580814"/>
    <w:rsid w:val="00583A0B"/>
    <w:rsid w:val="005A03A3"/>
    <w:rsid w:val="005A2B92"/>
    <w:rsid w:val="005A79E9"/>
    <w:rsid w:val="005B214C"/>
    <w:rsid w:val="005D3669"/>
    <w:rsid w:val="005E5EB3"/>
    <w:rsid w:val="005F3CB6"/>
    <w:rsid w:val="005F4CBB"/>
    <w:rsid w:val="005F657C"/>
    <w:rsid w:val="00602D53"/>
    <w:rsid w:val="006047E5"/>
    <w:rsid w:val="00621096"/>
    <w:rsid w:val="00623DCD"/>
    <w:rsid w:val="006258A9"/>
    <w:rsid w:val="00637BF2"/>
    <w:rsid w:val="0064371D"/>
    <w:rsid w:val="00650B2A"/>
    <w:rsid w:val="00651777"/>
    <w:rsid w:val="0065487B"/>
    <w:rsid w:val="006550F8"/>
    <w:rsid w:val="00656226"/>
    <w:rsid w:val="00662A6B"/>
    <w:rsid w:val="006829F3"/>
    <w:rsid w:val="006A518B"/>
    <w:rsid w:val="006A581D"/>
    <w:rsid w:val="006A5FFC"/>
    <w:rsid w:val="006B0590"/>
    <w:rsid w:val="006B49DA"/>
    <w:rsid w:val="006C53F8"/>
    <w:rsid w:val="006C787F"/>
    <w:rsid w:val="006C7CDE"/>
    <w:rsid w:val="006E5A3E"/>
    <w:rsid w:val="007167D9"/>
    <w:rsid w:val="007234B1"/>
    <w:rsid w:val="00723D08"/>
    <w:rsid w:val="00725FDA"/>
    <w:rsid w:val="00727816"/>
    <w:rsid w:val="00730B9A"/>
    <w:rsid w:val="00733E2E"/>
    <w:rsid w:val="007439CF"/>
    <w:rsid w:val="00750CFA"/>
    <w:rsid w:val="00752091"/>
    <w:rsid w:val="007553DA"/>
    <w:rsid w:val="00782354"/>
    <w:rsid w:val="00782718"/>
    <w:rsid w:val="00782BAD"/>
    <w:rsid w:val="007921A7"/>
    <w:rsid w:val="00794B57"/>
    <w:rsid w:val="007A754E"/>
    <w:rsid w:val="007B3DB1"/>
    <w:rsid w:val="007C4AB2"/>
    <w:rsid w:val="007C731D"/>
    <w:rsid w:val="007D183E"/>
    <w:rsid w:val="007D43D0"/>
    <w:rsid w:val="007D4579"/>
    <w:rsid w:val="007D4FF9"/>
    <w:rsid w:val="007E1833"/>
    <w:rsid w:val="007E3F13"/>
    <w:rsid w:val="007F751A"/>
    <w:rsid w:val="00800012"/>
    <w:rsid w:val="00801328"/>
    <w:rsid w:val="0080251E"/>
    <w:rsid w:val="0080261F"/>
    <w:rsid w:val="00806160"/>
    <w:rsid w:val="008143A4"/>
    <w:rsid w:val="0081513E"/>
    <w:rsid w:val="00832E3A"/>
    <w:rsid w:val="008376CE"/>
    <w:rsid w:val="00841B33"/>
    <w:rsid w:val="00844956"/>
    <w:rsid w:val="00846FCB"/>
    <w:rsid w:val="00854131"/>
    <w:rsid w:val="0085652D"/>
    <w:rsid w:val="008576F8"/>
    <w:rsid w:val="00860794"/>
    <w:rsid w:val="0086162D"/>
    <w:rsid w:val="0087694B"/>
    <w:rsid w:val="00880F4D"/>
    <w:rsid w:val="008A3C5C"/>
    <w:rsid w:val="008B0205"/>
    <w:rsid w:val="008B1693"/>
    <w:rsid w:val="008B35A3"/>
    <w:rsid w:val="008B37E1"/>
    <w:rsid w:val="008B45F8"/>
    <w:rsid w:val="008C2E74"/>
    <w:rsid w:val="008D1F6C"/>
    <w:rsid w:val="008D47D1"/>
    <w:rsid w:val="008D5409"/>
    <w:rsid w:val="008D5815"/>
    <w:rsid w:val="008E006D"/>
    <w:rsid w:val="008E38B4"/>
    <w:rsid w:val="008E47E0"/>
    <w:rsid w:val="008F4F21"/>
    <w:rsid w:val="00904D4A"/>
    <w:rsid w:val="009151BA"/>
    <w:rsid w:val="00925023"/>
    <w:rsid w:val="009274C5"/>
    <w:rsid w:val="009277BC"/>
    <w:rsid w:val="00927D57"/>
    <w:rsid w:val="00931A51"/>
    <w:rsid w:val="00947185"/>
    <w:rsid w:val="009518B3"/>
    <w:rsid w:val="00963D9D"/>
    <w:rsid w:val="0098013E"/>
    <w:rsid w:val="00981B54"/>
    <w:rsid w:val="009842C3"/>
    <w:rsid w:val="009A009A"/>
    <w:rsid w:val="009A3DFF"/>
    <w:rsid w:val="009A6BB6"/>
    <w:rsid w:val="009B2A24"/>
    <w:rsid w:val="009B3F43"/>
    <w:rsid w:val="009B5CFA"/>
    <w:rsid w:val="009C161F"/>
    <w:rsid w:val="009C56B4"/>
    <w:rsid w:val="009D51A2"/>
    <w:rsid w:val="009E04A8"/>
    <w:rsid w:val="009E4AEC"/>
    <w:rsid w:val="009E567C"/>
    <w:rsid w:val="009E5BD8"/>
    <w:rsid w:val="009E681E"/>
    <w:rsid w:val="00A119E6"/>
    <w:rsid w:val="00A20FBC"/>
    <w:rsid w:val="00A31370"/>
    <w:rsid w:val="00A34D6F"/>
    <w:rsid w:val="00A41F91"/>
    <w:rsid w:val="00A43326"/>
    <w:rsid w:val="00A43C7A"/>
    <w:rsid w:val="00A456D6"/>
    <w:rsid w:val="00A63355"/>
    <w:rsid w:val="00A7596D"/>
    <w:rsid w:val="00A84CB2"/>
    <w:rsid w:val="00A93E55"/>
    <w:rsid w:val="00A963DF"/>
    <w:rsid w:val="00AC0C22"/>
    <w:rsid w:val="00AC3896"/>
    <w:rsid w:val="00AD2CF2"/>
    <w:rsid w:val="00AE2872"/>
    <w:rsid w:val="00AE2D88"/>
    <w:rsid w:val="00AE68D3"/>
    <w:rsid w:val="00AE6F6F"/>
    <w:rsid w:val="00AF3325"/>
    <w:rsid w:val="00AF34D9"/>
    <w:rsid w:val="00AF70DA"/>
    <w:rsid w:val="00B019D3"/>
    <w:rsid w:val="00B13E4C"/>
    <w:rsid w:val="00B14301"/>
    <w:rsid w:val="00B15D66"/>
    <w:rsid w:val="00B34CF9"/>
    <w:rsid w:val="00B37559"/>
    <w:rsid w:val="00B4054B"/>
    <w:rsid w:val="00B579B0"/>
    <w:rsid w:val="00B57D11"/>
    <w:rsid w:val="00B6398D"/>
    <w:rsid w:val="00B649D7"/>
    <w:rsid w:val="00B6552B"/>
    <w:rsid w:val="00B67013"/>
    <w:rsid w:val="00B72D59"/>
    <w:rsid w:val="00B804E6"/>
    <w:rsid w:val="00B81C2F"/>
    <w:rsid w:val="00B90743"/>
    <w:rsid w:val="00B90C45"/>
    <w:rsid w:val="00B933BE"/>
    <w:rsid w:val="00BA072F"/>
    <w:rsid w:val="00BD28C5"/>
    <w:rsid w:val="00BD6738"/>
    <w:rsid w:val="00BD7E5E"/>
    <w:rsid w:val="00BE021F"/>
    <w:rsid w:val="00BE35C0"/>
    <w:rsid w:val="00BE63DB"/>
    <w:rsid w:val="00BE6574"/>
    <w:rsid w:val="00BF58EA"/>
    <w:rsid w:val="00C07319"/>
    <w:rsid w:val="00C14479"/>
    <w:rsid w:val="00C16FD2"/>
    <w:rsid w:val="00C264BF"/>
    <w:rsid w:val="00C26A24"/>
    <w:rsid w:val="00C4395E"/>
    <w:rsid w:val="00C47FFD"/>
    <w:rsid w:val="00C51E92"/>
    <w:rsid w:val="00C52AE6"/>
    <w:rsid w:val="00C57E2C"/>
    <w:rsid w:val="00C608B7"/>
    <w:rsid w:val="00C616DE"/>
    <w:rsid w:val="00C66F24"/>
    <w:rsid w:val="00C76D7F"/>
    <w:rsid w:val="00C813AA"/>
    <w:rsid w:val="00C818D7"/>
    <w:rsid w:val="00C85C3C"/>
    <w:rsid w:val="00C865D7"/>
    <w:rsid w:val="00C87BB0"/>
    <w:rsid w:val="00C9291E"/>
    <w:rsid w:val="00CA3F44"/>
    <w:rsid w:val="00CA4E58"/>
    <w:rsid w:val="00CB3771"/>
    <w:rsid w:val="00CB44BF"/>
    <w:rsid w:val="00CB5153"/>
    <w:rsid w:val="00CD4E44"/>
    <w:rsid w:val="00CE076A"/>
    <w:rsid w:val="00CE463D"/>
    <w:rsid w:val="00CF720A"/>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2B09"/>
    <w:rsid w:val="00DA4037"/>
    <w:rsid w:val="00DD18EE"/>
    <w:rsid w:val="00DE66A5"/>
    <w:rsid w:val="00DF2B50"/>
    <w:rsid w:val="00E04C86"/>
    <w:rsid w:val="00E17344"/>
    <w:rsid w:val="00E20F30"/>
    <w:rsid w:val="00E2189C"/>
    <w:rsid w:val="00E25BB1"/>
    <w:rsid w:val="00E27BBA"/>
    <w:rsid w:val="00E30E3F"/>
    <w:rsid w:val="00E3253D"/>
    <w:rsid w:val="00E35E8F"/>
    <w:rsid w:val="00E428AB"/>
    <w:rsid w:val="00E438E8"/>
    <w:rsid w:val="00E453A3"/>
    <w:rsid w:val="00E520E2"/>
    <w:rsid w:val="00E530C4"/>
    <w:rsid w:val="00E55996"/>
    <w:rsid w:val="00E56396"/>
    <w:rsid w:val="00E64254"/>
    <w:rsid w:val="00E67928"/>
    <w:rsid w:val="00E70FB5"/>
    <w:rsid w:val="00E915AF"/>
    <w:rsid w:val="00E96415"/>
    <w:rsid w:val="00EA15B3"/>
    <w:rsid w:val="00EA73C5"/>
    <w:rsid w:val="00EB2358"/>
    <w:rsid w:val="00EB3EB8"/>
    <w:rsid w:val="00EC02FE"/>
    <w:rsid w:val="00EC4A96"/>
    <w:rsid w:val="00EC5E88"/>
    <w:rsid w:val="00EE5A42"/>
    <w:rsid w:val="00EF1C72"/>
    <w:rsid w:val="00F044FA"/>
    <w:rsid w:val="00F37EDE"/>
    <w:rsid w:val="00F424BF"/>
    <w:rsid w:val="00F44FC3"/>
    <w:rsid w:val="00F46107"/>
    <w:rsid w:val="00F468C5"/>
    <w:rsid w:val="00F50823"/>
    <w:rsid w:val="00F52F39"/>
    <w:rsid w:val="00F57FCC"/>
    <w:rsid w:val="00F6184F"/>
    <w:rsid w:val="00F8310E"/>
    <w:rsid w:val="00F90707"/>
    <w:rsid w:val="00F914DD"/>
    <w:rsid w:val="00FA2358"/>
    <w:rsid w:val="00FB2592"/>
    <w:rsid w:val="00FB2810"/>
    <w:rsid w:val="00FB7A2C"/>
    <w:rsid w:val="00FC2947"/>
    <w:rsid w:val="00FC6F6B"/>
    <w:rsid w:val="00FE0818"/>
    <w:rsid w:val="00FE0861"/>
    <w:rsid w:val="00FE08D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6BFB863-1CA5-463B-B485-26D0E63A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1108F"/>
    <w:rPr>
      <w:sz w:val="24"/>
      <w:szCs w:val="22"/>
      <w:lang w:val="en-US" w:eastAsia="en-US"/>
    </w:rPr>
  </w:style>
  <w:style w:type="paragraph" w:styleId="ListParagraph">
    <w:name w:val="List Paragraph"/>
    <w:basedOn w:val="Normal"/>
    <w:uiPriority w:val="34"/>
    <w:qFormat/>
    <w:rsid w:val="000876EE"/>
    <w:pPr>
      <w:ind w:left="720"/>
      <w:contextualSpacing/>
    </w:pPr>
  </w:style>
  <w:style w:type="character" w:styleId="FollowedHyperlink">
    <w:name w:val="FollowedHyperlink"/>
    <w:basedOn w:val="DefaultParagraphFont"/>
    <w:semiHidden/>
    <w:unhideWhenUsed/>
    <w:rsid w:val="008449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84686">
      <w:bodyDiv w:val="1"/>
      <w:marLeft w:val="0"/>
      <w:marRight w:val="0"/>
      <w:marTop w:val="0"/>
      <w:marBottom w:val="0"/>
      <w:divBdr>
        <w:top w:val="none" w:sz="0" w:space="0" w:color="auto"/>
        <w:left w:val="none" w:sz="0" w:space="0" w:color="auto"/>
        <w:bottom w:val="none" w:sz="0" w:space="0" w:color="auto"/>
        <w:right w:val="none" w:sz="0" w:space="0" w:color="auto"/>
      </w:divBdr>
    </w:div>
    <w:div w:id="103501013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23591434">
      <w:bodyDiv w:val="1"/>
      <w:marLeft w:val="0"/>
      <w:marRight w:val="0"/>
      <w:marTop w:val="0"/>
      <w:marBottom w:val="0"/>
      <w:divBdr>
        <w:top w:val="none" w:sz="0" w:space="0" w:color="auto"/>
        <w:left w:val="none" w:sz="0" w:space="0" w:color="auto"/>
        <w:bottom w:val="none" w:sz="0" w:space="0" w:color="auto"/>
        <w:right w:val="none" w:sz="0" w:space="0" w:color="auto"/>
      </w:divBdr>
    </w:div>
    <w:div w:id="207500582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net4/ITU-R/noq" TargetMode="Externa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package" Target="embeddings/Microsoft_Visio_Drawing11111111111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brmail@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go/note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287BF-A18F-4C94-B45D-C995EF12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12</TotalTime>
  <Pages>4</Pages>
  <Words>744</Words>
  <Characters>4446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Anghelone, Christine</cp:lastModifiedBy>
  <cp:revision>11</cp:revision>
  <cp:lastPrinted>2016-03-30T14:38:00Z</cp:lastPrinted>
  <dcterms:created xsi:type="dcterms:W3CDTF">2016-03-30T15:15:00Z</dcterms:created>
  <dcterms:modified xsi:type="dcterms:W3CDTF">2016-04-06T14:15:00Z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