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C05C60" w:rsidTr="003B65BD">
        <w:tc>
          <w:tcPr>
            <w:tcW w:w="5000" w:type="pct"/>
            <w:gridSpan w:val="3"/>
            <w:shd w:val="clear" w:color="auto" w:fill="auto"/>
          </w:tcPr>
          <w:p w:rsidR="00F36590" w:rsidRPr="00C05C6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C05C6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C05C6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C05C6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C05C6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C05C6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C05C6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C05C6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C05C60" w:rsidTr="003B65BD">
        <w:tc>
          <w:tcPr>
            <w:tcW w:w="5000" w:type="pct"/>
            <w:gridSpan w:val="3"/>
            <w:shd w:val="clear" w:color="auto" w:fill="auto"/>
          </w:tcPr>
          <w:p w:rsidR="00F36590" w:rsidRPr="00C05C6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C05C60" w:rsidTr="003B65BD">
        <w:tc>
          <w:tcPr>
            <w:tcW w:w="2707" w:type="pct"/>
            <w:gridSpan w:val="2"/>
            <w:shd w:val="clear" w:color="auto" w:fill="auto"/>
          </w:tcPr>
          <w:p w:rsidR="00F36590" w:rsidRPr="00C05C6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C05C6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C05C60" w:rsidRDefault="00C05C60" w:rsidP="00C05C60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F36590" w:rsidRPr="00C05C6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397</w:t>
            </w:r>
          </w:p>
        </w:tc>
        <w:tc>
          <w:tcPr>
            <w:tcW w:w="2293" w:type="pct"/>
            <w:shd w:val="clear" w:color="auto" w:fill="auto"/>
          </w:tcPr>
          <w:p w:rsidR="00F36590" w:rsidRPr="00C05C60" w:rsidRDefault="008F1022" w:rsidP="00083A9A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8</w:t>
            </w:r>
            <w:r w:rsidR="00C05C60">
              <w:rPr>
                <w:rFonts w:hint="cs"/>
                <w:rtl/>
                <w:lang w:val="fr-FR" w:bidi="ar-SY"/>
              </w:rPr>
              <w:t xml:space="preserve"> أبريل </w:t>
            </w:r>
            <w:r w:rsidR="00F36590" w:rsidRPr="00C05C60">
              <w:rPr>
                <w:lang w:bidi="ar-SY"/>
              </w:rPr>
              <w:t>201</w:t>
            </w:r>
            <w:r w:rsidR="00083A9A" w:rsidRPr="00C05C60">
              <w:rPr>
                <w:lang w:bidi="ar-SY"/>
              </w:rPr>
              <w:t>6</w:t>
            </w:r>
          </w:p>
        </w:tc>
      </w:tr>
      <w:tr w:rsidR="00F36590" w:rsidRPr="00C05C60" w:rsidTr="003B65BD">
        <w:tc>
          <w:tcPr>
            <w:tcW w:w="5000" w:type="pct"/>
            <w:gridSpan w:val="3"/>
            <w:shd w:val="clear" w:color="auto" w:fill="auto"/>
          </w:tcPr>
          <w:p w:rsidR="00F36590" w:rsidRPr="00C05C60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C05C60" w:rsidTr="003B65BD">
        <w:tc>
          <w:tcPr>
            <w:tcW w:w="5000" w:type="pct"/>
            <w:gridSpan w:val="3"/>
            <w:shd w:val="clear" w:color="auto" w:fill="auto"/>
          </w:tcPr>
          <w:p w:rsidR="00F36590" w:rsidRPr="00C05C60" w:rsidRDefault="00F36590" w:rsidP="006D2981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C05C60">
              <w:rPr>
                <w:b/>
                <w:bCs/>
                <w:rtl/>
              </w:rPr>
              <w:t>إلى إدارات الدول الأعضاء في الات</w:t>
            </w:r>
            <w:r w:rsidRPr="00C05C60">
              <w:rPr>
                <w:rFonts w:hint="cs"/>
                <w:b/>
                <w:bCs/>
                <w:rtl/>
              </w:rPr>
              <w:t>‍</w:t>
            </w:r>
            <w:r w:rsidRPr="00C05C60">
              <w:rPr>
                <w:b/>
                <w:bCs/>
                <w:rtl/>
              </w:rPr>
              <w:t xml:space="preserve">حاد </w:t>
            </w:r>
          </w:p>
        </w:tc>
      </w:tr>
      <w:tr w:rsidR="00F36590" w:rsidRPr="00C05C60" w:rsidTr="003B65BD">
        <w:tc>
          <w:tcPr>
            <w:tcW w:w="5000" w:type="pct"/>
            <w:gridSpan w:val="3"/>
            <w:shd w:val="clear" w:color="auto" w:fill="auto"/>
          </w:tcPr>
          <w:p w:rsidR="00F36590" w:rsidRPr="00C05C6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C05C6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C05C6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C05C60">
              <w:rPr>
                <w:rtl/>
              </w:rPr>
              <w:t>الموضوع</w:t>
            </w:r>
            <w:r w:rsidRPr="00C05C6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C05C60" w:rsidRDefault="006D2981" w:rsidP="005C771D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نشر المعلومات بموجب الرقمين </w:t>
            </w:r>
            <w:r>
              <w:rPr>
                <w:b/>
                <w:bCs/>
                <w:lang w:bidi="ar-EG"/>
              </w:rPr>
              <w:t>41.11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>
              <w:rPr>
                <w:b/>
                <w:bCs/>
                <w:lang w:bidi="ar-EG"/>
              </w:rPr>
              <w:t>41A.11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لوائح الراديو</w:t>
            </w:r>
          </w:p>
        </w:tc>
      </w:tr>
      <w:tr w:rsidR="003403A3" w:rsidRPr="00C05C6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C05C60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C05C60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5C771D" w:rsidRPr="00C05C60" w:rsidRDefault="005C771D" w:rsidP="005C771D">
      <w:pPr>
        <w:rPr>
          <w:rtl/>
        </w:rPr>
      </w:pPr>
      <w:r w:rsidRPr="00C05C60">
        <w:rPr>
          <w:rFonts w:hint="cs"/>
          <w:rtl/>
        </w:rPr>
        <w:t>تحية طيبة وبعد،</w:t>
      </w:r>
    </w:p>
    <w:p w:rsidR="005C771D" w:rsidRDefault="006D2981" w:rsidP="00426AFC">
      <w:pPr>
        <w:rPr>
          <w:rtl/>
          <w:lang w:bidi="ar-EG"/>
        </w:rPr>
      </w:pPr>
      <w:r>
        <w:rPr>
          <w:rFonts w:hint="cs"/>
          <w:rtl/>
        </w:rPr>
        <w:t xml:space="preserve">الغرض من هذه الرسالة المعممة تقديم معلومات عن النسق الجديد لنشر مكتب الاتصالات الراديوية لمتطلبات التنسيق المحددة بموجب الرقم </w:t>
      </w:r>
      <w:r w:rsidRPr="006D2981">
        <w:rPr>
          <w:b/>
          <w:bCs/>
        </w:rPr>
        <w:t>2.36.9</w:t>
      </w:r>
      <w:r>
        <w:rPr>
          <w:rFonts w:hint="cs"/>
          <w:rtl/>
          <w:lang w:bidi="ar-EG"/>
        </w:rPr>
        <w:t xml:space="preserve"> من لوائح الراديو، وعن العملية الجديدة لتسجيل ومراجعة نتائج الرقم </w:t>
      </w:r>
      <w:r w:rsidRPr="006D2981">
        <w:rPr>
          <w:b/>
          <w:bCs/>
          <w:lang w:bidi="ar-EG"/>
        </w:rPr>
        <w:t>41.11</w:t>
      </w:r>
      <w:r w:rsidRPr="006D2981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إبان تطبيق الرقم</w:t>
      </w:r>
      <w:r w:rsidR="00426AFC">
        <w:rPr>
          <w:rFonts w:hint="eastAsia"/>
          <w:rtl/>
          <w:lang w:bidi="ar-EG"/>
        </w:rPr>
        <w:t> </w:t>
      </w:r>
      <w:r w:rsidRPr="006D2981">
        <w:rPr>
          <w:b/>
          <w:bCs/>
          <w:lang w:bidi="ar-EG"/>
        </w:rPr>
        <w:t>41A.11</w:t>
      </w:r>
      <w:r>
        <w:rPr>
          <w:rFonts w:hint="cs"/>
          <w:rtl/>
          <w:lang w:bidi="ar-EG"/>
        </w:rPr>
        <w:t>.</w:t>
      </w:r>
    </w:p>
    <w:p w:rsidR="006D2981" w:rsidRDefault="006D2981" w:rsidP="00426A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فقد طلبت فرقة العمل </w:t>
      </w:r>
      <w:r>
        <w:rPr>
          <w:lang w:bidi="ar-EG"/>
        </w:rPr>
        <w:t>4A</w:t>
      </w:r>
      <w:r>
        <w:rPr>
          <w:rFonts w:hint="cs"/>
          <w:rtl/>
          <w:lang w:bidi="ar-EG"/>
        </w:rPr>
        <w:t xml:space="preserve"> بقطاع الاتصالات الراديوية في اجتماعها في يونيو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من مدير مكتب الاتصالات الراديوية دراسة وتنفيذ، إن أمكن، المقترحين التاليين (الوثيقة </w:t>
      </w:r>
      <w:r w:rsidR="00C65B54" w:rsidRPr="00C65B54">
        <w:rPr>
          <w:lang w:val="ru-RU" w:bidi="ar-EG"/>
        </w:rPr>
        <w:t>4A/669</w:t>
      </w:r>
      <w:r w:rsidR="00426AFC">
        <w:rPr>
          <w:rFonts w:hint="cs"/>
          <w:rtl/>
          <w:lang w:val="ru-RU" w:bidi="ar-EG"/>
        </w:rPr>
        <w:t>،</w:t>
      </w:r>
      <w:r w:rsidR="00C65B54">
        <w:rPr>
          <w:rFonts w:hint="cs"/>
          <w:rtl/>
          <w:lang w:val="ru-RU" w:bidi="ar-EG"/>
        </w:rPr>
        <w:t xml:space="preserve"> </w:t>
      </w:r>
      <w:r w:rsidR="00C65B54" w:rsidRPr="00803E1E">
        <w:rPr>
          <w:rFonts w:hint="cs"/>
          <w:rtl/>
          <w:lang w:val="ru-RU" w:bidi="ar-EG"/>
        </w:rPr>
        <w:t xml:space="preserve">الملحق </w:t>
      </w:r>
      <w:r w:rsidR="00C65B54" w:rsidRPr="00803E1E">
        <w:rPr>
          <w:lang w:bidi="ar-EG"/>
        </w:rPr>
        <w:t>4</w:t>
      </w:r>
      <w:r w:rsidR="00C65B54">
        <w:rPr>
          <w:rFonts w:hint="cs"/>
          <w:rtl/>
          <w:lang w:bidi="ar-EG"/>
        </w:rPr>
        <w:t>):</w:t>
      </w:r>
    </w:p>
    <w:p w:rsidR="00C65B54" w:rsidRDefault="00C65B54" w:rsidP="00426AFC">
      <w:pPr>
        <w:pStyle w:val="enumlev1"/>
        <w:rPr>
          <w:rtl/>
          <w:lang w:bidi="ar-EG"/>
        </w:rPr>
      </w:pPr>
      <w:r>
        <w:t>1</w:t>
      </w:r>
      <w:r>
        <w:tab/>
      </w:r>
      <w:r w:rsidR="00F35BE1">
        <w:rPr>
          <w:rFonts w:hint="cs"/>
          <w:rtl/>
          <w:lang w:bidi="ar-EG"/>
        </w:rPr>
        <w:t xml:space="preserve">التقسيم في قائمتين منفصلتين للشبكات الساتلية التي تحددت بموجب الرقم </w:t>
      </w:r>
      <w:r w:rsidR="00F35BE1" w:rsidRPr="00F35BE1">
        <w:rPr>
          <w:b/>
          <w:bCs/>
          <w:lang w:bidi="ar-EG"/>
        </w:rPr>
        <w:t>7.9</w:t>
      </w:r>
      <w:r w:rsidR="00F35BE1">
        <w:rPr>
          <w:rFonts w:hint="cs"/>
          <w:rtl/>
          <w:lang w:bidi="ar-EG"/>
        </w:rPr>
        <w:t xml:space="preserve"> عند تطبيق الرقم </w:t>
      </w:r>
      <w:r w:rsidR="00F35BE1">
        <w:rPr>
          <w:b/>
          <w:bCs/>
          <w:lang w:bidi="ar-EG"/>
        </w:rPr>
        <w:t>2.36.9</w:t>
      </w:r>
      <w:r w:rsidR="00F35BE1">
        <w:rPr>
          <w:rFonts w:hint="cs"/>
          <w:rtl/>
          <w:lang w:bidi="ar-EG"/>
        </w:rPr>
        <w:t>، على أنها إما</w:t>
      </w:r>
      <w:r w:rsidR="00426AFC">
        <w:rPr>
          <w:rFonts w:hint="eastAsia"/>
          <w:rtl/>
          <w:lang w:bidi="ar-EG"/>
        </w:rPr>
        <w:t> </w:t>
      </w:r>
      <w:r w:rsidR="00F35BE1">
        <w:rPr>
          <w:rFonts w:hint="cs"/>
          <w:rtl/>
          <w:lang w:bidi="ar-EG"/>
        </w:rPr>
        <w:t>في</w:t>
      </w:r>
      <w:r w:rsidR="00426AFC">
        <w:rPr>
          <w:rFonts w:hint="eastAsia"/>
          <w:rtl/>
          <w:lang w:bidi="ar-EG"/>
        </w:rPr>
        <w:t> </w:t>
      </w:r>
      <w:r w:rsidR="00F35BE1">
        <w:rPr>
          <w:rFonts w:hint="cs"/>
          <w:rtl/>
          <w:lang w:bidi="ar-EG"/>
        </w:rPr>
        <w:t>نفس اتجاه الإرسال أو في الاتجاه العكسي للإرسال.</w:t>
      </w:r>
    </w:p>
    <w:p w:rsidR="00F35BE1" w:rsidRDefault="00F35BE1" w:rsidP="00426AFC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الاستعاضة عن القائمة الواحدة للإدارات طبقاً للرقم </w:t>
      </w:r>
      <w:r w:rsidRPr="00F35BE1">
        <w:rPr>
          <w:b/>
          <w:bCs/>
          <w:lang w:bidi="ar-EG"/>
        </w:rPr>
        <w:t>41.11</w:t>
      </w:r>
      <w:r>
        <w:rPr>
          <w:rFonts w:hint="cs"/>
          <w:rtl/>
          <w:lang w:bidi="ar-EG"/>
        </w:rPr>
        <w:t xml:space="preserve"> في الجزء </w:t>
      </w:r>
      <w:r>
        <w:rPr>
          <w:lang w:bidi="ar-EG"/>
        </w:rPr>
        <w:t>II</w:t>
      </w:r>
      <w:r w:rsidR="00426AFC">
        <w:rPr>
          <w:lang w:bidi="ar-EG"/>
        </w:rPr>
        <w:noBreakHyphen/>
      </w:r>
      <w:r>
        <w:rPr>
          <w:lang w:bidi="ar-EG"/>
        </w:rPr>
        <w:t>S</w:t>
      </w:r>
      <w:r>
        <w:rPr>
          <w:rFonts w:hint="cs"/>
          <w:rtl/>
          <w:lang w:bidi="ar-EG"/>
        </w:rPr>
        <w:t xml:space="preserve"> للشبكات الساتلية بقوائم منفصلة للأحكام المختلفة التي لم يكتمل التنسيق بشأنها بعد (مثل الأرقام </w:t>
      </w:r>
      <w:r>
        <w:rPr>
          <w:b/>
          <w:bCs/>
          <w:lang w:bidi="ar-EG"/>
        </w:rPr>
        <w:t>7.9/41.11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  <w:lang w:bidi="ar-EG"/>
        </w:rPr>
        <w:t>12.9/41.11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  <w:lang w:bidi="ar-EG"/>
        </w:rPr>
        <w:t>13.9/41.11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  <w:lang w:bidi="ar-EG"/>
        </w:rPr>
        <w:t>14.9/41.11</w:t>
      </w:r>
      <w:r>
        <w:rPr>
          <w:rFonts w:hint="cs"/>
          <w:rtl/>
          <w:lang w:bidi="ar-EG"/>
        </w:rPr>
        <w:t xml:space="preserve"> وما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إلى ذلك</w:t>
      </w:r>
      <w:proofErr w:type="gramStart"/>
      <w:r>
        <w:rPr>
          <w:rFonts w:hint="cs"/>
          <w:rtl/>
          <w:lang w:bidi="ar-EG"/>
        </w:rPr>
        <w:t>)،</w:t>
      </w:r>
      <w:proofErr w:type="gramEnd"/>
      <w:r>
        <w:rPr>
          <w:rFonts w:hint="cs"/>
          <w:rtl/>
          <w:lang w:bidi="ar-EG"/>
        </w:rPr>
        <w:t xml:space="preserve"> إضافة إلى إدراج الشبكات والأنظمة المختلفة التي لم يستكمل التنسيق معها بعد.</w:t>
      </w:r>
    </w:p>
    <w:p w:rsidR="00F35BE1" w:rsidRDefault="00F35BE1" w:rsidP="00F35BE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ويسر المكتب أن يحيط الإدارات علماً بأن المقترحين أعلاه المقدمين من فرقة العمل </w:t>
      </w:r>
      <w:r w:rsidR="00537131">
        <w:rPr>
          <w:lang w:bidi="ar-EG"/>
        </w:rPr>
        <w:t>4A</w:t>
      </w:r>
      <w:r w:rsidR="00537131">
        <w:rPr>
          <w:rFonts w:hint="cs"/>
          <w:rtl/>
          <w:lang w:bidi="ar-EG"/>
        </w:rPr>
        <w:t xml:space="preserve"> قد جرى تنفيذهما الآن.</w:t>
      </w:r>
    </w:p>
    <w:p w:rsidR="00537131" w:rsidRPr="00F35BE1" w:rsidRDefault="00537131" w:rsidP="00537131">
      <w:pPr>
        <w:pStyle w:val="Headingb"/>
        <w:rPr>
          <w:rtl/>
        </w:rPr>
      </w:pPr>
      <w:r>
        <w:rPr>
          <w:rFonts w:hint="cs"/>
          <w:rtl/>
        </w:rPr>
        <w:t>رموز الأحكام الجديدة</w:t>
      </w:r>
    </w:p>
    <w:p w:rsidR="005C771D" w:rsidRDefault="00250AB0" w:rsidP="00250AB0">
      <w:pPr>
        <w:rPr>
          <w:rtl/>
          <w:lang w:bidi="ar-EG"/>
        </w:rPr>
      </w:pPr>
      <w:r>
        <w:rPr>
          <w:rFonts w:hint="cs"/>
          <w:rtl/>
        </w:rPr>
        <w:t xml:space="preserve">عدل المكتب البرمجية </w:t>
      </w:r>
      <w:r>
        <w:t>GIBC/AP8</w:t>
      </w:r>
      <w:r>
        <w:rPr>
          <w:rFonts w:hint="cs"/>
          <w:rtl/>
          <w:lang w:bidi="ar-EG"/>
        </w:rPr>
        <w:t xml:space="preserve">، اعتباراً من النشرة </w:t>
      </w:r>
      <w:r>
        <w:rPr>
          <w:lang w:bidi="ar-EG"/>
        </w:rPr>
        <w:t>IFRC</w:t>
      </w:r>
      <w:r>
        <w:rPr>
          <w:rFonts w:hint="cs"/>
          <w:rtl/>
          <w:lang w:bidi="ar-EG"/>
        </w:rPr>
        <w:t xml:space="preserve"> رقم </w:t>
      </w:r>
      <w:r>
        <w:rPr>
          <w:lang w:bidi="ar-EG"/>
        </w:rPr>
        <w:t>2817</w:t>
      </w:r>
      <w:r>
        <w:rPr>
          <w:rFonts w:hint="cs"/>
          <w:rtl/>
          <w:lang w:bidi="ar-EG"/>
        </w:rPr>
        <w:t xml:space="preserve"> بتاريخ 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لتنفيذ المتطلب الأول أعلاه، حيث ستطب على طلبات تنسيق الشبكات الساتلية التي استلمت اعتباراً من </w:t>
      </w:r>
      <w:r>
        <w:rPr>
          <w:lang w:bidi="ar-EG"/>
        </w:rPr>
        <w:t>28</w:t>
      </w:r>
      <w:r>
        <w:rPr>
          <w:rFonts w:hint="cs"/>
          <w:rtl/>
          <w:lang w:bidi="ar-EG"/>
        </w:rPr>
        <w:t xml:space="preserve"> نوفمبر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>.</w:t>
      </w:r>
    </w:p>
    <w:p w:rsidR="00250AB0" w:rsidRDefault="00250AB0" w:rsidP="00F94C3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وسيتضمن القسم الخاص </w:t>
      </w:r>
      <w:r>
        <w:rPr>
          <w:lang w:bidi="ar-EG"/>
        </w:rPr>
        <w:t>CR/C</w:t>
      </w:r>
      <w:r>
        <w:rPr>
          <w:rFonts w:hint="cs"/>
          <w:rtl/>
          <w:lang w:bidi="ar-EG"/>
        </w:rPr>
        <w:t xml:space="preserve"> جداول منفصلة لتحديد شبكات ساتلية معنية بموجب الرقم </w:t>
      </w:r>
      <w:r w:rsidRPr="00250AB0">
        <w:rPr>
          <w:b/>
          <w:bCs/>
          <w:lang w:bidi="ar-EG"/>
        </w:rPr>
        <w:t>2.36.9</w:t>
      </w:r>
      <w:r>
        <w:rPr>
          <w:rFonts w:hint="cs"/>
          <w:rtl/>
          <w:lang w:bidi="ar-EG"/>
        </w:rPr>
        <w:t xml:space="preserve"> للحالة </w:t>
      </w:r>
      <w:r>
        <w:rPr>
          <w:lang w:bidi="ar-EG"/>
        </w:rPr>
        <w:t>I</w:t>
      </w:r>
      <w:r>
        <w:rPr>
          <w:rFonts w:hint="cs"/>
          <w:rtl/>
          <w:lang w:bidi="ar-EG"/>
        </w:rPr>
        <w:t xml:space="preserve"> (الشبكات المطلوبة والمسببة للتداخل التي تتقاسم نفس نطاق التردد في نفس اتجاه الإرسال) والحالة </w:t>
      </w:r>
      <w:r>
        <w:rPr>
          <w:lang w:bidi="ar-EG"/>
        </w:rPr>
        <w:t>II</w:t>
      </w:r>
      <w:r>
        <w:rPr>
          <w:rFonts w:hint="cs"/>
          <w:rtl/>
          <w:lang w:bidi="ar-EG"/>
        </w:rPr>
        <w:t xml:space="preserve"> (الشبكات المطلوبة والمسببة للتداخل التي تتقاسم نفس نطاق التردد في اتجاهات عكسية للإرسال (الاستعمال في الاتجاهين)). وبالمثل، ستبين هاتان الحالتان في</w:t>
      </w:r>
      <w:r w:rsidR="00F94C3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قاعدة البيانات </w:t>
      </w:r>
      <w:r>
        <w:rPr>
          <w:lang w:bidi="ar-EG"/>
        </w:rPr>
        <w:t>SRS</w:t>
      </w:r>
      <w:r>
        <w:rPr>
          <w:rFonts w:hint="cs"/>
          <w:rtl/>
          <w:lang w:bidi="ar-EG"/>
        </w:rPr>
        <w:t xml:space="preserve"> بالرمز المناسب، وهي </w:t>
      </w:r>
      <w:r>
        <w:rPr>
          <w:lang w:bidi="ar-EG"/>
        </w:rPr>
        <w:t>9.7-CI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9.7-CII</w:t>
      </w:r>
      <w:r>
        <w:rPr>
          <w:rFonts w:hint="cs"/>
          <w:rtl/>
          <w:lang w:bidi="ar-EG"/>
        </w:rPr>
        <w:t xml:space="preserve">، على التوالي في خانة </w:t>
      </w:r>
      <w:proofErr w:type="spellStart"/>
      <w:r w:rsidR="00426AFC" w:rsidRPr="009557C1">
        <w:rPr>
          <w:i/>
          <w:iCs/>
          <w:lang w:val="fr-CH"/>
        </w:rPr>
        <w:t>coord_prov</w:t>
      </w:r>
      <w:proofErr w:type="spellEnd"/>
      <w:r>
        <w:rPr>
          <w:rFonts w:hint="cs"/>
          <w:rtl/>
          <w:lang w:bidi="ar-EG"/>
        </w:rPr>
        <w:t xml:space="preserve"> من الجدول </w:t>
      </w:r>
      <w:proofErr w:type="spellStart"/>
      <w:r w:rsidRPr="00250AB0">
        <w:rPr>
          <w:i/>
          <w:iCs/>
          <w:lang w:bidi="ar-EG"/>
        </w:rPr>
        <w:t>tr_aff_ntw</w:t>
      </w:r>
      <w:proofErr w:type="spellEnd"/>
      <w:r>
        <w:rPr>
          <w:rFonts w:hint="cs"/>
          <w:rtl/>
          <w:lang w:bidi="ar-EG"/>
        </w:rPr>
        <w:t>.</w:t>
      </w:r>
    </w:p>
    <w:p w:rsidR="00250AB0" w:rsidRDefault="00250AB0" w:rsidP="00426A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وفيما يتعلق بتخصيصات الترددات التي يستكمل بشأنها بعد التنسيق طبقاً لأحكام الأرقام </w:t>
      </w:r>
      <w:r w:rsidRPr="00250AB0">
        <w:rPr>
          <w:b/>
          <w:bCs/>
          <w:lang w:bidi="ar-EG"/>
        </w:rPr>
        <w:t>7.9</w:t>
      </w:r>
      <w:r w:rsidRPr="00250AB0">
        <w:rPr>
          <w:rFonts w:hint="cs"/>
          <w:rtl/>
          <w:lang w:bidi="ar-EG"/>
        </w:rPr>
        <w:t xml:space="preserve"> </w:t>
      </w:r>
      <w:r w:rsidR="00BA1598" w:rsidRPr="00250AB0">
        <w:rPr>
          <w:rFonts w:hint="cs"/>
          <w:rtl/>
          <w:lang w:bidi="ar-EG"/>
        </w:rPr>
        <w:t>و</w:t>
      </w:r>
      <w:r w:rsidR="00BA1598" w:rsidRPr="00250AB0">
        <w:rPr>
          <w:b/>
          <w:bCs/>
          <w:lang w:bidi="ar-EG"/>
        </w:rPr>
        <w:t>12.9</w:t>
      </w:r>
      <w:r w:rsidR="00BA1598" w:rsidRPr="00250AB0">
        <w:rPr>
          <w:rFonts w:hint="cs"/>
          <w:rtl/>
          <w:lang w:bidi="ar-EG"/>
        </w:rPr>
        <w:t xml:space="preserve"> و</w:t>
      </w:r>
      <w:r w:rsidR="00BA1598" w:rsidRPr="00250AB0">
        <w:rPr>
          <w:b/>
          <w:bCs/>
          <w:lang w:bidi="ar-EG"/>
        </w:rPr>
        <w:t>12</w:t>
      </w:r>
      <w:r w:rsidR="00BA1598">
        <w:rPr>
          <w:b/>
          <w:bCs/>
          <w:lang w:bidi="ar-EG"/>
        </w:rPr>
        <w:t>A</w:t>
      </w:r>
      <w:r w:rsidR="00BA1598" w:rsidRPr="00250AB0">
        <w:rPr>
          <w:b/>
          <w:bCs/>
          <w:lang w:bidi="ar-EG"/>
        </w:rPr>
        <w:t>.9</w:t>
      </w:r>
      <w:r w:rsidR="00BA1598" w:rsidRPr="00250AB0">
        <w:rPr>
          <w:rFonts w:hint="cs"/>
          <w:rtl/>
          <w:lang w:bidi="ar-EG"/>
        </w:rPr>
        <w:t xml:space="preserve"> </w:t>
      </w:r>
      <w:r w:rsidRPr="00250AB0">
        <w:rPr>
          <w:rFonts w:hint="cs"/>
          <w:rtl/>
          <w:lang w:bidi="ar-EG"/>
        </w:rPr>
        <w:t>و</w:t>
      </w:r>
      <w:r w:rsidRPr="00250AB0">
        <w:rPr>
          <w:b/>
          <w:bCs/>
          <w:lang w:bidi="ar-EG"/>
        </w:rPr>
        <w:t>13.9</w:t>
      </w:r>
      <w:r w:rsidRPr="00250AB0">
        <w:rPr>
          <w:rFonts w:hint="cs"/>
          <w:rtl/>
          <w:lang w:bidi="ar-EG"/>
        </w:rPr>
        <w:t xml:space="preserve"> و</w:t>
      </w:r>
      <w:r w:rsidRPr="00250AB0">
        <w:rPr>
          <w:b/>
          <w:bCs/>
          <w:lang w:bidi="ar-EG"/>
        </w:rPr>
        <w:t>1</w:t>
      </w:r>
      <w:r w:rsidR="00426AFC">
        <w:rPr>
          <w:b/>
          <w:bCs/>
          <w:lang w:bidi="ar-EG"/>
        </w:rPr>
        <w:t>4</w:t>
      </w:r>
      <w:r w:rsidRPr="00250AB0">
        <w:rPr>
          <w:b/>
          <w:bCs/>
          <w:lang w:bidi="ar-EG"/>
        </w:rPr>
        <w:t>.9</w:t>
      </w:r>
      <w:r w:rsidR="00BA1598">
        <w:rPr>
          <w:rFonts w:hint="cs"/>
          <w:rtl/>
          <w:lang w:bidi="ar-EG"/>
        </w:rPr>
        <w:t xml:space="preserve">، بدأ المكتب في النشر، اعتباراً من </w:t>
      </w:r>
      <w:r w:rsidR="00BA1598">
        <w:rPr>
          <w:lang w:bidi="ar-EG"/>
        </w:rPr>
        <w:t>1</w:t>
      </w:r>
      <w:r w:rsidR="00BA1598">
        <w:rPr>
          <w:rFonts w:hint="cs"/>
          <w:rtl/>
          <w:lang w:bidi="ar-EG"/>
        </w:rPr>
        <w:t xml:space="preserve"> نوفمبر </w:t>
      </w:r>
      <w:r w:rsidR="00BA1598">
        <w:rPr>
          <w:lang w:bidi="ar-EG"/>
        </w:rPr>
        <w:t>2015</w:t>
      </w:r>
      <w:r w:rsidR="00BA1598">
        <w:rPr>
          <w:rFonts w:hint="cs"/>
          <w:rtl/>
          <w:lang w:bidi="ar-EG"/>
        </w:rPr>
        <w:t xml:space="preserve">، لنتائج الرقم </w:t>
      </w:r>
      <w:r w:rsidR="00BA1598" w:rsidRPr="00BA1598">
        <w:rPr>
          <w:b/>
          <w:bCs/>
          <w:lang w:bidi="ar-EG"/>
        </w:rPr>
        <w:t>41.11</w:t>
      </w:r>
      <w:r w:rsidR="00BA1598">
        <w:rPr>
          <w:rFonts w:hint="cs"/>
          <w:rtl/>
          <w:lang w:bidi="ar-EG"/>
        </w:rPr>
        <w:t xml:space="preserve"> مع إشارة إلى الحكم المعني الذي لم يكتمل التنسيق بموجبه بعد (مثل </w:t>
      </w:r>
      <w:r w:rsidR="00BA1598">
        <w:rPr>
          <w:b/>
          <w:bCs/>
          <w:lang w:bidi="ar-EG"/>
        </w:rPr>
        <w:t>7.9/41.11</w:t>
      </w:r>
      <w:r w:rsidR="00BA1598">
        <w:rPr>
          <w:rFonts w:hint="cs"/>
          <w:rtl/>
          <w:lang w:bidi="ar-EG"/>
        </w:rPr>
        <w:t xml:space="preserve"> و</w:t>
      </w:r>
      <w:r w:rsidR="00BA1598">
        <w:rPr>
          <w:b/>
          <w:bCs/>
          <w:lang w:bidi="ar-EG"/>
        </w:rPr>
        <w:t>12.9/41.11</w:t>
      </w:r>
      <w:r w:rsidR="00BA1598">
        <w:rPr>
          <w:rFonts w:hint="cs"/>
          <w:rtl/>
          <w:lang w:bidi="ar-EG"/>
        </w:rPr>
        <w:t xml:space="preserve"> وما إلى ذلك).</w:t>
      </w:r>
    </w:p>
    <w:p w:rsidR="00BA1598" w:rsidRDefault="00BA1598" w:rsidP="00BA1598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وبالمثل، بدأ المكتب النشر لنتائج بموجب إجراء الموافقة الخاص بالرقم </w:t>
      </w:r>
      <w:r>
        <w:rPr>
          <w:b/>
          <w:bCs/>
          <w:lang w:bidi="ar-EG"/>
        </w:rPr>
        <w:t>21.9</w:t>
      </w:r>
      <w:r>
        <w:rPr>
          <w:rFonts w:hint="cs"/>
          <w:rtl/>
          <w:lang w:bidi="ar-EG"/>
        </w:rPr>
        <w:t xml:space="preserve"> إبان تطبيق الرقم </w:t>
      </w:r>
      <w:r>
        <w:rPr>
          <w:b/>
          <w:bCs/>
          <w:lang w:bidi="ar-EG"/>
        </w:rPr>
        <w:t>1.31.11</w:t>
      </w:r>
      <w:r>
        <w:rPr>
          <w:rFonts w:hint="cs"/>
          <w:rtl/>
          <w:lang w:bidi="ar-EG"/>
        </w:rPr>
        <w:t>، بتمييز نوع الشبكات (شبكات مستقرة/غير مستقرة بالنسبة للأرض (أرضية)) للإدارة المتأثرة التي لم يتحصل على موافقتها الخاصة بالرقم</w:t>
      </w:r>
      <w:r w:rsidR="00F94C36">
        <w:rPr>
          <w:rFonts w:hint="eastAsia"/>
          <w:rtl/>
          <w:lang w:bidi="ar-EG"/>
        </w:rPr>
        <w:t> </w:t>
      </w:r>
      <w:r>
        <w:rPr>
          <w:b/>
          <w:bCs/>
          <w:lang w:bidi="ar-EG"/>
        </w:rPr>
        <w:t>21.9</w:t>
      </w:r>
      <w:r>
        <w:rPr>
          <w:rFonts w:hint="cs"/>
          <w:rtl/>
          <w:lang w:bidi="ar-EG"/>
        </w:rPr>
        <w:t xml:space="preserve"> (مثل </w:t>
      </w:r>
      <w:r>
        <w:rPr>
          <w:b/>
          <w:bCs/>
          <w:lang w:bidi="ar-EG"/>
        </w:rPr>
        <w:t>A/1.31.11/V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  <w:lang w:bidi="ar-EG"/>
        </w:rPr>
        <w:t>B/1.31.11/V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  <w:lang w:bidi="ar-EG"/>
        </w:rPr>
        <w:t>C/1.31.11/V</w:t>
      </w:r>
      <w:r>
        <w:rPr>
          <w:rFonts w:hint="cs"/>
          <w:rtl/>
          <w:lang w:bidi="ar-EG"/>
        </w:rPr>
        <w:t>).</w:t>
      </w:r>
    </w:p>
    <w:p w:rsidR="00BA1598" w:rsidRDefault="00803E1E" w:rsidP="00426A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هذا الصدد، حدث المكتب مقدمة النشرة </w:t>
      </w:r>
      <w:r w:rsidRPr="00803E1E">
        <w:rPr>
          <w:lang w:bidi="ar-EG"/>
        </w:rPr>
        <w:t>BR IFIC</w:t>
      </w:r>
      <w:r>
        <w:rPr>
          <w:rFonts w:hint="cs"/>
          <w:rtl/>
          <w:lang w:bidi="ar-EG"/>
        </w:rPr>
        <w:t xml:space="preserve"> (الخدمات الفضائية) </w:t>
      </w:r>
      <w:r w:rsidR="00426AFC">
        <w:rPr>
          <w:rFonts w:hint="cs"/>
          <w:rtl/>
          <w:lang w:bidi="ar-EG"/>
        </w:rPr>
        <w:t>بناءً</w:t>
      </w:r>
      <w:r>
        <w:rPr>
          <w:rFonts w:hint="cs"/>
          <w:rtl/>
          <w:lang w:bidi="ar-EG"/>
        </w:rPr>
        <w:t xml:space="preserve"> على ذلك.</w:t>
      </w:r>
    </w:p>
    <w:p w:rsidR="004E71C6" w:rsidRDefault="004E71C6" w:rsidP="004E71C6">
      <w:pPr>
        <w:pStyle w:val="Headingb"/>
        <w:rPr>
          <w:rtl/>
          <w:lang w:bidi="ar-EG"/>
        </w:rPr>
      </w:pPr>
      <w:r>
        <w:rPr>
          <w:rFonts w:hint="cs"/>
          <w:rtl/>
        </w:rPr>
        <w:t xml:space="preserve">تطبيق الرقم </w:t>
      </w:r>
      <w:r>
        <w:t>41A.11</w:t>
      </w:r>
    </w:p>
    <w:p w:rsidR="004E71C6" w:rsidRDefault="004E71C6" w:rsidP="00426A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يحدد الرقمان </w:t>
      </w:r>
      <w:r w:rsidRPr="004E71C6">
        <w:rPr>
          <w:b/>
          <w:bCs/>
          <w:lang w:bidi="ar-EG"/>
        </w:rPr>
        <w:t>41A.11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  <w:lang w:bidi="ar-EG"/>
        </w:rPr>
        <w:t>41B.11</w:t>
      </w:r>
      <w:r>
        <w:rPr>
          <w:rFonts w:hint="cs"/>
          <w:rtl/>
          <w:lang w:bidi="ar-EG"/>
        </w:rPr>
        <w:t xml:space="preserve"> </w:t>
      </w:r>
      <w:r w:rsidR="003340E7">
        <w:rPr>
          <w:rFonts w:hint="cs"/>
          <w:rtl/>
          <w:lang w:bidi="ar-EG"/>
        </w:rPr>
        <w:t xml:space="preserve">شروط مراجعة نتائج تخصيص مسجل بموجب الرقم </w:t>
      </w:r>
      <w:r w:rsidR="003340E7">
        <w:rPr>
          <w:b/>
          <w:bCs/>
          <w:lang w:bidi="ar-EG"/>
        </w:rPr>
        <w:t>41.11</w:t>
      </w:r>
      <w:r w:rsidR="003340E7">
        <w:rPr>
          <w:rFonts w:hint="cs"/>
          <w:rtl/>
          <w:lang w:bidi="ar-EG"/>
        </w:rPr>
        <w:t xml:space="preserve"> بسبب تغير في حالة</w:t>
      </w:r>
      <w:r w:rsidR="00426AFC">
        <w:rPr>
          <w:rFonts w:hint="eastAsia"/>
          <w:rtl/>
          <w:lang w:bidi="ar-EG"/>
        </w:rPr>
        <w:t> </w:t>
      </w:r>
      <w:r w:rsidR="003340E7">
        <w:rPr>
          <w:rFonts w:hint="cs"/>
          <w:rtl/>
          <w:lang w:bidi="ar-EG"/>
        </w:rPr>
        <w:t>التنسيق.</w:t>
      </w:r>
    </w:p>
    <w:p w:rsidR="003340E7" w:rsidRDefault="003340E7" w:rsidP="003340E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وكما ورد في تقرير المدير إلى المؤتمر العالمي للاتصالات الراديوية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(الوثيقة </w:t>
      </w:r>
      <w:r w:rsidRPr="003340E7">
        <w:rPr>
          <w:lang w:val="ru-RU" w:bidi="ar-EG"/>
        </w:rPr>
        <w:t>WRC</w:t>
      </w:r>
      <w:r w:rsidR="00426AFC">
        <w:rPr>
          <w:lang w:bidi="ar-EG"/>
        </w:rPr>
        <w:noBreakHyphen/>
      </w:r>
      <w:r w:rsidRPr="003340E7">
        <w:rPr>
          <w:lang w:val="ru-RU" w:bidi="ar-EG"/>
        </w:rPr>
        <w:t>15/4(Add.2)(Rev.1)</w:t>
      </w:r>
      <w:r>
        <w:rPr>
          <w:rFonts w:hint="cs"/>
          <w:rtl/>
          <w:lang w:val="ru-RU" w:bidi="ar-EG"/>
        </w:rPr>
        <w:t>، القسم </w:t>
      </w:r>
      <w:r>
        <w:rPr>
          <w:lang w:bidi="ar-EG"/>
        </w:rPr>
        <w:t>5.3.2.3</w:t>
      </w:r>
      <w:r>
        <w:rPr>
          <w:rFonts w:hint="cs"/>
          <w:rtl/>
          <w:lang w:bidi="ar-EG"/>
        </w:rPr>
        <w:t xml:space="preserve">)، أصبح المكتب حالياً في وضع يمكنه من تنفيذ الرقم </w:t>
      </w:r>
      <w:r>
        <w:rPr>
          <w:b/>
          <w:bCs/>
          <w:lang w:bidi="ar-EG"/>
        </w:rPr>
        <w:t>41A.11</w:t>
      </w:r>
      <w:r>
        <w:rPr>
          <w:rFonts w:hint="cs"/>
          <w:rtl/>
          <w:lang w:bidi="ar-EG"/>
        </w:rPr>
        <w:t xml:space="preserve"> على الوجه الأكمل بالنسبة لجميع بطاقات التبليغ الأولي المستلمة اعتباراً من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>.</w:t>
      </w:r>
    </w:p>
    <w:p w:rsidR="003340E7" w:rsidRDefault="003340E7" w:rsidP="003340E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ويحتفظ بقائمة تخصيصات ترددات الشبكات الساتلية التي شكلت الأساس للنتيجة غير المؤاتية طبقاً للرقم </w:t>
      </w:r>
      <w:r>
        <w:rPr>
          <w:b/>
          <w:bCs/>
          <w:lang w:bidi="ar-EG"/>
        </w:rPr>
        <w:t>32A.11</w:t>
      </w:r>
      <w:r>
        <w:rPr>
          <w:rFonts w:hint="cs"/>
          <w:rtl/>
          <w:lang w:bidi="ar-EG"/>
        </w:rPr>
        <w:t xml:space="preserve"> لتخصيص مسجل بموجب الرقم </w:t>
      </w:r>
      <w:r>
        <w:rPr>
          <w:b/>
          <w:bCs/>
          <w:lang w:bidi="ar-EG"/>
        </w:rPr>
        <w:t>41.11</w:t>
      </w:r>
      <w:r>
        <w:rPr>
          <w:rFonts w:hint="cs"/>
          <w:rtl/>
          <w:lang w:bidi="ar-EG"/>
        </w:rPr>
        <w:t xml:space="preserve"> مع بطاقة تبليغ التخصيص المسجل وسيتم تحديثها في حالة إلغاء تخصيصات الترددات</w:t>
      </w:r>
      <w:r w:rsidR="00426AF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تلك.</w:t>
      </w:r>
    </w:p>
    <w:p w:rsidR="003340E7" w:rsidRDefault="003340E7" w:rsidP="003340E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وفيما يتعلق بحالة الموافقة بموجب الرقم </w:t>
      </w:r>
      <w:r>
        <w:rPr>
          <w:b/>
          <w:bCs/>
          <w:lang w:bidi="ar-EG"/>
        </w:rPr>
        <w:t>21.9</w:t>
      </w:r>
      <w:r>
        <w:rPr>
          <w:rFonts w:hint="cs"/>
          <w:rtl/>
          <w:lang w:bidi="ar-EG"/>
        </w:rPr>
        <w:t>، ستراجع طبقاً للحالة، قائمة الشبكات/المحطات التي لم يتم الحصول على الموافقة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بشأنها.</w:t>
      </w:r>
    </w:p>
    <w:p w:rsidR="003340E7" w:rsidRPr="009C4BAE" w:rsidRDefault="003340E7" w:rsidP="00426AFC">
      <w:pPr>
        <w:rPr>
          <w:spacing w:val="-4"/>
          <w:rtl/>
          <w:lang w:bidi="ar-EG"/>
        </w:rPr>
      </w:pPr>
      <w:r w:rsidRPr="009C4BAE">
        <w:rPr>
          <w:rFonts w:hint="cs"/>
          <w:spacing w:val="-4"/>
          <w:rtl/>
          <w:lang w:bidi="ar-EG"/>
        </w:rPr>
        <w:t>وقد أنشأ المكتب قاعد</w:t>
      </w:r>
      <w:r w:rsidR="00426AFC">
        <w:rPr>
          <w:rFonts w:hint="cs"/>
          <w:spacing w:val="-4"/>
          <w:rtl/>
          <w:lang w:bidi="ar-EG"/>
        </w:rPr>
        <w:t>ة</w:t>
      </w:r>
      <w:r w:rsidRPr="009C4BAE">
        <w:rPr>
          <w:rFonts w:hint="cs"/>
          <w:spacing w:val="-4"/>
          <w:rtl/>
          <w:lang w:bidi="ar-EG"/>
        </w:rPr>
        <w:t xml:space="preserve"> بيانات للاحتفاظ بسجل تخصيصات ترددات الشبكات والمحطات المتأثرة. وقاعدة البيانات هذه التي تضم معلومات بشأن قائمة الشبكات والمحطات المتأثرة وحكم التنسيق والخصائص الأساسية لمجموعات تخصصات الترددات (</w:t>
      </w:r>
      <w:r w:rsidR="00BB6E37" w:rsidRPr="009C4BAE">
        <w:rPr>
          <w:rFonts w:hint="cs"/>
          <w:spacing w:val="-4"/>
          <w:rtl/>
          <w:lang w:bidi="ar-EG"/>
        </w:rPr>
        <w:t>أي</w:t>
      </w:r>
      <w:r w:rsidR="00426AFC">
        <w:rPr>
          <w:rFonts w:hint="eastAsia"/>
          <w:spacing w:val="-4"/>
          <w:rtl/>
          <w:lang w:bidi="ar-EG"/>
        </w:rPr>
        <w:t> </w:t>
      </w:r>
      <w:r w:rsidR="00BB6E37" w:rsidRPr="009C4BAE">
        <w:rPr>
          <w:rFonts w:hint="cs"/>
          <w:spacing w:val="-4"/>
          <w:rtl/>
          <w:lang w:bidi="ar-EG"/>
        </w:rPr>
        <w:t>التردد</w:t>
      </w:r>
      <w:r w:rsidR="00426AFC">
        <w:rPr>
          <w:rFonts w:hint="eastAsia"/>
          <w:spacing w:val="-4"/>
          <w:rtl/>
          <w:lang w:bidi="ar-EG"/>
        </w:rPr>
        <w:t> </w:t>
      </w:r>
      <w:r w:rsidR="00BB6E37" w:rsidRPr="009C4BAE">
        <w:rPr>
          <w:rFonts w:hint="cs"/>
          <w:spacing w:val="-4"/>
          <w:rtl/>
          <w:lang w:bidi="ar-EG"/>
        </w:rPr>
        <w:t xml:space="preserve">الأدنى والتردد الأقصى وعرض النطاق المخصص وما إلى ذلك) التي يتم فحصها طبقاً للرقم </w:t>
      </w:r>
      <w:r w:rsidR="00BB6E37" w:rsidRPr="009C4BAE">
        <w:rPr>
          <w:b/>
          <w:bCs/>
          <w:spacing w:val="-4"/>
          <w:lang w:bidi="ar-EG"/>
        </w:rPr>
        <w:t>32A.11</w:t>
      </w:r>
      <w:r w:rsidR="00BB6E37" w:rsidRPr="009C4BAE">
        <w:rPr>
          <w:rFonts w:hint="cs"/>
          <w:spacing w:val="-4"/>
          <w:rtl/>
          <w:lang w:bidi="ar-EG"/>
        </w:rPr>
        <w:t xml:space="preserve">، متاحة للإدارات عبر نظام الاستعلام الإلكتروني، </w:t>
      </w:r>
      <w:proofErr w:type="spellStart"/>
      <w:r w:rsidR="00BB6E37" w:rsidRPr="009C4BAE">
        <w:rPr>
          <w:b/>
          <w:bCs/>
          <w:spacing w:val="-4"/>
          <w:lang w:bidi="ar-EG"/>
        </w:rPr>
        <w:t>Notex</w:t>
      </w:r>
      <w:proofErr w:type="spellEnd"/>
      <w:r w:rsidR="00BB6E37" w:rsidRPr="009C4BAE">
        <w:rPr>
          <w:rFonts w:hint="cs"/>
          <w:spacing w:val="-4"/>
          <w:rtl/>
          <w:lang w:bidi="ar-EG"/>
        </w:rPr>
        <w:t xml:space="preserve">، باستخدام نظام الاستعلام الإلكتروني </w:t>
      </w:r>
      <w:r w:rsidR="00BB6E37" w:rsidRPr="009C4BAE">
        <w:rPr>
          <w:spacing w:val="-4"/>
          <w:lang w:bidi="ar-EG"/>
        </w:rPr>
        <w:t>SNS</w:t>
      </w:r>
      <w:r w:rsidR="00BB6E37" w:rsidRPr="009C4BAE">
        <w:rPr>
          <w:rFonts w:hint="cs"/>
          <w:spacing w:val="-4"/>
          <w:rtl/>
          <w:lang w:bidi="ar-EG"/>
        </w:rPr>
        <w:t xml:space="preserve"> على عنوان الويب التالي </w:t>
      </w:r>
      <w:hyperlink r:id="rId8" w:history="1">
        <w:r w:rsidR="009C4BAE" w:rsidRPr="009C4BAE">
          <w:rPr>
            <w:rStyle w:val="Hyperlink"/>
            <w:spacing w:val="-4"/>
            <w:lang w:val="fr-CH" w:bidi="ar-EG"/>
          </w:rPr>
          <w:t>http://www.itu.int/net4/ITU-R/noq</w:t>
        </w:r>
      </w:hyperlink>
      <w:r w:rsidR="009C4BAE" w:rsidRPr="009C4BAE">
        <w:rPr>
          <w:rFonts w:hint="cs"/>
          <w:spacing w:val="-4"/>
          <w:rtl/>
          <w:lang w:bidi="ar-EG"/>
        </w:rPr>
        <w:t xml:space="preserve"> أو</w:t>
      </w:r>
      <w:r w:rsidR="009C4BAE">
        <w:rPr>
          <w:rFonts w:hint="eastAsia"/>
          <w:spacing w:val="-4"/>
          <w:rtl/>
          <w:lang w:bidi="ar-EG"/>
        </w:rPr>
        <w:t> </w:t>
      </w:r>
      <w:hyperlink r:id="rId9" w:history="1">
        <w:r w:rsidR="009C4BAE" w:rsidRPr="009C4BAE">
          <w:rPr>
            <w:rStyle w:val="Hyperlink"/>
            <w:spacing w:val="-4"/>
            <w:lang w:val="fr-CH" w:bidi="ar-EG"/>
          </w:rPr>
          <w:t>www.itu.int/go/notex/</w:t>
        </w:r>
      </w:hyperlink>
      <w:r w:rsidR="009C4BAE" w:rsidRPr="009C4BAE">
        <w:rPr>
          <w:rFonts w:hint="cs"/>
          <w:spacing w:val="-4"/>
          <w:rtl/>
          <w:lang w:bidi="ar-EG"/>
        </w:rPr>
        <w:t>.</w:t>
      </w:r>
    </w:p>
    <w:p w:rsidR="009C4BAE" w:rsidRDefault="009C4BAE" w:rsidP="009C4BAE">
      <w:pPr>
        <w:rPr>
          <w:spacing w:val="-4"/>
          <w:rtl/>
          <w:lang w:bidi="ar-EG"/>
        </w:rPr>
      </w:pPr>
      <w:r>
        <w:rPr>
          <w:rFonts w:hint="cs"/>
          <w:rtl/>
          <w:lang w:bidi="ar-EG"/>
        </w:rPr>
        <w:t xml:space="preserve">وسيحدث المكتب معلومات الرقم </w:t>
      </w:r>
      <w:r>
        <w:rPr>
          <w:b/>
          <w:bCs/>
          <w:lang w:bidi="ar-EG"/>
        </w:rPr>
        <w:t>41.11</w:t>
      </w:r>
      <w:r>
        <w:rPr>
          <w:rFonts w:hint="cs"/>
          <w:rtl/>
          <w:lang w:bidi="ar-EG"/>
        </w:rPr>
        <w:t xml:space="preserve"> في النظام </w:t>
      </w:r>
      <w:proofErr w:type="spellStart"/>
      <w:r w:rsidRPr="009C4BAE">
        <w:rPr>
          <w:b/>
          <w:bCs/>
          <w:spacing w:val="-4"/>
          <w:lang w:bidi="ar-EG"/>
        </w:rPr>
        <w:t>Notex</w:t>
      </w:r>
      <w:proofErr w:type="spellEnd"/>
      <w:r>
        <w:rPr>
          <w:rFonts w:hint="cs"/>
          <w:spacing w:val="-4"/>
          <w:rtl/>
          <w:lang w:bidi="ar-EG"/>
        </w:rPr>
        <w:t xml:space="preserve"> بصورة دورية فيما يتعلق بإلغاء شبكات/محطات.</w:t>
      </w:r>
    </w:p>
    <w:p w:rsidR="009C4BAE" w:rsidRDefault="009C4BAE" w:rsidP="009C4BAE">
      <w:pPr>
        <w:rPr>
          <w:b/>
          <w:bCs/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 xml:space="preserve">ويعرض في الملحق الهيكل الوظيفي لنظام الاستعلام الإلكتروني </w:t>
      </w:r>
      <w:proofErr w:type="spellStart"/>
      <w:r w:rsidRPr="009C4BAE">
        <w:rPr>
          <w:b/>
          <w:bCs/>
          <w:spacing w:val="-4"/>
          <w:lang w:bidi="ar-EG"/>
        </w:rPr>
        <w:t>Notex</w:t>
      </w:r>
      <w:proofErr w:type="spellEnd"/>
      <w:r>
        <w:rPr>
          <w:rFonts w:hint="cs"/>
          <w:b/>
          <w:bCs/>
          <w:spacing w:val="-4"/>
          <w:rtl/>
          <w:lang w:bidi="ar-EG"/>
        </w:rPr>
        <w:t>.</w:t>
      </w:r>
    </w:p>
    <w:p w:rsidR="009C4BAE" w:rsidRPr="009C4BAE" w:rsidRDefault="002A0BFA" w:rsidP="002A0BF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ويبقى المكتب على استعداد لتزويد إدارتكم بأي إيضاحات إضافية قد تطلبها فيما يتعلق الموضوعات المتناولة في هذه الرسالة المعممة عن طريق العنوان التالي </w:t>
      </w:r>
      <w:hyperlink r:id="rId10" w:history="1">
        <w:r w:rsidRPr="002A0BFA">
          <w:rPr>
            <w:rStyle w:val="Hyperlink"/>
            <w:lang w:val="fr-CH" w:bidi="ar-EG"/>
          </w:rPr>
          <w:t>brmail@itu.int</w:t>
        </w:r>
      </w:hyperlink>
      <w:r>
        <w:rPr>
          <w:rFonts w:hint="cs"/>
          <w:rtl/>
          <w:lang w:bidi="ar-EG"/>
        </w:rPr>
        <w:t>.</w:t>
      </w:r>
    </w:p>
    <w:p w:rsidR="005C771D" w:rsidRPr="00C05C60" w:rsidRDefault="005C771D" w:rsidP="005C771D">
      <w:pPr>
        <w:spacing w:before="240"/>
        <w:rPr>
          <w:rtl/>
        </w:rPr>
      </w:pPr>
      <w:r w:rsidRPr="00C05C60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D6104">
      <w:pPr>
        <w:spacing w:before="840"/>
        <w:jc w:val="left"/>
      </w:pPr>
      <w:r w:rsidRPr="00C05C60">
        <w:rPr>
          <w:rFonts w:hint="cs"/>
          <w:rtl/>
        </w:rPr>
        <w:t>فرانسوا</w:t>
      </w:r>
      <w:r w:rsidRPr="00C05C60">
        <w:rPr>
          <w:rtl/>
        </w:rPr>
        <w:t xml:space="preserve"> </w:t>
      </w:r>
      <w:r w:rsidRPr="00C05C60">
        <w:rPr>
          <w:rFonts w:hint="cs"/>
          <w:rtl/>
        </w:rPr>
        <w:t>رانسي</w:t>
      </w:r>
      <w:r w:rsidRPr="00C05C60">
        <w:rPr>
          <w:rtl/>
        </w:rPr>
        <w:br/>
      </w:r>
      <w:r w:rsidRPr="00C05C60">
        <w:rPr>
          <w:rFonts w:hint="cs"/>
          <w:rtl/>
        </w:rPr>
        <w:t>المدير</w:t>
      </w:r>
    </w:p>
    <w:p w:rsidR="00ED6104" w:rsidRPr="00ED6104" w:rsidRDefault="00ED6104" w:rsidP="00695327">
      <w:pPr>
        <w:spacing w:before="840"/>
        <w:jc w:val="lef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426AFC">
        <w:rPr>
          <w:rFonts w:hint="cs"/>
          <w:b/>
          <w:bCs/>
          <w:rtl/>
          <w:lang w:bidi="ar-EG"/>
        </w:rPr>
        <w:t>ات</w:t>
      </w:r>
      <w:r>
        <w:rPr>
          <w:rFonts w:hint="cs"/>
          <w:b/>
          <w:bCs/>
          <w:rtl/>
          <w:lang w:bidi="ar-EG"/>
        </w:rPr>
        <w:t xml:space="preserve">: </w:t>
      </w:r>
      <w:r w:rsidRPr="00426AFC">
        <w:rPr>
          <w:lang w:bidi="ar-EG"/>
        </w:rPr>
        <w:t>1</w:t>
      </w:r>
    </w:p>
    <w:p w:rsidR="005C771D" w:rsidRPr="00C05C60" w:rsidRDefault="005C771D" w:rsidP="00695327">
      <w:pPr>
        <w:tabs>
          <w:tab w:val="clear" w:pos="794"/>
          <w:tab w:val="left" w:pos="283"/>
        </w:tabs>
        <w:spacing w:before="720"/>
        <w:jc w:val="left"/>
        <w:rPr>
          <w:sz w:val="16"/>
          <w:szCs w:val="22"/>
          <w:rtl/>
          <w:lang w:bidi="ar-EG"/>
        </w:rPr>
      </w:pPr>
      <w:r w:rsidRPr="00C05C60">
        <w:rPr>
          <w:b/>
          <w:bCs/>
          <w:sz w:val="16"/>
          <w:szCs w:val="22"/>
          <w:rtl/>
          <w:lang w:bidi="ar-EG"/>
        </w:rPr>
        <w:t>التوزيع</w:t>
      </w:r>
      <w:r w:rsidRPr="00C05C60">
        <w:rPr>
          <w:sz w:val="16"/>
          <w:szCs w:val="22"/>
          <w:rtl/>
          <w:lang w:bidi="ar-EG"/>
        </w:rPr>
        <w:t>:</w:t>
      </w:r>
      <w:bookmarkStart w:id="0" w:name="_GoBack"/>
      <w:bookmarkEnd w:id="0"/>
    </w:p>
    <w:p w:rsidR="005C771D" w:rsidRPr="00C05C60" w:rsidRDefault="005C771D" w:rsidP="002A0BFA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C05C60">
        <w:rPr>
          <w:rFonts w:hint="cs"/>
          <w:sz w:val="16"/>
          <w:szCs w:val="22"/>
          <w:rtl/>
          <w:lang w:bidi="ar-EG"/>
        </w:rPr>
        <w:t>-</w:t>
      </w:r>
      <w:r w:rsidRPr="00C05C60">
        <w:rPr>
          <w:rFonts w:hint="cs"/>
          <w:sz w:val="16"/>
          <w:szCs w:val="22"/>
          <w:rtl/>
          <w:lang w:bidi="ar-EG"/>
        </w:rPr>
        <w:tab/>
      </w:r>
      <w:r w:rsidRPr="00C05C60">
        <w:rPr>
          <w:sz w:val="16"/>
          <w:szCs w:val="22"/>
          <w:rtl/>
          <w:lang w:bidi="ar-EG"/>
        </w:rPr>
        <w:t>إدارات الدول الأعضاء</w:t>
      </w:r>
      <w:r w:rsidRPr="00C05C60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C05C60">
        <w:rPr>
          <w:sz w:val="16"/>
          <w:szCs w:val="22"/>
          <w:rtl/>
          <w:lang w:bidi="ar-EG"/>
        </w:rPr>
        <w:t xml:space="preserve"> </w:t>
      </w:r>
    </w:p>
    <w:p w:rsidR="005C771D" w:rsidRPr="00C05C60" w:rsidRDefault="005C771D" w:rsidP="002A0BFA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C05C60">
        <w:rPr>
          <w:sz w:val="16"/>
          <w:szCs w:val="22"/>
          <w:rtl/>
          <w:lang w:bidi="ar-EG"/>
        </w:rPr>
        <w:t>-</w:t>
      </w:r>
      <w:r w:rsidRPr="00C05C60">
        <w:rPr>
          <w:sz w:val="16"/>
          <w:szCs w:val="22"/>
          <w:rtl/>
          <w:lang w:bidi="ar-EG"/>
        </w:rPr>
        <w:tab/>
        <w:t>أعضاء لجنة لوائح الراديو</w:t>
      </w:r>
    </w:p>
    <w:p w:rsidR="00E332AB" w:rsidRDefault="00E332AB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  <w:sectPr w:rsidR="00E332AB" w:rsidSect="007E6E52">
          <w:head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426AFC" w:rsidRPr="00B11105" w:rsidRDefault="00426AFC" w:rsidP="00426AFC">
      <w:pPr>
        <w:pStyle w:val="Header"/>
        <w:bidi w:val="0"/>
        <w:spacing w:before="120" w:after="120"/>
        <w:jc w:val="center"/>
        <w:rPr>
          <w:rFonts w:cstheme="minorBidi"/>
          <w:sz w:val="20"/>
          <w:szCs w:val="20"/>
          <w:rtl/>
          <w:lang w:val="en-GB" w:bidi="ar-SY"/>
        </w:rPr>
      </w:pPr>
    </w:p>
    <w:p w:rsidR="00CC199A" w:rsidRPr="007C19E8" w:rsidRDefault="00CC199A" w:rsidP="00CC199A">
      <w:pPr>
        <w:pStyle w:val="AnnexNo0"/>
        <w:spacing w:before="0"/>
        <w:rPr>
          <w:lang w:val="en-US"/>
        </w:rPr>
      </w:pPr>
      <w:r w:rsidRPr="007C19E8">
        <w:rPr>
          <w:lang w:val="en-US"/>
        </w:rPr>
        <w:t>Annex</w:t>
      </w:r>
    </w:p>
    <w:p w:rsidR="00CC199A" w:rsidRDefault="00CC199A" w:rsidP="00CC199A">
      <w:pPr>
        <w:pStyle w:val="AnnexNoTitle"/>
        <w:spacing w:before="240"/>
      </w:pPr>
      <w:r w:rsidRPr="007C19E8">
        <w:t xml:space="preserve">Functional structure of </w:t>
      </w:r>
      <w:proofErr w:type="spellStart"/>
      <w:r w:rsidRPr="007C19E8">
        <w:t>Notex</w:t>
      </w:r>
      <w:proofErr w:type="spellEnd"/>
      <w:r w:rsidRPr="007C19E8">
        <w:t xml:space="preserve"> Online Query System</w:t>
      </w:r>
    </w:p>
    <w:p w:rsidR="00CC199A" w:rsidRDefault="00CC199A" w:rsidP="00CC199A">
      <w:pPr>
        <w:bidi w:val="0"/>
        <w:rPr>
          <w:lang w:eastAsia="en-US"/>
        </w:rPr>
      </w:pPr>
    </w:p>
    <w:p w:rsidR="00CC199A" w:rsidRPr="00CC199A" w:rsidRDefault="00CC199A" w:rsidP="00CC199A">
      <w:pPr>
        <w:bidi w:val="0"/>
        <w:rPr>
          <w:lang w:eastAsia="en-US"/>
        </w:rPr>
      </w:pPr>
    </w:p>
    <w:p w:rsidR="00185E59" w:rsidRDefault="00CC199A" w:rsidP="00CC199A">
      <w:pPr>
        <w:tabs>
          <w:tab w:val="clear" w:pos="794"/>
          <w:tab w:val="left" w:pos="283"/>
        </w:tabs>
        <w:spacing w:before="0"/>
        <w:jc w:val="center"/>
      </w:pPr>
      <w:r w:rsidRPr="001B2A40">
        <w:rPr>
          <w:lang w:val="ru-RU"/>
        </w:rPr>
        <w:object w:dxaOrig="17086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2pt;height:324pt" o:ole="">
            <v:imagedata r:id="rId14" o:title="" cropleft="988f" cropright="1330f"/>
          </v:shape>
          <o:OLEObject Type="Embed" ProgID="Visio.Drawing.15" ShapeID="_x0000_i1025" DrawAspect="Content" ObjectID="_1521624930" r:id="rId15"/>
        </w:object>
      </w:r>
    </w:p>
    <w:p w:rsidR="00426AFC" w:rsidRPr="00CC199A" w:rsidRDefault="00426AFC" w:rsidP="00426AFC">
      <w:pPr>
        <w:tabs>
          <w:tab w:val="clear" w:pos="794"/>
          <w:tab w:val="left" w:pos="283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______________</w:t>
      </w:r>
    </w:p>
    <w:sectPr w:rsidR="00426AFC" w:rsidRPr="00CC199A" w:rsidSect="008253E3">
      <w:headerReference w:type="first" r:id="rId16"/>
      <w:footerReference w:type="first" r:id="rId17"/>
      <w:pgSz w:w="16840" w:h="11907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60" w:rsidRDefault="00C05C60" w:rsidP="00F36590">
      <w:pPr>
        <w:spacing w:before="0" w:line="240" w:lineRule="auto"/>
      </w:pPr>
      <w:r>
        <w:separator/>
      </w:r>
    </w:p>
  </w:endnote>
  <w:endnote w:type="continuationSeparator" w:id="0">
    <w:p w:rsidR="00C05C60" w:rsidRDefault="00C05C60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767B80" w:rsidRDefault="007E6E52" w:rsidP="00E3407A">
    <w:pPr>
      <w:pStyle w:val="Footer"/>
      <w:jc w:val="center"/>
      <w:rPr>
        <w:rFonts w:hAnsi="Calibri"/>
        <w:color w:val="0070C0"/>
        <w:sz w:val="18"/>
        <w:szCs w:val="18"/>
        <w:lang w:val="fr-CH"/>
      </w:rPr>
    </w:pPr>
    <w:r w:rsidRPr="00767B8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767B8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767B8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767B8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767B8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767B8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767B8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767B8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767B8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767B8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767B80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="00CB3E2E" w:rsidRPr="00767B80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 w:rsidRPr="00767B80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 w:rsidRPr="00767B80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AB" w:rsidRPr="008F1022" w:rsidRDefault="00E332AB" w:rsidP="008F1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60" w:rsidRDefault="00C05C60" w:rsidP="00F36590">
      <w:pPr>
        <w:spacing w:before="0" w:line="240" w:lineRule="auto"/>
      </w:pPr>
      <w:r>
        <w:separator/>
      </w:r>
    </w:p>
  </w:footnote>
  <w:footnote w:type="continuationSeparator" w:id="0">
    <w:p w:rsidR="00C05C60" w:rsidRDefault="00C05C60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695327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AB" w:rsidRPr="001D1D7B" w:rsidRDefault="00E332AB" w:rsidP="007E6E52">
    <w:pPr>
      <w:pStyle w:val="Header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60"/>
    <w:rsid w:val="00083A9A"/>
    <w:rsid w:val="00090574"/>
    <w:rsid w:val="000B73F4"/>
    <w:rsid w:val="00185E59"/>
    <w:rsid w:val="001A04CA"/>
    <w:rsid w:val="001D1D7B"/>
    <w:rsid w:val="0023283D"/>
    <w:rsid w:val="00241274"/>
    <w:rsid w:val="00250AB0"/>
    <w:rsid w:val="002978F4"/>
    <w:rsid w:val="002A0BFA"/>
    <w:rsid w:val="002B028D"/>
    <w:rsid w:val="002E6541"/>
    <w:rsid w:val="003340E7"/>
    <w:rsid w:val="00335CE7"/>
    <w:rsid w:val="003403A3"/>
    <w:rsid w:val="00341FFF"/>
    <w:rsid w:val="00357185"/>
    <w:rsid w:val="003B65BD"/>
    <w:rsid w:val="0040525C"/>
    <w:rsid w:val="0042686F"/>
    <w:rsid w:val="00426AFC"/>
    <w:rsid w:val="00443869"/>
    <w:rsid w:val="00443BF4"/>
    <w:rsid w:val="00447D39"/>
    <w:rsid w:val="00485E78"/>
    <w:rsid w:val="004B2ED5"/>
    <w:rsid w:val="004C6CD2"/>
    <w:rsid w:val="004D704B"/>
    <w:rsid w:val="004E71C6"/>
    <w:rsid w:val="00517670"/>
    <w:rsid w:val="00537131"/>
    <w:rsid w:val="0055516A"/>
    <w:rsid w:val="005C771D"/>
    <w:rsid w:val="005F4897"/>
    <w:rsid w:val="00606388"/>
    <w:rsid w:val="00695327"/>
    <w:rsid w:val="006D2981"/>
    <w:rsid w:val="006E1CFD"/>
    <w:rsid w:val="006F63F7"/>
    <w:rsid w:val="00706D7A"/>
    <w:rsid w:val="007130AD"/>
    <w:rsid w:val="00714C7B"/>
    <w:rsid w:val="00733D09"/>
    <w:rsid w:val="00767B80"/>
    <w:rsid w:val="007E6E52"/>
    <w:rsid w:val="00803E1E"/>
    <w:rsid w:val="008235CD"/>
    <w:rsid w:val="008253E3"/>
    <w:rsid w:val="008513CB"/>
    <w:rsid w:val="008F1022"/>
    <w:rsid w:val="00951EBA"/>
    <w:rsid w:val="00956A1A"/>
    <w:rsid w:val="00982B28"/>
    <w:rsid w:val="009C4BAE"/>
    <w:rsid w:val="009E342A"/>
    <w:rsid w:val="00A0706D"/>
    <w:rsid w:val="00A97F94"/>
    <w:rsid w:val="00AA305C"/>
    <w:rsid w:val="00AB7CE2"/>
    <w:rsid w:val="00B078CB"/>
    <w:rsid w:val="00B11105"/>
    <w:rsid w:val="00B5527F"/>
    <w:rsid w:val="00BA1598"/>
    <w:rsid w:val="00BB6E37"/>
    <w:rsid w:val="00C05C60"/>
    <w:rsid w:val="00C65978"/>
    <w:rsid w:val="00C65B54"/>
    <w:rsid w:val="00C674FE"/>
    <w:rsid w:val="00C75633"/>
    <w:rsid w:val="00CB3E2E"/>
    <w:rsid w:val="00CC199A"/>
    <w:rsid w:val="00CE2EE1"/>
    <w:rsid w:val="00CF3FFD"/>
    <w:rsid w:val="00D3440A"/>
    <w:rsid w:val="00D77D0F"/>
    <w:rsid w:val="00DA1CF0"/>
    <w:rsid w:val="00DC24B4"/>
    <w:rsid w:val="00DF16DC"/>
    <w:rsid w:val="00E02604"/>
    <w:rsid w:val="00E332AB"/>
    <w:rsid w:val="00E3407A"/>
    <w:rsid w:val="00E45211"/>
    <w:rsid w:val="00E64F8E"/>
    <w:rsid w:val="00E96F8D"/>
    <w:rsid w:val="00EA7559"/>
    <w:rsid w:val="00ED6104"/>
    <w:rsid w:val="00F12FBC"/>
    <w:rsid w:val="00F35BE1"/>
    <w:rsid w:val="00F36590"/>
    <w:rsid w:val="00F84366"/>
    <w:rsid w:val="00F85089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B838C47-47F9-49AB-8279-7BF8FB1A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956A1A"/>
    <w:pPr>
      <w:spacing w:before="60" w:after="60" w:line="260" w:lineRule="exact"/>
      <w:jc w:val="center"/>
    </w:pPr>
    <w:rPr>
      <w:sz w:val="20"/>
      <w:szCs w:val="26"/>
      <w:lang w:bidi="ar-EG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styleId="Revision">
    <w:name w:val="Revision"/>
    <w:hidden/>
    <w:uiPriority w:val="99"/>
    <w:semiHidden/>
    <w:rsid w:val="008253E3"/>
    <w:pPr>
      <w:spacing w:after="0" w:line="240" w:lineRule="auto"/>
    </w:pPr>
    <w:rPr>
      <w:rFonts w:ascii="Calibri" w:hAnsi="Calibri" w:cs="Traditional Arabic"/>
      <w:szCs w:val="30"/>
    </w:rPr>
  </w:style>
  <w:style w:type="paragraph" w:customStyle="1" w:styleId="AnnexNoTitle">
    <w:name w:val="Annex_NoTitle"/>
    <w:basedOn w:val="Normal"/>
    <w:next w:val="Normal"/>
    <w:rsid w:val="00CC199A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after="120" w:line="240" w:lineRule="auto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AnnexNo0">
    <w:name w:val="Annex_No"/>
    <w:basedOn w:val="Normal"/>
    <w:next w:val="Normal"/>
    <w:rsid w:val="00CC199A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4/ITU-R/noq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11111111111111.vsdx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go/notex/" TargetMode="Externa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B50F-87AA-4BE3-ACE0-2039C758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Anghelone, Christine</cp:lastModifiedBy>
  <cp:revision>5</cp:revision>
  <dcterms:created xsi:type="dcterms:W3CDTF">2016-04-08T10:28:00Z</dcterms:created>
  <dcterms:modified xsi:type="dcterms:W3CDTF">2016-04-08T10:49:00Z</dcterms:modified>
</cp:coreProperties>
</file>