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841B33" w:rsidP="00E17344">
            <w:pPr>
              <w:spacing w:before="0"/>
              <w:jc w:val="left"/>
              <w:rPr>
                <w:szCs w:val="24"/>
                <w:lang w:val="fr-CH"/>
              </w:rPr>
            </w:pPr>
            <w:proofErr w:type="spellStart"/>
            <w:r w:rsidRPr="00F72E22">
              <w:rPr>
                <w:szCs w:val="24"/>
                <w:lang w:val="fr-CH"/>
              </w:rPr>
              <w:t>Circular</w:t>
            </w:r>
            <w:proofErr w:type="spellEnd"/>
            <w:r w:rsidRPr="00F72E22">
              <w:rPr>
                <w:szCs w:val="24"/>
                <w:lang w:val="fr-CH"/>
              </w:rPr>
              <w:t xml:space="preserve"> </w:t>
            </w:r>
            <w:proofErr w:type="spellStart"/>
            <w:r w:rsidRPr="00F72E22">
              <w:rPr>
                <w:szCs w:val="24"/>
                <w:lang w:val="fr-CH"/>
              </w:rPr>
              <w:t>Letter</w:t>
            </w:r>
            <w:proofErr w:type="spellEnd"/>
          </w:p>
          <w:p w:rsidR="00651777" w:rsidRPr="00CD4E44" w:rsidRDefault="00E17344" w:rsidP="00AC14E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</w:t>
            </w:r>
            <w:r w:rsidR="00841B33">
              <w:rPr>
                <w:b/>
                <w:bCs/>
                <w:szCs w:val="24"/>
                <w:lang w:val="fr-CH"/>
              </w:rPr>
              <w:t>R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AC14E6">
              <w:rPr>
                <w:b/>
                <w:bCs/>
                <w:szCs w:val="24"/>
                <w:lang w:val="fr-CH"/>
              </w:rPr>
              <w:t>396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862D87" w:rsidP="000B660F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  <w:r w:rsidR="000B660F">
              <w:rPr>
                <w:szCs w:val="24"/>
                <w:lang w:val="en-GB"/>
              </w:rPr>
              <w:t xml:space="preserve">1 </w:t>
            </w:r>
            <w:r w:rsidR="005722A7">
              <w:rPr>
                <w:szCs w:val="24"/>
                <w:lang w:val="en-GB"/>
              </w:rPr>
              <w:t>March</w:t>
            </w:r>
            <w:r w:rsidR="008D47D1">
              <w:rPr>
                <w:szCs w:val="24"/>
                <w:lang w:val="en-GB"/>
              </w:rPr>
              <w:t xml:space="preserve"> 201</w:t>
            </w:r>
            <w:r w:rsidR="005722A7">
              <w:rPr>
                <w:szCs w:val="24"/>
                <w:lang w:val="en-GB"/>
              </w:rPr>
              <w:t>6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</w:t>
            </w:r>
            <w:r w:rsidR="00BE35C0">
              <w:rPr>
                <w:b/>
                <w:bCs/>
                <w:szCs w:val="24"/>
              </w:rPr>
              <w:t>ons of Member States of the ITU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37309C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CD4E44" w:rsidRDefault="00FD51D0" w:rsidP="00B13E4C">
            <w:pPr>
              <w:spacing w:before="0"/>
              <w:rPr>
                <w:b/>
                <w:bCs/>
                <w:szCs w:val="24"/>
                <w:lang w:val="en-GB"/>
              </w:rPr>
            </w:pPr>
            <w:r w:rsidRPr="00FD51D0">
              <w:rPr>
                <w:b/>
                <w:bCs/>
                <w:szCs w:val="24"/>
              </w:rPr>
              <w:t>Use of one space station to bring frequency assignments to geostationary-satellite networks at different orbital locations into use within a short period of time</w:t>
            </w: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FD51D0" w:rsidRDefault="00FD51D0" w:rsidP="00752B5F">
      <w:pPr>
        <w:spacing w:before="360" w:line="240" w:lineRule="auto"/>
        <w:ind w:left="142"/>
      </w:pPr>
      <w:r>
        <w:t>The World Radioc</w:t>
      </w:r>
      <w:r w:rsidR="000D0CE5">
        <w:t>ommunication Conference, Geneva</w:t>
      </w:r>
      <w:r>
        <w:t xml:space="preserve"> 2015 (WRC-15) adopted Resolution </w:t>
      </w:r>
      <w:r w:rsidRPr="00EF791C">
        <w:rPr>
          <w:b/>
          <w:bCs/>
        </w:rPr>
        <w:t>40</w:t>
      </w:r>
      <w:r>
        <w:t xml:space="preserve"> </w:t>
      </w:r>
      <w:r w:rsidR="00623156">
        <w:br/>
      </w:r>
      <w:r>
        <w:t>(WRC-15)</w:t>
      </w:r>
      <w:r w:rsidR="000D0CE5">
        <w:t xml:space="preserve"> which</w:t>
      </w:r>
      <w:r w:rsidR="009168E2">
        <w:t xml:space="preserve"> </w:t>
      </w:r>
      <w:r w:rsidR="009168E2" w:rsidRPr="009168E2">
        <w:t>entered into force on 28 November 2015</w:t>
      </w:r>
      <w:r>
        <w:t xml:space="preserve"> </w:t>
      </w:r>
      <w:r w:rsidR="000D0CE5">
        <w:t>and</w:t>
      </w:r>
      <w:r>
        <w:t xml:space="preserve"> deal</w:t>
      </w:r>
      <w:r w:rsidR="000D0CE5">
        <w:t>s with the use of</w:t>
      </w:r>
      <w:r>
        <w:t xml:space="preserve"> one space station to bring frequency assignments to geostationary-satellite networks at different orbital locations into use</w:t>
      </w:r>
      <w:r w:rsidR="00114E1A">
        <w:t xml:space="preserve"> within a short </w:t>
      </w:r>
      <w:proofErr w:type="gramStart"/>
      <w:r w:rsidR="00114E1A">
        <w:t>period of time</w:t>
      </w:r>
      <w:proofErr w:type="gramEnd"/>
      <w:r w:rsidR="00114E1A">
        <w:t>.</w:t>
      </w:r>
    </w:p>
    <w:p w:rsidR="000D0CE5" w:rsidRPr="00EC2346" w:rsidRDefault="00186082" w:rsidP="00752B5F">
      <w:pPr>
        <w:spacing w:line="240" w:lineRule="auto"/>
        <w:ind w:left="142"/>
        <w:rPr>
          <w:rFonts w:asciiTheme="minorHAnsi" w:hAnsiTheme="minorHAnsi"/>
          <w:szCs w:val="24"/>
        </w:rPr>
      </w:pPr>
      <w:r>
        <w:t xml:space="preserve">In accordance </w:t>
      </w:r>
      <w:r w:rsidR="00FD51D0">
        <w:t xml:space="preserve">with </w:t>
      </w:r>
      <w:r w:rsidR="00820768">
        <w:rPr>
          <w:i/>
          <w:iCs/>
        </w:rPr>
        <w:t xml:space="preserve">resolves </w:t>
      </w:r>
      <w:r w:rsidR="00820768" w:rsidRPr="00565A5C">
        <w:t>1 of</w:t>
      </w:r>
      <w:r w:rsidR="00820768">
        <w:rPr>
          <w:i/>
          <w:iCs/>
        </w:rPr>
        <w:t xml:space="preserve"> </w:t>
      </w:r>
      <w:r w:rsidR="00FD51D0">
        <w:t>Resolution</w:t>
      </w:r>
      <w:r w:rsidR="00820768">
        <w:t xml:space="preserve"> </w:t>
      </w:r>
      <w:r w:rsidR="00820768" w:rsidRPr="00EF791C">
        <w:rPr>
          <w:b/>
          <w:bCs/>
        </w:rPr>
        <w:t>40</w:t>
      </w:r>
      <w:r w:rsidR="009168E2">
        <w:t xml:space="preserve"> </w:t>
      </w:r>
      <w:r w:rsidR="00820768">
        <w:t>(WRC-15)</w:t>
      </w:r>
      <w:r w:rsidR="00623156">
        <w:t>,</w:t>
      </w:r>
      <w:r w:rsidR="00114E1A">
        <w:t xml:space="preserve"> </w:t>
      </w:r>
      <w:r w:rsidR="00EC2346" w:rsidRPr="00EC2346">
        <w:rPr>
          <w:rFonts w:asciiTheme="minorHAnsi" w:hAnsiTheme="minorHAnsi"/>
          <w:szCs w:val="24"/>
        </w:rPr>
        <w:t>when informing the Bureau of the bringing into use, or bringing back into use after suspension, of a frequency assignment to a space station in a geostationary-satellite network, the notifying administration shall indicate to the Bureau whether or not this action has been accomplished with a space station that has previously been used to bring into use, or resume the use of, frequency assignments at a different orbital location within the three years prior to the date of</w:t>
      </w:r>
      <w:r w:rsidR="00EF791C">
        <w:rPr>
          <w:rFonts w:asciiTheme="minorHAnsi" w:hAnsiTheme="minorHAnsi"/>
          <w:szCs w:val="24"/>
        </w:rPr>
        <w:t xml:space="preserve"> submission of this information.</w:t>
      </w:r>
    </w:p>
    <w:p w:rsidR="00EC2346" w:rsidRPr="00E87CF9" w:rsidRDefault="000D0CE5" w:rsidP="00752B5F">
      <w:pPr>
        <w:spacing w:line="240" w:lineRule="auto"/>
        <w:ind w:left="142"/>
      </w:pPr>
      <w:r>
        <w:t xml:space="preserve">In accordance with </w:t>
      </w:r>
      <w:r>
        <w:rPr>
          <w:i/>
          <w:iCs/>
        </w:rPr>
        <w:t xml:space="preserve">resolves </w:t>
      </w:r>
      <w:r>
        <w:t xml:space="preserve">2 of Resolution </w:t>
      </w:r>
      <w:r w:rsidRPr="00EF791C">
        <w:rPr>
          <w:b/>
          <w:bCs/>
        </w:rPr>
        <w:t>40</w:t>
      </w:r>
      <w:r>
        <w:t xml:space="preserve"> (WRC-15)</w:t>
      </w:r>
      <w:r w:rsidR="00114E1A">
        <w:t xml:space="preserve">, </w:t>
      </w:r>
      <w:r w:rsidR="00EC2346" w:rsidRPr="00E87CF9">
        <w:t xml:space="preserve">in cases where a notifying administration informs the Bureau, pursuant to </w:t>
      </w:r>
      <w:r w:rsidR="00EC2346" w:rsidRPr="00E87CF9">
        <w:rPr>
          <w:i/>
        </w:rPr>
        <w:t>resolves </w:t>
      </w:r>
      <w:r w:rsidR="00EC2346" w:rsidRPr="00E87CF9">
        <w:t>1 above, that it has brought into use, or resumed the use after suspension of, a frequency assignment to a space station in a geostationary-satellite network with a space station that has previously been used to bring into use, or resume the use of, frequency assignments at a different orbital location within three years prior to the date of submission of this information, the notifying administration shall also indicate, for that same three-year period:</w:t>
      </w:r>
    </w:p>
    <w:p w:rsidR="00EC2346" w:rsidRPr="00E87CF9" w:rsidRDefault="00EC2346" w:rsidP="00230C1B">
      <w:pPr>
        <w:pStyle w:val="enumlev1"/>
        <w:ind w:hanging="652"/>
      </w:pPr>
      <w:r w:rsidRPr="00E87CF9">
        <w:t>a)</w:t>
      </w:r>
      <w:r w:rsidRPr="00E87CF9">
        <w:tab/>
      </w:r>
      <w:proofErr w:type="gramStart"/>
      <w:r w:rsidRPr="00E87CF9">
        <w:t>the</w:t>
      </w:r>
      <w:proofErr w:type="gramEnd"/>
      <w:r w:rsidRPr="00E87CF9">
        <w:t xml:space="preserve"> last orbital location where the space station was used to bring into use, or resume the use of, frequency assignments;</w:t>
      </w:r>
    </w:p>
    <w:p w:rsidR="00EC2346" w:rsidRPr="00E87CF9" w:rsidRDefault="00EC2346" w:rsidP="00752B5F">
      <w:pPr>
        <w:pStyle w:val="enumlev1"/>
        <w:ind w:left="142" w:firstLine="0"/>
      </w:pPr>
      <w:r w:rsidRPr="00E87CF9">
        <w:t>b)</w:t>
      </w:r>
      <w:r w:rsidRPr="00E87CF9">
        <w:tab/>
      </w:r>
      <w:proofErr w:type="gramStart"/>
      <w:r w:rsidRPr="00E87CF9">
        <w:t>the</w:t>
      </w:r>
      <w:proofErr w:type="gramEnd"/>
      <w:r w:rsidRPr="00E87CF9">
        <w:t xml:space="preserve"> satellite network(s) with which the frequency assignment</w:t>
      </w:r>
      <w:r w:rsidR="00EF791C">
        <w:t>s in a) above were associated;</w:t>
      </w:r>
    </w:p>
    <w:p w:rsidR="00EC2346" w:rsidRPr="00E87CF9" w:rsidRDefault="00EC2346" w:rsidP="00752B5F">
      <w:pPr>
        <w:pStyle w:val="enumlev1"/>
        <w:ind w:left="142" w:firstLine="0"/>
      </w:pPr>
      <w:r w:rsidRPr="00E87CF9">
        <w:t>c)</w:t>
      </w:r>
      <w:r w:rsidRPr="00E87CF9">
        <w:tab/>
      </w:r>
      <w:proofErr w:type="gramStart"/>
      <w:r w:rsidRPr="00E87CF9">
        <w:t>the</w:t>
      </w:r>
      <w:proofErr w:type="gramEnd"/>
      <w:r w:rsidRPr="00E87CF9">
        <w:t xml:space="preserve"> date on which the space station was no longer maintained at the</w:t>
      </w:r>
      <w:r w:rsidR="003C455F">
        <w:t xml:space="preserve"> orbital location in </w:t>
      </w:r>
      <w:r w:rsidR="0088039D">
        <w:br/>
      </w:r>
      <w:r w:rsidR="00230C1B">
        <w:tab/>
      </w:r>
      <w:r w:rsidR="00EF791C">
        <w:t>a) above.</w:t>
      </w:r>
    </w:p>
    <w:p w:rsidR="00656D31" w:rsidRDefault="00656D31" w:rsidP="00752B5F">
      <w:pPr>
        <w:spacing w:line="240" w:lineRule="auto"/>
        <w:ind w:left="142"/>
      </w:pPr>
    </w:p>
    <w:p w:rsidR="000C2B1E" w:rsidRDefault="00B8064E" w:rsidP="00752B5F">
      <w:pPr>
        <w:spacing w:line="240" w:lineRule="auto"/>
        <w:ind w:left="142"/>
      </w:pPr>
      <w:bookmarkStart w:id="0" w:name="_GoBack"/>
      <w:bookmarkEnd w:id="0"/>
      <w:r>
        <w:lastRenderedPageBreak/>
        <w:t>T</w:t>
      </w:r>
      <w:r w:rsidR="00F34020">
        <w:t xml:space="preserve">he </w:t>
      </w:r>
      <w:r w:rsidR="00FD51D0">
        <w:t>Bureau</w:t>
      </w:r>
      <w:r w:rsidR="00F34020">
        <w:t xml:space="preserve"> is pleased to inform</w:t>
      </w:r>
      <w:r w:rsidR="00FD51D0">
        <w:t xml:space="preserve"> administrations</w:t>
      </w:r>
      <w:r w:rsidR="00F34020">
        <w:t xml:space="preserve"> that a specific</w:t>
      </w:r>
      <w:r w:rsidR="00FD51D0">
        <w:t xml:space="preserve"> </w:t>
      </w:r>
      <w:r w:rsidR="00F34020">
        <w:t>form has been developed</w:t>
      </w:r>
      <w:r w:rsidR="00352A15">
        <w:t xml:space="preserve"> to </w:t>
      </w:r>
      <w:r>
        <w:t xml:space="preserve">facilitate the submission of </w:t>
      </w:r>
      <w:r w:rsidR="00D91794">
        <w:t xml:space="preserve">the above information. </w:t>
      </w:r>
      <w:r w:rsidR="00932122" w:rsidRPr="005746D1">
        <w:t>The form</w:t>
      </w:r>
      <w:r w:rsidR="00D91794" w:rsidRPr="005746D1">
        <w:t xml:space="preserve"> is</w:t>
      </w:r>
      <w:r w:rsidR="00D91794">
        <w:t xml:space="preserve"> </w:t>
      </w:r>
      <w:r w:rsidR="00FD51D0">
        <w:t>attached in the Annex</w:t>
      </w:r>
      <w:r w:rsidR="00D91794">
        <w:t xml:space="preserve"> and</w:t>
      </w:r>
      <w:r w:rsidR="00F34020">
        <w:t xml:space="preserve"> </w:t>
      </w:r>
      <w:r w:rsidR="00D91794">
        <w:t xml:space="preserve">also </w:t>
      </w:r>
      <w:r>
        <w:t>available at</w:t>
      </w:r>
      <w:r w:rsidR="00FD51D0">
        <w:t xml:space="preserve"> </w:t>
      </w:r>
      <w:hyperlink r:id="rId8" w:history="1">
        <w:r w:rsidR="00FD51D0">
          <w:rPr>
            <w:rStyle w:val="Hyperlink"/>
            <w:lang w:eastAsia="zh-CN"/>
          </w:rPr>
          <w:t>http://www.itu.int/ITU-R/go/space-res40-form</w:t>
        </w:r>
      </w:hyperlink>
      <w:r w:rsidR="003311C5">
        <w:t>.</w:t>
      </w:r>
    </w:p>
    <w:p w:rsidR="003A6009" w:rsidRPr="00623156" w:rsidRDefault="00186082" w:rsidP="00752B5F">
      <w:pPr>
        <w:spacing w:line="240" w:lineRule="auto"/>
        <w:ind w:left="142"/>
      </w:pPr>
      <w:proofErr w:type="gramStart"/>
      <w:r>
        <w:t xml:space="preserve">Administrations </w:t>
      </w:r>
      <w:r w:rsidR="00FD51D0">
        <w:t xml:space="preserve">are requested to </w:t>
      </w:r>
      <w:r w:rsidR="00B8064E">
        <w:t xml:space="preserve">use </w:t>
      </w:r>
      <w:r w:rsidR="00FD51D0">
        <w:t xml:space="preserve">this form and send it </w:t>
      </w:r>
      <w:r w:rsidR="00FF12D9">
        <w:t xml:space="preserve">completed </w:t>
      </w:r>
      <w:r w:rsidR="00FD51D0">
        <w:t xml:space="preserve">to the Bureau by telefax pending the implementation of modern electronic means of communication under Resolution </w:t>
      </w:r>
      <w:r w:rsidR="00FD51D0" w:rsidRPr="00623156">
        <w:rPr>
          <w:b/>
          <w:bCs/>
        </w:rPr>
        <w:t>907</w:t>
      </w:r>
      <w:r w:rsidR="00FD51D0">
        <w:t xml:space="preserve"> </w:t>
      </w:r>
      <w:r w:rsidR="00FD51D0" w:rsidRPr="005746D1">
        <w:t>(Rev. WRC-15)</w:t>
      </w:r>
      <w:r>
        <w:t xml:space="preserve">, </w:t>
      </w:r>
      <w:r w:rsidR="00932122" w:rsidRPr="005746D1">
        <w:t xml:space="preserve">when informing the </w:t>
      </w:r>
      <w:proofErr w:type="spellStart"/>
      <w:r w:rsidR="00932122" w:rsidRPr="005746D1">
        <w:t>Radiocommunication</w:t>
      </w:r>
      <w:proofErr w:type="spellEnd"/>
      <w:r w:rsidR="00932122" w:rsidRPr="005746D1">
        <w:t xml:space="preserve"> Bureau of the bringing into use</w:t>
      </w:r>
      <w:r w:rsidR="00FF12D9" w:rsidRPr="005746D1">
        <w:t xml:space="preserve"> of</w:t>
      </w:r>
      <w:r w:rsidR="00932122" w:rsidRPr="005746D1">
        <w:t xml:space="preserve"> </w:t>
      </w:r>
      <w:r w:rsidR="003D639F" w:rsidRPr="005746D1">
        <w:t xml:space="preserve">assignments </w:t>
      </w:r>
      <w:r w:rsidR="00DC1872" w:rsidRPr="00DC1872">
        <w:t xml:space="preserve">to a GSO space station (including assignments in Appendices </w:t>
      </w:r>
      <w:r w:rsidR="00DC1872" w:rsidRPr="009C25FD">
        <w:rPr>
          <w:b/>
          <w:bCs/>
        </w:rPr>
        <w:t>30</w:t>
      </w:r>
      <w:r w:rsidR="00DC1872" w:rsidRPr="00DC1872">
        <w:t>,</w:t>
      </w:r>
      <w:r w:rsidR="00864F5F">
        <w:t xml:space="preserve"> </w:t>
      </w:r>
      <w:r w:rsidR="00DC1872" w:rsidRPr="009C25FD">
        <w:rPr>
          <w:b/>
          <w:bCs/>
        </w:rPr>
        <w:t>30A</w:t>
      </w:r>
      <w:r w:rsidR="00DC1872" w:rsidRPr="00DC1872">
        <w:t xml:space="preserve"> and </w:t>
      </w:r>
      <w:r w:rsidR="00DC1872" w:rsidRPr="009C25FD">
        <w:rPr>
          <w:b/>
          <w:bCs/>
        </w:rPr>
        <w:t>30B</w:t>
      </w:r>
      <w:r w:rsidR="00DC1872" w:rsidRPr="00DC1872">
        <w:t xml:space="preserve">) </w:t>
      </w:r>
      <w:r w:rsidR="00C3507C" w:rsidRPr="005746D1">
        <w:t xml:space="preserve">under No. </w:t>
      </w:r>
      <w:r w:rsidR="00C3507C" w:rsidRPr="00623156">
        <w:rPr>
          <w:b/>
          <w:bCs/>
        </w:rPr>
        <w:t>11.44</w:t>
      </w:r>
      <w:r w:rsidR="003D639F" w:rsidRPr="00623156">
        <w:rPr>
          <w:b/>
          <w:bCs/>
        </w:rPr>
        <w:t>B</w:t>
      </w:r>
      <w:r w:rsidR="009979B2" w:rsidRPr="005746D1">
        <w:t>,</w:t>
      </w:r>
      <w:r w:rsidR="00C3507C" w:rsidRPr="005746D1">
        <w:t xml:space="preserve"> </w:t>
      </w:r>
      <w:r w:rsidR="009979B2" w:rsidRPr="005746D1">
        <w:t xml:space="preserve">the </w:t>
      </w:r>
      <w:r w:rsidR="00C3507C" w:rsidRPr="005746D1">
        <w:t xml:space="preserve">bringing back into use under No. </w:t>
      </w:r>
      <w:r w:rsidR="00C3507C" w:rsidRPr="00623156">
        <w:rPr>
          <w:b/>
          <w:bCs/>
        </w:rPr>
        <w:t>11.49</w:t>
      </w:r>
      <w:r w:rsidR="003D639F" w:rsidRPr="00623156">
        <w:rPr>
          <w:b/>
          <w:bCs/>
        </w:rPr>
        <w:t>.1</w:t>
      </w:r>
      <w:r w:rsidR="009979B2" w:rsidRPr="005746D1">
        <w:t xml:space="preserve">, the </w:t>
      </w:r>
      <w:r w:rsidR="00D643ED" w:rsidRPr="005746D1">
        <w:rPr>
          <w:rFonts w:asciiTheme="minorHAnsi" w:hAnsiTheme="minorHAnsi"/>
          <w:bCs/>
        </w:rPr>
        <w:t>br</w:t>
      </w:r>
      <w:r w:rsidR="009979B2" w:rsidRPr="005746D1">
        <w:rPr>
          <w:rFonts w:asciiTheme="minorHAnsi" w:hAnsiTheme="minorHAnsi"/>
          <w:bCs/>
        </w:rPr>
        <w:t>inging</w:t>
      </w:r>
      <w:r w:rsidR="00D643ED" w:rsidRPr="005746D1">
        <w:rPr>
          <w:rFonts w:asciiTheme="minorHAnsi" w:hAnsiTheme="minorHAnsi"/>
          <w:bCs/>
        </w:rPr>
        <w:t xml:space="preserve"> back into use under 20bis </w:t>
      </w:r>
      <w:r w:rsidR="00DC1872">
        <w:rPr>
          <w:rFonts w:asciiTheme="minorHAnsi" w:hAnsiTheme="minorHAnsi"/>
          <w:bCs/>
        </w:rPr>
        <w:t xml:space="preserve">of §5.2.10 of Appendix </w:t>
      </w:r>
      <w:r w:rsidR="00DC1872" w:rsidRPr="00864F5F">
        <w:rPr>
          <w:rFonts w:asciiTheme="minorHAnsi" w:hAnsiTheme="minorHAnsi"/>
          <w:b/>
        </w:rPr>
        <w:t>30</w:t>
      </w:r>
      <w:r w:rsidR="00DC1872">
        <w:rPr>
          <w:rFonts w:asciiTheme="minorHAnsi" w:hAnsiTheme="minorHAnsi"/>
          <w:bCs/>
        </w:rPr>
        <w:t xml:space="preserve"> </w:t>
      </w:r>
      <w:r w:rsidR="00D643ED" w:rsidRPr="005746D1">
        <w:rPr>
          <w:rFonts w:asciiTheme="minorHAnsi" w:hAnsiTheme="minorHAnsi"/>
          <w:bCs/>
        </w:rPr>
        <w:t xml:space="preserve">and 24bis of </w:t>
      </w:r>
      <w:r w:rsidR="00DC1872">
        <w:rPr>
          <w:rFonts w:asciiTheme="minorHAnsi" w:hAnsiTheme="minorHAnsi"/>
          <w:bCs/>
        </w:rPr>
        <w:t>§</w:t>
      </w:r>
      <w:r w:rsidR="00D643ED" w:rsidRPr="00186082">
        <w:rPr>
          <w:rFonts w:asciiTheme="minorHAnsi" w:hAnsiTheme="minorHAnsi"/>
          <w:bCs/>
        </w:rPr>
        <w:t>5.</w:t>
      </w:r>
      <w:r w:rsidR="00DC1872">
        <w:rPr>
          <w:rFonts w:asciiTheme="minorHAnsi" w:hAnsiTheme="minorHAnsi"/>
          <w:bCs/>
        </w:rPr>
        <w:t>2.</w:t>
      </w:r>
      <w:r w:rsidR="00D643ED" w:rsidRPr="00186082">
        <w:rPr>
          <w:rFonts w:asciiTheme="minorHAnsi" w:hAnsiTheme="minorHAnsi"/>
          <w:bCs/>
        </w:rPr>
        <w:t>10 of</w:t>
      </w:r>
      <w:r w:rsidR="00D643ED" w:rsidRPr="005746D1">
        <w:rPr>
          <w:rFonts w:asciiTheme="minorHAnsi" w:hAnsiTheme="minorHAnsi"/>
          <w:bCs/>
        </w:rPr>
        <w:t xml:space="preserve"> Appendi</w:t>
      </w:r>
      <w:r w:rsidR="00DC1872">
        <w:rPr>
          <w:rFonts w:asciiTheme="minorHAnsi" w:hAnsiTheme="minorHAnsi"/>
          <w:bCs/>
        </w:rPr>
        <w:t>x</w:t>
      </w:r>
      <w:r w:rsidR="00D643ED" w:rsidRPr="005746D1">
        <w:rPr>
          <w:rFonts w:asciiTheme="minorHAnsi" w:hAnsiTheme="minorHAnsi"/>
          <w:bCs/>
        </w:rPr>
        <w:t xml:space="preserve"> </w:t>
      </w:r>
      <w:r w:rsidR="00D643ED" w:rsidRPr="00EF791C">
        <w:rPr>
          <w:rFonts w:asciiTheme="minorHAnsi" w:hAnsiTheme="minorHAnsi"/>
          <w:b/>
        </w:rPr>
        <w:t>30A</w:t>
      </w:r>
      <w:r w:rsidR="00D643ED" w:rsidRPr="005746D1">
        <w:rPr>
          <w:rFonts w:asciiTheme="minorHAnsi" w:hAnsiTheme="minorHAnsi"/>
          <w:bCs/>
        </w:rPr>
        <w:t xml:space="preserve"> respectively</w:t>
      </w:r>
      <w:r w:rsidR="009979B2" w:rsidRPr="005746D1">
        <w:rPr>
          <w:rFonts w:asciiTheme="minorHAnsi" w:hAnsiTheme="minorHAnsi"/>
          <w:bCs/>
        </w:rPr>
        <w:t>, or the bringing</w:t>
      </w:r>
      <w:r w:rsidR="00D643ED" w:rsidRPr="005746D1">
        <w:rPr>
          <w:rFonts w:asciiTheme="minorHAnsi" w:hAnsiTheme="minorHAnsi"/>
          <w:bCs/>
        </w:rPr>
        <w:t xml:space="preserve"> back into use under 14bis of </w:t>
      </w:r>
      <w:r w:rsidR="007D3AE8">
        <w:rPr>
          <w:rFonts w:asciiTheme="minorHAnsi" w:hAnsiTheme="minorHAnsi"/>
          <w:bCs/>
        </w:rPr>
        <w:t xml:space="preserve"> </w:t>
      </w:r>
      <w:r w:rsidR="00DC1872">
        <w:rPr>
          <w:rFonts w:asciiTheme="minorHAnsi" w:hAnsiTheme="minorHAnsi"/>
          <w:bCs/>
        </w:rPr>
        <w:t>§</w:t>
      </w:r>
      <w:r w:rsidR="00D643ED" w:rsidRPr="000D0CE5">
        <w:rPr>
          <w:rFonts w:asciiTheme="minorHAnsi" w:hAnsiTheme="minorHAnsi"/>
          <w:bCs/>
        </w:rPr>
        <w:t>8.17</w:t>
      </w:r>
      <w:r w:rsidR="00D643ED" w:rsidRPr="005746D1">
        <w:rPr>
          <w:rFonts w:asciiTheme="minorHAnsi" w:hAnsiTheme="minorHAnsi"/>
          <w:bCs/>
        </w:rPr>
        <w:t xml:space="preserve"> of Appendix </w:t>
      </w:r>
      <w:r w:rsidR="00D643ED" w:rsidRPr="00EF791C">
        <w:rPr>
          <w:rFonts w:asciiTheme="minorHAnsi" w:hAnsiTheme="minorHAnsi"/>
          <w:b/>
        </w:rPr>
        <w:t>30B</w:t>
      </w:r>
      <w:r w:rsidR="009979B2" w:rsidRPr="005746D1">
        <w:rPr>
          <w:rFonts w:asciiTheme="minorHAnsi" w:hAnsiTheme="minorHAnsi"/>
          <w:bCs/>
        </w:rPr>
        <w:t>, of an</w:t>
      </w:r>
      <w:r w:rsidR="00FF12D9" w:rsidRPr="005746D1">
        <w:rPr>
          <w:rFonts w:asciiTheme="minorHAnsi" w:hAnsiTheme="minorHAnsi"/>
          <w:bCs/>
        </w:rPr>
        <w:t>y</w:t>
      </w:r>
      <w:r w:rsidR="009979B2" w:rsidRPr="005746D1">
        <w:rPr>
          <w:rFonts w:asciiTheme="minorHAnsi" w:hAnsiTheme="minorHAnsi"/>
          <w:bCs/>
        </w:rPr>
        <w:t xml:space="preserve"> frequency assignment.</w:t>
      </w:r>
      <w:proofErr w:type="gramEnd"/>
    </w:p>
    <w:p w:rsidR="00FD51D0" w:rsidRDefault="00044B1D" w:rsidP="00752B5F">
      <w:pPr>
        <w:spacing w:line="240" w:lineRule="auto"/>
        <w:ind w:left="142"/>
        <w:rPr>
          <w:color w:val="000000"/>
          <w:sz w:val="22"/>
          <w:lang w:eastAsia="zh-CN"/>
        </w:rPr>
      </w:pPr>
      <w:r>
        <w:t xml:space="preserve">As per the </w:t>
      </w:r>
      <w:r w:rsidRPr="00565A5C">
        <w:rPr>
          <w:i/>
          <w:iCs/>
          <w:color w:val="000000"/>
          <w:szCs w:val="24"/>
        </w:rPr>
        <w:t xml:space="preserve">instructs </w:t>
      </w:r>
      <w:r w:rsidRPr="00565A5C">
        <w:rPr>
          <w:i/>
          <w:iCs/>
        </w:rPr>
        <w:t>the</w:t>
      </w:r>
      <w:r w:rsidRPr="00565A5C">
        <w:rPr>
          <w:i/>
          <w:iCs/>
          <w:color w:val="000000"/>
          <w:szCs w:val="24"/>
        </w:rPr>
        <w:t xml:space="preserve"> Radiocommunication Bureau</w:t>
      </w:r>
      <w:r>
        <w:rPr>
          <w:color w:val="000000"/>
          <w:szCs w:val="24"/>
        </w:rPr>
        <w:t xml:space="preserve"> of Resolution </w:t>
      </w:r>
      <w:r w:rsidRPr="00EF791C">
        <w:rPr>
          <w:b/>
          <w:bCs/>
          <w:color w:val="000000"/>
          <w:szCs w:val="24"/>
        </w:rPr>
        <w:t>40</w:t>
      </w:r>
      <w:r>
        <w:rPr>
          <w:color w:val="000000"/>
          <w:szCs w:val="24"/>
        </w:rPr>
        <w:t xml:space="preserve"> (WRC-15), </w:t>
      </w:r>
      <w:r w:rsidR="00FD51D0">
        <w:t xml:space="preserve">the Bureau will make </w:t>
      </w:r>
      <w:r w:rsidR="003D4E6D">
        <w:t>the complete information</w:t>
      </w:r>
      <w:r w:rsidR="003D4E6D" w:rsidDel="003D4E6D">
        <w:t xml:space="preserve"> </w:t>
      </w:r>
      <w:r w:rsidR="00FD51D0">
        <w:t xml:space="preserve">available within 30 days </w:t>
      </w:r>
      <w:r w:rsidR="003D4E6D">
        <w:t xml:space="preserve">of its receipt </w:t>
      </w:r>
      <w:r w:rsidR="00FD51D0">
        <w:t>at the following website</w:t>
      </w:r>
      <w:r w:rsidR="003D4E6D">
        <w:t xml:space="preserve"> </w:t>
      </w:r>
      <w:r w:rsidR="00B5448B">
        <w:t>address</w:t>
      </w:r>
      <w:r w:rsidR="00FD51D0">
        <w:t xml:space="preserve">: </w:t>
      </w:r>
      <w:hyperlink r:id="rId9" w:history="1">
        <w:r w:rsidR="00FD51D0">
          <w:rPr>
            <w:rStyle w:val="Hyperlink"/>
            <w:lang w:eastAsia="zh-CN"/>
          </w:rPr>
          <w:t>http://www.itu.int/ITU-R/go/space-res40</w:t>
        </w:r>
      </w:hyperlink>
    </w:p>
    <w:p w:rsidR="00FD51D0" w:rsidRDefault="00B5448B" w:rsidP="00752B5F">
      <w:pPr>
        <w:spacing w:line="240" w:lineRule="auto"/>
        <w:ind w:left="142"/>
      </w:pPr>
      <w:proofErr w:type="gramStart"/>
      <w:r>
        <w:t xml:space="preserve">The Bureau would like to draw your attention to </w:t>
      </w:r>
      <w:r w:rsidRPr="00565A5C">
        <w:rPr>
          <w:i/>
          <w:iCs/>
        </w:rPr>
        <w:t xml:space="preserve">resolves </w:t>
      </w:r>
      <w:r w:rsidRPr="00693A95">
        <w:t>4 and 5</w:t>
      </w:r>
      <w:r>
        <w:t xml:space="preserve"> of Resolution </w:t>
      </w:r>
      <w:r w:rsidRPr="00EF791C">
        <w:rPr>
          <w:b/>
          <w:bCs/>
        </w:rPr>
        <w:t>40</w:t>
      </w:r>
      <w:r>
        <w:t xml:space="preserve"> (WRC-15)</w:t>
      </w:r>
      <w:r w:rsidR="00DC1872">
        <w:t xml:space="preserve">, that </w:t>
      </w:r>
      <w:r>
        <w:t>a</w:t>
      </w:r>
      <w:r w:rsidR="00FD51D0">
        <w:t xml:space="preserve">s of 1 January 2018, if the </w:t>
      </w:r>
      <w:r>
        <w:t xml:space="preserve">notifying </w:t>
      </w:r>
      <w:r w:rsidR="00FD51D0">
        <w:t>administration fails to provide the complete information within two consecutive reminders of 30 days and 15 days, respectively, the Bureau shall consider that the frequency assignments to the geostationary-satellite network have not been brought into use, or brought back into use</w:t>
      </w:r>
      <w:r w:rsidR="000D0CE5">
        <w:t>,</w:t>
      </w:r>
      <w:r>
        <w:t xml:space="preserve"> and shall so inform the administration.</w:t>
      </w:r>
      <w:proofErr w:type="gramEnd"/>
    </w:p>
    <w:p w:rsidR="001A0A41" w:rsidRPr="00F72E22" w:rsidRDefault="00FD51D0" w:rsidP="00752B5F">
      <w:pPr>
        <w:spacing w:before="120" w:line="240" w:lineRule="auto"/>
        <w:ind w:left="142"/>
        <w:rPr>
          <w:rFonts w:asciiTheme="minorHAnsi" w:hAnsiTheme="minorHAnsi"/>
          <w:szCs w:val="24"/>
        </w:rPr>
      </w:pPr>
      <w:r w:rsidRPr="003316CE">
        <w:t xml:space="preserve">The Bureau remains at the disposal of your </w:t>
      </w:r>
      <w:r w:rsidR="00186082">
        <w:t>A</w:t>
      </w:r>
      <w:r w:rsidR="00352A15" w:rsidRPr="003316CE">
        <w:t>dministration</w:t>
      </w:r>
      <w:r w:rsidR="00352A15">
        <w:t>,</w:t>
      </w:r>
      <w:r w:rsidRPr="003316CE">
        <w:t xml:space="preserve"> </w:t>
      </w:r>
      <w:r w:rsidR="00352A15" w:rsidRPr="00352A15">
        <w:t>via the brmail@itu.int address</w:t>
      </w:r>
      <w:r w:rsidR="00352A15">
        <w:t>,</w:t>
      </w:r>
      <w:r w:rsidR="00352A15" w:rsidRPr="00352A15">
        <w:t xml:space="preserve"> </w:t>
      </w:r>
      <w:r w:rsidRPr="003316CE">
        <w:t xml:space="preserve">for any clarification </w:t>
      </w:r>
      <w:r w:rsidR="00352A15">
        <w:t>it</w:t>
      </w:r>
      <w:r w:rsidR="00352A15" w:rsidRPr="003316CE">
        <w:t xml:space="preserve"> </w:t>
      </w:r>
      <w:r w:rsidRPr="003316CE">
        <w:t xml:space="preserve">may require with respect to the </w:t>
      </w:r>
      <w:r w:rsidR="00352A15">
        <w:t>content of</w:t>
      </w:r>
      <w:r w:rsidR="00FF12D9">
        <w:t xml:space="preserve"> </w:t>
      </w:r>
      <w:r w:rsidRPr="003316CE">
        <w:t xml:space="preserve">this </w:t>
      </w:r>
      <w:r w:rsidR="00412F24">
        <w:t>C</w:t>
      </w:r>
      <w:r w:rsidRPr="003316CE">
        <w:t xml:space="preserve">ircular </w:t>
      </w:r>
      <w:r w:rsidR="00352A15">
        <w:t>l</w:t>
      </w:r>
      <w:r w:rsidRPr="003316CE">
        <w:t>etter.</w:t>
      </w:r>
    </w:p>
    <w:p w:rsidR="00733E2E" w:rsidRDefault="00733E2E" w:rsidP="00752B5F">
      <w:pPr>
        <w:spacing w:before="120" w:line="240" w:lineRule="auto"/>
        <w:ind w:left="142"/>
        <w:rPr>
          <w:rFonts w:asciiTheme="minorHAnsi" w:hAnsiTheme="minorHAnsi" w:cstheme="minorHAnsi"/>
          <w:szCs w:val="24"/>
        </w:rPr>
      </w:pPr>
    </w:p>
    <w:p w:rsidR="00186082" w:rsidRPr="00846FCB" w:rsidRDefault="00186082" w:rsidP="00752B5F">
      <w:pPr>
        <w:spacing w:before="120" w:line="240" w:lineRule="auto"/>
        <w:ind w:left="142"/>
        <w:rPr>
          <w:rFonts w:asciiTheme="minorHAnsi" w:hAnsiTheme="minorHAnsi" w:cstheme="minorHAnsi"/>
          <w:szCs w:val="24"/>
        </w:rPr>
      </w:pPr>
    </w:p>
    <w:p w:rsidR="0010129D" w:rsidRPr="00565A5C" w:rsidRDefault="0010129D" w:rsidP="00752B5F">
      <w:pPr>
        <w:spacing w:before="120" w:line="240" w:lineRule="auto"/>
        <w:ind w:left="142"/>
        <w:jc w:val="left"/>
        <w:rPr>
          <w:rFonts w:asciiTheme="minorHAnsi" w:hAnsiTheme="minorHAnsi" w:cstheme="minorHAnsi"/>
          <w:szCs w:val="24"/>
        </w:rPr>
      </w:pPr>
    </w:p>
    <w:p w:rsidR="00841B33" w:rsidRDefault="00841B33" w:rsidP="00752B5F">
      <w:pPr>
        <w:spacing w:before="120" w:line="240" w:lineRule="auto"/>
        <w:ind w:left="142"/>
        <w:jc w:val="left"/>
        <w:rPr>
          <w:rFonts w:asciiTheme="minorHAnsi" w:hAnsiTheme="minorHAnsi" w:cstheme="minorHAnsi"/>
          <w:szCs w:val="24"/>
          <w:lang w:val="fr-CH"/>
        </w:rPr>
      </w:pPr>
      <w:r w:rsidRPr="00733E2E">
        <w:rPr>
          <w:rFonts w:asciiTheme="minorHAnsi" w:hAnsiTheme="minorHAnsi" w:cstheme="minorHAnsi"/>
          <w:szCs w:val="24"/>
          <w:lang w:val="fr-CH"/>
        </w:rPr>
        <w:t>François Rancy</w:t>
      </w:r>
      <w:r w:rsidR="00EE5A42" w:rsidRPr="00733E2E">
        <w:rPr>
          <w:rFonts w:asciiTheme="minorHAnsi" w:hAnsiTheme="minorHAnsi" w:cstheme="minorHAnsi"/>
          <w:szCs w:val="24"/>
          <w:lang w:val="fr-CH"/>
        </w:rPr>
        <w:br/>
      </w:r>
      <w:proofErr w:type="spellStart"/>
      <w:r w:rsidRPr="00733E2E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352A15" w:rsidRDefault="00352A15" w:rsidP="00752B5F">
      <w:pPr>
        <w:spacing w:before="120" w:line="240" w:lineRule="auto"/>
        <w:ind w:left="142"/>
        <w:jc w:val="left"/>
        <w:rPr>
          <w:rFonts w:asciiTheme="minorHAnsi" w:hAnsiTheme="minorHAnsi" w:cstheme="minorHAnsi"/>
          <w:szCs w:val="24"/>
          <w:lang w:val="fr-CH"/>
        </w:rPr>
      </w:pPr>
    </w:p>
    <w:p w:rsidR="00352A15" w:rsidRDefault="009979B2" w:rsidP="00752B5F">
      <w:pPr>
        <w:spacing w:before="120" w:line="240" w:lineRule="auto"/>
        <w:ind w:left="142"/>
        <w:jc w:val="left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Annex</w:t>
      </w:r>
      <w:r w:rsidR="00352A15" w:rsidRPr="00733E2E">
        <w:rPr>
          <w:rFonts w:asciiTheme="minorHAnsi" w:hAnsiTheme="minorHAnsi" w:cstheme="minorHAnsi"/>
          <w:szCs w:val="24"/>
          <w:lang w:val="fr-CH"/>
        </w:rPr>
        <w:t>: 1</w:t>
      </w:r>
    </w:p>
    <w:p w:rsidR="00352A15" w:rsidRPr="00DC1872" w:rsidRDefault="00352A15" w:rsidP="00752B5F">
      <w:pPr>
        <w:spacing w:before="120" w:line="240" w:lineRule="auto"/>
        <w:ind w:left="142"/>
        <w:jc w:val="left"/>
        <w:rPr>
          <w:rFonts w:asciiTheme="minorHAnsi" w:hAnsiTheme="minorHAnsi" w:cstheme="minorHAnsi"/>
          <w:szCs w:val="24"/>
          <w:lang w:val="fr-CH"/>
        </w:rPr>
      </w:pPr>
    </w:p>
    <w:p w:rsidR="00841B33" w:rsidRPr="00DC1872" w:rsidRDefault="00841B33" w:rsidP="00752B5F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ind w:left="142"/>
        <w:jc w:val="both"/>
        <w:rPr>
          <w:bCs/>
          <w:sz w:val="18"/>
          <w:szCs w:val="18"/>
          <w:u w:val="single"/>
          <w:lang w:val="fr-CH"/>
        </w:rPr>
      </w:pPr>
      <w:bookmarkStart w:id="1" w:name="ddistribution"/>
      <w:bookmarkEnd w:id="1"/>
      <w:r w:rsidRPr="00DC1872">
        <w:rPr>
          <w:bCs/>
          <w:sz w:val="18"/>
          <w:szCs w:val="18"/>
          <w:u w:val="single"/>
          <w:lang w:val="fr-CH"/>
        </w:rPr>
        <w:t>Distribution:</w:t>
      </w:r>
    </w:p>
    <w:p w:rsidR="00841B33" w:rsidRPr="008E0564" w:rsidRDefault="00841B33" w:rsidP="00752B5F">
      <w:pPr>
        <w:pStyle w:val="enumlev1"/>
        <w:tabs>
          <w:tab w:val="clear" w:pos="794"/>
          <w:tab w:val="left" w:pos="284"/>
        </w:tabs>
        <w:ind w:left="142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:rsidR="00841B33" w:rsidRDefault="00841B33" w:rsidP="00752B5F">
      <w:pPr>
        <w:pStyle w:val="enumlev1"/>
        <w:tabs>
          <w:tab w:val="clear" w:pos="794"/>
          <w:tab w:val="left" w:pos="284"/>
        </w:tabs>
        <w:spacing w:before="0"/>
        <w:ind w:left="142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p w:rsidR="00860794" w:rsidRDefault="008607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</w:rPr>
        <w:sectPr w:rsidR="00860794" w:rsidSect="00031E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 w:code="9"/>
          <w:pgMar w:top="1134" w:right="1134" w:bottom="993" w:left="1134" w:header="567" w:footer="397" w:gutter="0"/>
          <w:cols w:space="720"/>
          <w:titlePg/>
        </w:sectPr>
      </w:pPr>
    </w:p>
    <w:p w:rsidR="00860794" w:rsidRDefault="00C14479" w:rsidP="00860794">
      <w:pPr>
        <w:jc w:val="center"/>
        <w:rPr>
          <w:b/>
          <w:bCs/>
        </w:rPr>
      </w:pPr>
      <w:r>
        <w:rPr>
          <w:b/>
          <w:bCs/>
        </w:rPr>
        <w:lastRenderedPageBreak/>
        <w:t>A</w:t>
      </w:r>
      <w:r w:rsidR="007E6CC4">
        <w:rPr>
          <w:b/>
          <w:bCs/>
        </w:rPr>
        <w:t>nnex</w:t>
      </w:r>
    </w:p>
    <w:p w:rsidR="005D0A73" w:rsidRPr="0010129D" w:rsidRDefault="005D0A73" w:rsidP="00860794">
      <w:pPr>
        <w:jc w:val="center"/>
        <w:rPr>
          <w:b/>
          <w:bCs/>
        </w:rPr>
      </w:pPr>
    </w:p>
    <w:p w:rsidR="00C14479" w:rsidRDefault="00C14479" w:rsidP="00C144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142"/>
        <w:jc w:val="left"/>
        <w:textAlignment w:val="auto"/>
        <w:rPr>
          <w:sz w:val="18"/>
          <w:szCs w:val="18"/>
        </w:rPr>
      </w:pPr>
    </w:p>
    <w:p w:rsidR="005D0A73" w:rsidRDefault="005D0A73" w:rsidP="005D0A73">
      <w:pPr>
        <w:jc w:val="center"/>
        <w:rPr>
          <w:b/>
          <w:sz w:val="28"/>
          <w:szCs w:val="28"/>
        </w:rPr>
      </w:pPr>
    </w:p>
    <w:p w:rsidR="005D0A73" w:rsidRDefault="005D0A73" w:rsidP="005D0A73">
      <w:pPr>
        <w:jc w:val="center"/>
        <w:rPr>
          <w:b/>
          <w:sz w:val="28"/>
          <w:szCs w:val="28"/>
        </w:rPr>
      </w:pPr>
      <w:r>
        <w:rPr>
          <w:b/>
          <w:bCs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3AB687C7" wp14:editId="0783B749">
            <wp:simplePos x="0" y="0"/>
            <wp:positionH relativeFrom="column">
              <wp:posOffset>2775585</wp:posOffset>
            </wp:positionH>
            <wp:positionV relativeFrom="paragraph">
              <wp:posOffset>-408940</wp:posOffset>
            </wp:positionV>
            <wp:extent cx="579396" cy="6572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6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A73" w:rsidRDefault="005D0A73">
      <w:pPr>
        <w:jc w:val="center"/>
        <w:rPr>
          <w:b/>
          <w:sz w:val="28"/>
          <w:szCs w:val="28"/>
        </w:rPr>
      </w:pPr>
      <w:r w:rsidRPr="00594A60">
        <w:rPr>
          <w:b/>
          <w:sz w:val="28"/>
          <w:szCs w:val="28"/>
        </w:rPr>
        <w:t>RESOLUTION 40</w:t>
      </w:r>
      <w:r>
        <w:rPr>
          <w:b/>
          <w:sz w:val="28"/>
          <w:szCs w:val="28"/>
        </w:rPr>
        <w:t xml:space="preserve"> (WRC-</w:t>
      </w:r>
      <w:r w:rsidR="006A5832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)</w:t>
      </w:r>
    </w:p>
    <w:p w:rsidR="005D0A73" w:rsidRPr="008F71A7" w:rsidRDefault="005D0A73" w:rsidP="00752B5F">
      <w:pPr>
        <w:ind w:left="142"/>
        <w:jc w:val="center"/>
        <w:rPr>
          <w:b/>
          <w:sz w:val="28"/>
          <w:szCs w:val="28"/>
        </w:rPr>
      </w:pPr>
      <w:r w:rsidRPr="008F71A7">
        <w:rPr>
          <w:b/>
          <w:sz w:val="28"/>
          <w:szCs w:val="28"/>
        </w:rPr>
        <w:t>Use of one space station to bring frequency assignments to geostationary</w:t>
      </w:r>
      <w:r w:rsidRPr="008F71A7">
        <w:rPr>
          <w:b/>
          <w:sz w:val="28"/>
          <w:szCs w:val="28"/>
        </w:rPr>
        <w:noBreakHyphen/>
        <w:t xml:space="preserve">satellite networks at different orbital locations into use within a short </w:t>
      </w:r>
      <w:proofErr w:type="gramStart"/>
      <w:r w:rsidRPr="008F71A7">
        <w:rPr>
          <w:b/>
          <w:sz w:val="28"/>
          <w:szCs w:val="28"/>
        </w:rPr>
        <w:t>period of time</w:t>
      </w:r>
      <w:proofErr w:type="gramEnd"/>
    </w:p>
    <w:p w:rsidR="005D0A73" w:rsidRPr="00DE5D20" w:rsidRDefault="005D0A73" w:rsidP="00752B5F">
      <w:pPr>
        <w:ind w:left="142"/>
        <w:jc w:val="left"/>
      </w:pPr>
      <w:r w:rsidRPr="00DE5D20">
        <w:t>Satellite network for w</w:t>
      </w:r>
      <w:r w:rsidR="00186082">
        <w:t xml:space="preserve">hich frequency assignments </w:t>
      </w:r>
      <w:proofErr w:type="gramStart"/>
      <w:r w:rsidR="00186082">
        <w:t xml:space="preserve">have </w:t>
      </w:r>
      <w:r w:rsidRPr="00DE5D20">
        <w:t>been brought into use, or brought back into use after suspension</w:t>
      </w:r>
      <w:proofErr w:type="gramEnd"/>
      <w:r w:rsidRPr="00DE5D20">
        <w:t>:</w:t>
      </w:r>
      <w:r w:rsidR="006A5832"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1276"/>
        <w:gridCol w:w="5386"/>
      </w:tblGrid>
      <w:tr w:rsidR="006A5832" w:rsidTr="00565A5C">
        <w:tc>
          <w:tcPr>
            <w:tcW w:w="3114" w:type="dxa"/>
          </w:tcPr>
          <w:p w:rsidR="006A5832" w:rsidRDefault="006A5832" w:rsidP="006624C6">
            <w:pPr>
              <w:spacing w:before="120" w:after="120"/>
            </w:pPr>
          </w:p>
        </w:tc>
        <w:tc>
          <w:tcPr>
            <w:tcW w:w="1276" w:type="dxa"/>
          </w:tcPr>
          <w:p w:rsidR="006A5832" w:rsidRDefault="006A5832" w:rsidP="006624C6">
            <w:r>
              <w:t>AP4 items</w:t>
            </w:r>
          </w:p>
        </w:tc>
        <w:tc>
          <w:tcPr>
            <w:tcW w:w="5386" w:type="dxa"/>
          </w:tcPr>
          <w:p w:rsidR="006A5832" w:rsidRDefault="006A5832" w:rsidP="006624C6"/>
        </w:tc>
      </w:tr>
      <w:tr w:rsidR="006A5832" w:rsidTr="00565A5C">
        <w:tc>
          <w:tcPr>
            <w:tcW w:w="3114" w:type="dxa"/>
          </w:tcPr>
          <w:p w:rsidR="006A5832" w:rsidRDefault="006A5832" w:rsidP="006D48F8">
            <w:pPr>
              <w:spacing w:before="120" w:after="120"/>
              <w:jc w:val="left"/>
            </w:pPr>
            <w:r>
              <w:t>Identity of the Satellite Network</w:t>
            </w:r>
          </w:p>
        </w:tc>
        <w:tc>
          <w:tcPr>
            <w:tcW w:w="1276" w:type="dxa"/>
          </w:tcPr>
          <w:p w:rsidR="006A5832" w:rsidRDefault="006A5832" w:rsidP="006624C6">
            <w:r>
              <w:t>A.1.a</w:t>
            </w:r>
          </w:p>
        </w:tc>
        <w:tc>
          <w:tcPr>
            <w:tcW w:w="5386" w:type="dxa"/>
          </w:tcPr>
          <w:p w:rsidR="006A5832" w:rsidRDefault="006A5832" w:rsidP="006624C6"/>
        </w:tc>
      </w:tr>
      <w:tr w:rsidR="006A5832" w:rsidTr="00565A5C">
        <w:tc>
          <w:tcPr>
            <w:tcW w:w="3114" w:type="dxa"/>
          </w:tcPr>
          <w:p w:rsidR="006A5832" w:rsidRDefault="006A5832" w:rsidP="006D48F8">
            <w:pPr>
              <w:spacing w:before="120" w:after="120"/>
              <w:jc w:val="left"/>
            </w:pPr>
            <w:r>
              <w:t>Notifying Administration</w:t>
            </w:r>
          </w:p>
        </w:tc>
        <w:tc>
          <w:tcPr>
            <w:tcW w:w="1276" w:type="dxa"/>
          </w:tcPr>
          <w:p w:rsidR="006A5832" w:rsidRDefault="006A5832" w:rsidP="006624C6">
            <w:r>
              <w:t>A.1.f.1</w:t>
            </w:r>
          </w:p>
        </w:tc>
        <w:tc>
          <w:tcPr>
            <w:tcW w:w="5386" w:type="dxa"/>
          </w:tcPr>
          <w:p w:rsidR="006A5832" w:rsidRDefault="006A5832" w:rsidP="006624C6"/>
        </w:tc>
      </w:tr>
      <w:tr w:rsidR="006A5832" w:rsidTr="00565A5C">
        <w:tc>
          <w:tcPr>
            <w:tcW w:w="3114" w:type="dxa"/>
          </w:tcPr>
          <w:p w:rsidR="006A5832" w:rsidRDefault="006A5832" w:rsidP="006D48F8">
            <w:pPr>
              <w:spacing w:before="120" w:after="120"/>
              <w:jc w:val="left"/>
            </w:pPr>
            <w:r>
              <w:t>Nominal Orbital Position</w:t>
            </w:r>
          </w:p>
        </w:tc>
        <w:tc>
          <w:tcPr>
            <w:tcW w:w="1276" w:type="dxa"/>
          </w:tcPr>
          <w:p w:rsidR="006A5832" w:rsidRDefault="006A5832">
            <w:r>
              <w:t>A.4.a.1</w:t>
            </w:r>
          </w:p>
        </w:tc>
        <w:tc>
          <w:tcPr>
            <w:tcW w:w="5386" w:type="dxa"/>
          </w:tcPr>
          <w:p w:rsidR="006A5832" w:rsidRDefault="006A5832" w:rsidP="006624C6"/>
        </w:tc>
      </w:tr>
      <w:tr w:rsidR="006A5832" w:rsidTr="00565A5C">
        <w:tc>
          <w:tcPr>
            <w:tcW w:w="3114" w:type="dxa"/>
          </w:tcPr>
          <w:p w:rsidR="006A5832" w:rsidRDefault="006A5832" w:rsidP="006D48F8">
            <w:pPr>
              <w:spacing w:before="120" w:after="120"/>
              <w:jc w:val="left"/>
            </w:pPr>
            <w:r>
              <w:t xml:space="preserve">Date of bringing into use (Or bringing back into use after suspension) </w:t>
            </w:r>
          </w:p>
        </w:tc>
        <w:tc>
          <w:tcPr>
            <w:tcW w:w="1276" w:type="dxa"/>
          </w:tcPr>
          <w:p w:rsidR="006A5832" w:rsidRDefault="006A5832" w:rsidP="006624C6">
            <w:r>
              <w:t>A.2.a</w:t>
            </w:r>
          </w:p>
        </w:tc>
        <w:tc>
          <w:tcPr>
            <w:tcW w:w="5386" w:type="dxa"/>
          </w:tcPr>
          <w:p w:rsidR="006A5832" w:rsidRDefault="006A5832" w:rsidP="006624C6"/>
        </w:tc>
      </w:tr>
    </w:tbl>
    <w:p w:rsidR="005D0A73" w:rsidRDefault="005D0A73" w:rsidP="009D2014">
      <w:pPr>
        <w:pStyle w:val="Header"/>
        <w:tabs>
          <w:tab w:val="clear" w:pos="794"/>
          <w:tab w:val="clear" w:pos="4820"/>
          <w:tab w:val="clear" w:pos="9639"/>
          <w:tab w:val="left" w:pos="284"/>
          <w:tab w:val="center" w:pos="11199"/>
        </w:tabs>
        <w:spacing w:before="240" w:line="240" w:lineRule="auto"/>
        <w:ind w:left="142"/>
      </w:pPr>
      <w:r>
        <w:t>The bringing into use, or bringing back into use after suspension has been accomplished with a space station that has previously been used to bring into use, or resume the use of, frequency assignments at a different orbital location within the three years prior to the date of submission of this information</w:t>
      </w:r>
      <w:r w:rsidR="00920E2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20E22" w:rsidTr="00920E22">
        <w:tc>
          <w:tcPr>
            <w:tcW w:w="3209" w:type="dxa"/>
          </w:tcPr>
          <w:p w:rsidR="00920E22" w:rsidRDefault="00920E22" w:rsidP="005D0A73">
            <w:pPr>
              <w:jc w:val="center"/>
            </w:pPr>
          </w:p>
        </w:tc>
        <w:tc>
          <w:tcPr>
            <w:tcW w:w="3210" w:type="dxa"/>
          </w:tcPr>
          <w:p w:rsidR="00920E22" w:rsidRDefault="00920E22" w:rsidP="005D0A73">
            <w:pPr>
              <w:jc w:val="center"/>
            </w:pPr>
            <w:r>
              <w:t>YES</w:t>
            </w:r>
          </w:p>
        </w:tc>
        <w:tc>
          <w:tcPr>
            <w:tcW w:w="3210" w:type="dxa"/>
          </w:tcPr>
          <w:p w:rsidR="00920E22" w:rsidRDefault="00920E22" w:rsidP="005D0A73">
            <w:pPr>
              <w:jc w:val="center"/>
            </w:pPr>
            <w:r>
              <w:t>NO</w:t>
            </w:r>
          </w:p>
        </w:tc>
      </w:tr>
      <w:tr w:rsidR="00920E22" w:rsidTr="00565A5C">
        <w:tc>
          <w:tcPr>
            <w:tcW w:w="3209" w:type="dxa"/>
          </w:tcPr>
          <w:p w:rsidR="00920E22" w:rsidRDefault="00920E22" w:rsidP="00BB5776">
            <w:pPr>
              <w:jc w:val="center"/>
            </w:pPr>
          </w:p>
        </w:tc>
        <w:tc>
          <w:tcPr>
            <w:tcW w:w="3210" w:type="dxa"/>
          </w:tcPr>
          <w:p w:rsidR="00920E22" w:rsidRDefault="00F577C6" w:rsidP="00BB5776">
            <w:pPr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B24C3" wp14:editId="235E445A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2C8C64" id="Oval 2" o:spid="_x0000_s1026" style="position:absolute;margin-left:69.25pt;margin-top:7.9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" filled="f" strokecolor="black [3213]" strokeweight="2pt"/>
                  </w:pict>
                </mc:Fallback>
              </mc:AlternateConten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920E22" w:rsidRDefault="00F577C6" w:rsidP="00BB5776">
            <w:pPr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E33C4" wp14:editId="2DF4D83F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4DDE4A" id="Oval 3" o:spid="_x0000_s1026" style="position:absolute;margin-left:70.25pt;margin-top:7.9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" filled="f" strokecolor="black [3213]" strokeweight="2pt"/>
                  </w:pict>
                </mc:Fallback>
              </mc:AlternateContent>
            </w:r>
          </w:p>
        </w:tc>
      </w:tr>
      <w:tr w:rsidR="00920E22" w:rsidTr="00565A5C">
        <w:tc>
          <w:tcPr>
            <w:tcW w:w="3209" w:type="dxa"/>
          </w:tcPr>
          <w:p w:rsidR="00920E22" w:rsidRDefault="00920E22" w:rsidP="00565A5C">
            <w:pPr>
              <w:jc w:val="left"/>
            </w:pPr>
            <w:r>
              <w:t xml:space="preserve">a) </w:t>
            </w:r>
            <w:r w:rsidRPr="002A6323">
              <w:t>Last orbital location where the space station was used to bring into use, or resume the use of, frequency assignments</w:t>
            </w:r>
          </w:p>
        </w:tc>
        <w:tc>
          <w:tcPr>
            <w:tcW w:w="3210" w:type="dxa"/>
          </w:tcPr>
          <w:p w:rsidR="00920E22" w:rsidRDefault="00920E22" w:rsidP="00920E22">
            <w:pPr>
              <w:jc w:val="center"/>
            </w:pPr>
          </w:p>
        </w:tc>
        <w:tc>
          <w:tcPr>
            <w:tcW w:w="3210" w:type="dxa"/>
            <w:tcBorders>
              <w:bottom w:val="single" w:sz="4" w:space="0" w:color="auto"/>
              <w:tl2br w:val="single" w:sz="4" w:space="0" w:color="auto"/>
            </w:tcBorders>
          </w:tcPr>
          <w:p w:rsidR="00920E22" w:rsidRDefault="00920E22" w:rsidP="00920E22">
            <w:pPr>
              <w:jc w:val="center"/>
            </w:pPr>
            <w:r>
              <w:t xml:space="preserve"> </w:t>
            </w:r>
          </w:p>
        </w:tc>
      </w:tr>
      <w:tr w:rsidR="00920E22" w:rsidTr="00565A5C">
        <w:tc>
          <w:tcPr>
            <w:tcW w:w="3209" w:type="dxa"/>
          </w:tcPr>
          <w:p w:rsidR="00920E22" w:rsidRDefault="00920E22" w:rsidP="00565A5C">
            <w:pPr>
              <w:jc w:val="left"/>
            </w:pPr>
            <w:r>
              <w:t xml:space="preserve">b) </w:t>
            </w:r>
            <w:r w:rsidRPr="002A6323">
              <w:t>Satellite network(s) with whi</w:t>
            </w:r>
            <w:r w:rsidR="00186082">
              <w:t>ch the frequency assignments in</w:t>
            </w:r>
            <w:r>
              <w:t xml:space="preserve"> </w:t>
            </w:r>
            <w:r w:rsidRPr="002A6323">
              <w:t>a) above were associated</w:t>
            </w:r>
          </w:p>
        </w:tc>
        <w:tc>
          <w:tcPr>
            <w:tcW w:w="3210" w:type="dxa"/>
          </w:tcPr>
          <w:p w:rsidR="00920E22" w:rsidRDefault="00920E22" w:rsidP="00920E22">
            <w:pPr>
              <w:jc w:val="center"/>
            </w:pPr>
          </w:p>
        </w:tc>
        <w:tc>
          <w:tcPr>
            <w:tcW w:w="3210" w:type="dxa"/>
            <w:tcBorders>
              <w:bottom w:val="single" w:sz="4" w:space="0" w:color="auto"/>
              <w:tl2br w:val="single" w:sz="4" w:space="0" w:color="auto"/>
            </w:tcBorders>
          </w:tcPr>
          <w:p w:rsidR="00920E22" w:rsidRDefault="00920E22" w:rsidP="00920E22">
            <w:pPr>
              <w:jc w:val="center"/>
            </w:pPr>
            <w:r>
              <w:t xml:space="preserve"> </w:t>
            </w:r>
          </w:p>
        </w:tc>
      </w:tr>
      <w:tr w:rsidR="00920E22" w:rsidTr="00565A5C">
        <w:tc>
          <w:tcPr>
            <w:tcW w:w="3209" w:type="dxa"/>
          </w:tcPr>
          <w:p w:rsidR="00920E22" w:rsidRDefault="00920E22" w:rsidP="00565A5C">
            <w:pPr>
              <w:pStyle w:val="Header"/>
              <w:tabs>
                <w:tab w:val="clear" w:pos="794"/>
                <w:tab w:val="clear" w:pos="9639"/>
                <w:tab w:val="left" w:pos="29"/>
                <w:tab w:val="center" w:pos="11199"/>
              </w:tabs>
              <w:spacing w:before="120" w:line="240" w:lineRule="auto"/>
            </w:pPr>
            <w:r>
              <w:t xml:space="preserve">c) </w:t>
            </w:r>
            <w:r w:rsidRPr="00920E22">
              <w:t>The date on which the space station was no longer maintai</w:t>
            </w:r>
            <w:r>
              <w:t xml:space="preserve">ned at the orbital location in </w:t>
            </w:r>
            <w:r w:rsidRPr="00920E22">
              <w:t>a) above</w:t>
            </w:r>
          </w:p>
        </w:tc>
        <w:tc>
          <w:tcPr>
            <w:tcW w:w="3210" w:type="dxa"/>
          </w:tcPr>
          <w:p w:rsidR="00920E22" w:rsidRDefault="00920E22" w:rsidP="005D0A73">
            <w:pPr>
              <w:jc w:val="center"/>
            </w:pPr>
          </w:p>
        </w:tc>
        <w:tc>
          <w:tcPr>
            <w:tcW w:w="3210" w:type="dxa"/>
            <w:tcBorders>
              <w:tl2br w:val="single" w:sz="4" w:space="0" w:color="auto"/>
            </w:tcBorders>
          </w:tcPr>
          <w:p w:rsidR="00920E22" w:rsidRDefault="00920E22" w:rsidP="005D0A73">
            <w:pPr>
              <w:jc w:val="center"/>
            </w:pPr>
            <w:r>
              <w:t xml:space="preserve"> </w:t>
            </w:r>
          </w:p>
        </w:tc>
      </w:tr>
    </w:tbl>
    <w:p w:rsidR="005D0A73" w:rsidRPr="003C6E1B" w:rsidRDefault="00920E22" w:rsidP="009D2014">
      <w:pPr>
        <w:ind w:left="142"/>
      </w:pPr>
      <w:r>
        <w:t>Form to</w:t>
      </w:r>
      <w:r w:rsidR="00186082">
        <w:t xml:space="preserve"> </w:t>
      </w:r>
      <w:proofErr w:type="gramStart"/>
      <w:r w:rsidR="00186082">
        <w:t xml:space="preserve">be </w:t>
      </w:r>
      <w:r w:rsidR="005D0A73">
        <w:t>sent</w:t>
      </w:r>
      <w:proofErr w:type="gramEnd"/>
      <w:r w:rsidR="005D0A73">
        <w:t xml:space="preserve"> by the Administration to </w:t>
      </w:r>
      <w:r w:rsidRPr="00352A15">
        <w:t>brmail@itu.int</w:t>
      </w:r>
      <w:r w:rsidR="005D0A73">
        <w:t xml:space="preserve">. </w:t>
      </w:r>
    </w:p>
    <w:p w:rsidR="005D0A73" w:rsidRDefault="005D0A73" w:rsidP="00C144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142"/>
        <w:jc w:val="left"/>
        <w:textAlignment w:val="auto"/>
        <w:rPr>
          <w:sz w:val="18"/>
          <w:szCs w:val="18"/>
        </w:rPr>
      </w:pPr>
    </w:p>
    <w:sectPr w:rsidR="005D0A73" w:rsidSect="00FD51D0">
      <w:headerReference w:type="first" r:id="rId17"/>
      <w:footerReference w:type="first" r:id="rId18"/>
      <w:pgSz w:w="11907" w:h="16834" w:code="9"/>
      <w:pgMar w:top="1134" w:right="1134" w:bottom="426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E7" w:rsidRDefault="00B258E7">
      <w:r>
        <w:separator/>
      </w:r>
    </w:p>
  </w:endnote>
  <w:endnote w:type="continuationSeparator" w:id="0">
    <w:p w:rsidR="00B258E7" w:rsidRDefault="00B2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3D" w:rsidRDefault="00BD02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3D" w:rsidRDefault="00BD02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608" w:rsidRDefault="003F2608" w:rsidP="003F2608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94" w:rsidRPr="00860794" w:rsidRDefault="00860794" w:rsidP="00860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E7" w:rsidRDefault="00B258E7">
      <w:r>
        <w:t>____________________</w:t>
      </w:r>
    </w:p>
  </w:footnote>
  <w:footnote w:type="continuationSeparator" w:id="0">
    <w:p w:rsidR="00B258E7" w:rsidRDefault="00B2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8F" w:rsidRPr="00BD023D" w:rsidRDefault="00BD023D" w:rsidP="00BD023D">
    <w:pPr>
      <w:pStyle w:val="Header"/>
      <w:numPr>
        <w:ilvl w:val="0"/>
        <w:numId w:val="6"/>
      </w:numPr>
      <w:jc w:val="center"/>
      <w:rPr>
        <w:sz w:val="18"/>
        <w:szCs w:val="18"/>
      </w:rPr>
    </w:pPr>
    <w:r w:rsidRPr="00BD023D">
      <w:rPr>
        <w:sz w:val="18"/>
        <w:szCs w:val="18"/>
      </w:rPr>
      <w:t xml:space="preserve"> 2 -</w:t>
    </w:r>
  </w:p>
  <w:p w:rsidR="00FC6F6B" w:rsidRPr="0051108F" w:rsidRDefault="00FC6F6B" w:rsidP="0051108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65A5C">
      <w:rPr>
        <w:i/>
        <w:noProof/>
      </w:rPr>
      <w:t>5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623156" w:rsidTr="008739AF">
      <w:tc>
        <w:tcPr>
          <w:tcW w:w="5031" w:type="dxa"/>
        </w:tcPr>
        <w:p w:rsidR="00623156" w:rsidRDefault="00623156" w:rsidP="0062315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DF79525" wp14:editId="2E217FC3">
                <wp:extent cx="579396" cy="65722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623156" w:rsidRDefault="00623156" w:rsidP="0062315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62F3514" wp14:editId="6C1426EA">
                <wp:extent cx="1017905" cy="925067"/>
                <wp:effectExtent l="0" t="0" r="0" b="8890"/>
                <wp:docPr id="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94" w:rsidRPr="00860794" w:rsidRDefault="00860794" w:rsidP="00860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5C17A54"/>
    <w:multiLevelType w:val="hybridMultilevel"/>
    <w:tmpl w:val="03D669B2"/>
    <w:lvl w:ilvl="0" w:tplc="30CC5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76E8"/>
    <w:multiLevelType w:val="hybridMultilevel"/>
    <w:tmpl w:val="C0EE03B4"/>
    <w:lvl w:ilvl="0" w:tplc="B0C4FC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0D09C5"/>
    <w:multiLevelType w:val="hybridMultilevel"/>
    <w:tmpl w:val="CB6C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19F1"/>
    <w:multiLevelType w:val="hybridMultilevel"/>
    <w:tmpl w:val="71484758"/>
    <w:lvl w:ilvl="0" w:tplc="885E0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5CC95C44"/>
    <w:multiLevelType w:val="hybridMultilevel"/>
    <w:tmpl w:val="5B4CC522"/>
    <w:lvl w:ilvl="0" w:tplc="04090017">
      <w:start w:val="1"/>
      <w:numFmt w:val="lowerLetter"/>
      <w:lvlText w:val="%1)"/>
      <w:lvlJc w:val="left"/>
      <w:pPr>
        <w:ind w:left="6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n-US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D7459"/>
    <w:rsid w:val="00006A31"/>
    <w:rsid w:val="00006C82"/>
    <w:rsid w:val="00010E30"/>
    <w:rsid w:val="00012C68"/>
    <w:rsid w:val="00015C76"/>
    <w:rsid w:val="000176D7"/>
    <w:rsid w:val="00025843"/>
    <w:rsid w:val="00026CF8"/>
    <w:rsid w:val="00030BD7"/>
    <w:rsid w:val="000313C3"/>
    <w:rsid w:val="00031E64"/>
    <w:rsid w:val="00034340"/>
    <w:rsid w:val="00036A4A"/>
    <w:rsid w:val="000370AE"/>
    <w:rsid w:val="000407E8"/>
    <w:rsid w:val="00042BFD"/>
    <w:rsid w:val="00044B1D"/>
    <w:rsid w:val="00045A8D"/>
    <w:rsid w:val="0005167A"/>
    <w:rsid w:val="00054E5D"/>
    <w:rsid w:val="00070258"/>
    <w:rsid w:val="0007323C"/>
    <w:rsid w:val="00086D03"/>
    <w:rsid w:val="000876EE"/>
    <w:rsid w:val="000A096A"/>
    <w:rsid w:val="000A375E"/>
    <w:rsid w:val="000A7051"/>
    <w:rsid w:val="000B0AF6"/>
    <w:rsid w:val="000B0E9B"/>
    <w:rsid w:val="000B2CAE"/>
    <w:rsid w:val="000B660F"/>
    <w:rsid w:val="000C03C7"/>
    <w:rsid w:val="000C2AD0"/>
    <w:rsid w:val="000C2B1E"/>
    <w:rsid w:val="000D0CE5"/>
    <w:rsid w:val="000E3DEE"/>
    <w:rsid w:val="00100B72"/>
    <w:rsid w:val="0010129D"/>
    <w:rsid w:val="00101F7D"/>
    <w:rsid w:val="00103C76"/>
    <w:rsid w:val="00104C35"/>
    <w:rsid w:val="0011265F"/>
    <w:rsid w:val="00114E1A"/>
    <w:rsid w:val="00117282"/>
    <w:rsid w:val="00117389"/>
    <w:rsid w:val="00121C2D"/>
    <w:rsid w:val="00130EDE"/>
    <w:rsid w:val="00134404"/>
    <w:rsid w:val="001424B4"/>
    <w:rsid w:val="00144DFB"/>
    <w:rsid w:val="001516A0"/>
    <w:rsid w:val="00186082"/>
    <w:rsid w:val="00187CA3"/>
    <w:rsid w:val="0019442F"/>
    <w:rsid w:val="00196710"/>
    <w:rsid w:val="00197324"/>
    <w:rsid w:val="001A0A41"/>
    <w:rsid w:val="001B351B"/>
    <w:rsid w:val="001C06DB"/>
    <w:rsid w:val="001C6971"/>
    <w:rsid w:val="001D2785"/>
    <w:rsid w:val="001D4B24"/>
    <w:rsid w:val="001D7070"/>
    <w:rsid w:val="001D7459"/>
    <w:rsid w:val="001F2170"/>
    <w:rsid w:val="001F3948"/>
    <w:rsid w:val="001F5A49"/>
    <w:rsid w:val="00201097"/>
    <w:rsid w:val="00201B6E"/>
    <w:rsid w:val="00221F85"/>
    <w:rsid w:val="002302B3"/>
    <w:rsid w:val="00230C1B"/>
    <w:rsid w:val="00230C66"/>
    <w:rsid w:val="00235A29"/>
    <w:rsid w:val="00241526"/>
    <w:rsid w:val="002443A2"/>
    <w:rsid w:val="00245E7D"/>
    <w:rsid w:val="00266E74"/>
    <w:rsid w:val="00283C3B"/>
    <w:rsid w:val="002861E6"/>
    <w:rsid w:val="00287D18"/>
    <w:rsid w:val="00294C13"/>
    <w:rsid w:val="002A2618"/>
    <w:rsid w:val="002A5DD7"/>
    <w:rsid w:val="002B0CAC"/>
    <w:rsid w:val="002B1536"/>
    <w:rsid w:val="002D5A15"/>
    <w:rsid w:val="002D5BDD"/>
    <w:rsid w:val="002E3D27"/>
    <w:rsid w:val="002F0890"/>
    <w:rsid w:val="002F2531"/>
    <w:rsid w:val="002F4967"/>
    <w:rsid w:val="00316935"/>
    <w:rsid w:val="0032278F"/>
    <w:rsid w:val="0032557F"/>
    <w:rsid w:val="003266ED"/>
    <w:rsid w:val="003311C5"/>
    <w:rsid w:val="003370B8"/>
    <w:rsid w:val="00345D38"/>
    <w:rsid w:val="00352097"/>
    <w:rsid w:val="00352A15"/>
    <w:rsid w:val="003666FF"/>
    <w:rsid w:val="0037309C"/>
    <w:rsid w:val="00380A6E"/>
    <w:rsid w:val="003836D4"/>
    <w:rsid w:val="00385AE7"/>
    <w:rsid w:val="00397261"/>
    <w:rsid w:val="003A1F49"/>
    <w:rsid w:val="003A5D52"/>
    <w:rsid w:val="003A6009"/>
    <w:rsid w:val="003B2BDA"/>
    <w:rsid w:val="003B3FE4"/>
    <w:rsid w:val="003B55EC"/>
    <w:rsid w:val="003C2EA7"/>
    <w:rsid w:val="003C4471"/>
    <w:rsid w:val="003C455F"/>
    <w:rsid w:val="003C7D41"/>
    <w:rsid w:val="003D4A69"/>
    <w:rsid w:val="003D4E6D"/>
    <w:rsid w:val="003D639F"/>
    <w:rsid w:val="003E0FDB"/>
    <w:rsid w:val="003E504F"/>
    <w:rsid w:val="003E765E"/>
    <w:rsid w:val="003E78D6"/>
    <w:rsid w:val="003F2608"/>
    <w:rsid w:val="00400573"/>
    <w:rsid w:val="004007A3"/>
    <w:rsid w:val="00404150"/>
    <w:rsid w:val="00406D71"/>
    <w:rsid w:val="00412F24"/>
    <w:rsid w:val="004326DB"/>
    <w:rsid w:val="0043682E"/>
    <w:rsid w:val="004414B2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659D"/>
    <w:rsid w:val="004B11AB"/>
    <w:rsid w:val="004B7C9A"/>
    <w:rsid w:val="004C6779"/>
    <w:rsid w:val="004D13BD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08F"/>
    <w:rsid w:val="005224A1"/>
    <w:rsid w:val="00534372"/>
    <w:rsid w:val="00543544"/>
    <w:rsid w:val="00543DF8"/>
    <w:rsid w:val="00546101"/>
    <w:rsid w:val="00553DD7"/>
    <w:rsid w:val="005564EE"/>
    <w:rsid w:val="005638CF"/>
    <w:rsid w:val="00565A5C"/>
    <w:rsid w:val="0056741E"/>
    <w:rsid w:val="005722A7"/>
    <w:rsid w:val="0057325A"/>
    <w:rsid w:val="0057469A"/>
    <w:rsid w:val="005746D1"/>
    <w:rsid w:val="00580814"/>
    <w:rsid w:val="00583A0B"/>
    <w:rsid w:val="005A03A3"/>
    <w:rsid w:val="005A2B92"/>
    <w:rsid w:val="005A79E9"/>
    <w:rsid w:val="005B214C"/>
    <w:rsid w:val="005D0A73"/>
    <w:rsid w:val="005D3669"/>
    <w:rsid w:val="005E5EB3"/>
    <w:rsid w:val="005F3CB6"/>
    <w:rsid w:val="005F4CBB"/>
    <w:rsid w:val="005F657C"/>
    <w:rsid w:val="00602D53"/>
    <w:rsid w:val="006047E5"/>
    <w:rsid w:val="00621096"/>
    <w:rsid w:val="00623156"/>
    <w:rsid w:val="00623DCD"/>
    <w:rsid w:val="00637BF2"/>
    <w:rsid w:val="0064371D"/>
    <w:rsid w:val="00650B2A"/>
    <w:rsid w:val="00651777"/>
    <w:rsid w:val="0065487B"/>
    <w:rsid w:val="006550F8"/>
    <w:rsid w:val="00656226"/>
    <w:rsid w:val="00656D31"/>
    <w:rsid w:val="006829F3"/>
    <w:rsid w:val="00682AFF"/>
    <w:rsid w:val="00693A95"/>
    <w:rsid w:val="006A518B"/>
    <w:rsid w:val="006A5832"/>
    <w:rsid w:val="006A5FFC"/>
    <w:rsid w:val="006B0590"/>
    <w:rsid w:val="006B12BC"/>
    <w:rsid w:val="006B49DA"/>
    <w:rsid w:val="006C53F8"/>
    <w:rsid w:val="006C787F"/>
    <w:rsid w:val="006C7CDE"/>
    <w:rsid w:val="006D48F8"/>
    <w:rsid w:val="006E5A3E"/>
    <w:rsid w:val="007234B1"/>
    <w:rsid w:val="00723D08"/>
    <w:rsid w:val="00725FDA"/>
    <w:rsid w:val="00727816"/>
    <w:rsid w:val="00730B9A"/>
    <w:rsid w:val="00733E2E"/>
    <w:rsid w:val="007439CF"/>
    <w:rsid w:val="00750CFA"/>
    <w:rsid w:val="00752B5F"/>
    <w:rsid w:val="007553DA"/>
    <w:rsid w:val="00782354"/>
    <w:rsid w:val="00782BAD"/>
    <w:rsid w:val="007921A7"/>
    <w:rsid w:val="007B3DB1"/>
    <w:rsid w:val="007C4AB2"/>
    <w:rsid w:val="007D183E"/>
    <w:rsid w:val="007D3AE8"/>
    <w:rsid w:val="007D43D0"/>
    <w:rsid w:val="007D4FF9"/>
    <w:rsid w:val="007E1833"/>
    <w:rsid w:val="007E3F13"/>
    <w:rsid w:val="007E6CC4"/>
    <w:rsid w:val="007F751A"/>
    <w:rsid w:val="00800012"/>
    <w:rsid w:val="0080261F"/>
    <w:rsid w:val="00806160"/>
    <w:rsid w:val="008143A4"/>
    <w:rsid w:val="0081513E"/>
    <w:rsid w:val="00820768"/>
    <w:rsid w:val="00823AC5"/>
    <w:rsid w:val="00841B33"/>
    <w:rsid w:val="00844956"/>
    <w:rsid w:val="00846FCB"/>
    <w:rsid w:val="00854131"/>
    <w:rsid w:val="0085652D"/>
    <w:rsid w:val="00860794"/>
    <w:rsid w:val="00862D87"/>
    <w:rsid w:val="00864F5F"/>
    <w:rsid w:val="0087694B"/>
    <w:rsid w:val="0088039D"/>
    <w:rsid w:val="00880F4D"/>
    <w:rsid w:val="0088775F"/>
    <w:rsid w:val="0089643E"/>
    <w:rsid w:val="008B1693"/>
    <w:rsid w:val="008B35A3"/>
    <w:rsid w:val="008B37E1"/>
    <w:rsid w:val="008B45F8"/>
    <w:rsid w:val="008C2E74"/>
    <w:rsid w:val="008D47D1"/>
    <w:rsid w:val="008D5409"/>
    <w:rsid w:val="008D65CC"/>
    <w:rsid w:val="008E006D"/>
    <w:rsid w:val="008E38B4"/>
    <w:rsid w:val="008E47E0"/>
    <w:rsid w:val="008F4F21"/>
    <w:rsid w:val="00904D4A"/>
    <w:rsid w:val="009151BA"/>
    <w:rsid w:val="009168E2"/>
    <w:rsid w:val="00920E22"/>
    <w:rsid w:val="00925023"/>
    <w:rsid w:val="009274C5"/>
    <w:rsid w:val="009277BC"/>
    <w:rsid w:val="00927D57"/>
    <w:rsid w:val="00931A51"/>
    <w:rsid w:val="00932122"/>
    <w:rsid w:val="0094415E"/>
    <w:rsid w:val="00947185"/>
    <w:rsid w:val="009518B3"/>
    <w:rsid w:val="00963D9D"/>
    <w:rsid w:val="0098013E"/>
    <w:rsid w:val="00981B54"/>
    <w:rsid w:val="009842C3"/>
    <w:rsid w:val="009979B2"/>
    <w:rsid w:val="009A009A"/>
    <w:rsid w:val="009A3DFF"/>
    <w:rsid w:val="009A6BB6"/>
    <w:rsid w:val="009B2A24"/>
    <w:rsid w:val="009B3F43"/>
    <w:rsid w:val="009B5CFA"/>
    <w:rsid w:val="009C161F"/>
    <w:rsid w:val="009C25FD"/>
    <w:rsid w:val="009C56B4"/>
    <w:rsid w:val="009D2014"/>
    <w:rsid w:val="009D51A2"/>
    <w:rsid w:val="009E04A8"/>
    <w:rsid w:val="009E4AEC"/>
    <w:rsid w:val="009E5BD8"/>
    <w:rsid w:val="009E681E"/>
    <w:rsid w:val="00A01481"/>
    <w:rsid w:val="00A119E6"/>
    <w:rsid w:val="00A1360A"/>
    <w:rsid w:val="00A20FBC"/>
    <w:rsid w:val="00A31370"/>
    <w:rsid w:val="00A34D6F"/>
    <w:rsid w:val="00A41F91"/>
    <w:rsid w:val="00A43326"/>
    <w:rsid w:val="00A63355"/>
    <w:rsid w:val="00A7596D"/>
    <w:rsid w:val="00A963DF"/>
    <w:rsid w:val="00AC0C22"/>
    <w:rsid w:val="00AC14E6"/>
    <w:rsid w:val="00AC3896"/>
    <w:rsid w:val="00AD2CF2"/>
    <w:rsid w:val="00AE2D88"/>
    <w:rsid w:val="00AE68D3"/>
    <w:rsid w:val="00AE6F6F"/>
    <w:rsid w:val="00AF3325"/>
    <w:rsid w:val="00AF34D9"/>
    <w:rsid w:val="00AF70DA"/>
    <w:rsid w:val="00B019D3"/>
    <w:rsid w:val="00B11235"/>
    <w:rsid w:val="00B12944"/>
    <w:rsid w:val="00B13E4C"/>
    <w:rsid w:val="00B14301"/>
    <w:rsid w:val="00B15D66"/>
    <w:rsid w:val="00B258E7"/>
    <w:rsid w:val="00B34CF9"/>
    <w:rsid w:val="00B37559"/>
    <w:rsid w:val="00B4054B"/>
    <w:rsid w:val="00B5448B"/>
    <w:rsid w:val="00B579B0"/>
    <w:rsid w:val="00B57D11"/>
    <w:rsid w:val="00B6398D"/>
    <w:rsid w:val="00B649D7"/>
    <w:rsid w:val="00B67013"/>
    <w:rsid w:val="00B7549C"/>
    <w:rsid w:val="00B8064E"/>
    <w:rsid w:val="00B81C2F"/>
    <w:rsid w:val="00B90743"/>
    <w:rsid w:val="00B90C45"/>
    <w:rsid w:val="00B933BE"/>
    <w:rsid w:val="00BA022B"/>
    <w:rsid w:val="00BA072F"/>
    <w:rsid w:val="00BD023D"/>
    <w:rsid w:val="00BD28C5"/>
    <w:rsid w:val="00BD6738"/>
    <w:rsid w:val="00BD7E5E"/>
    <w:rsid w:val="00BE021F"/>
    <w:rsid w:val="00BE35C0"/>
    <w:rsid w:val="00BE63DB"/>
    <w:rsid w:val="00BE6574"/>
    <w:rsid w:val="00BF58EA"/>
    <w:rsid w:val="00C07319"/>
    <w:rsid w:val="00C14479"/>
    <w:rsid w:val="00C159DD"/>
    <w:rsid w:val="00C16FD2"/>
    <w:rsid w:val="00C3507C"/>
    <w:rsid w:val="00C4395E"/>
    <w:rsid w:val="00C47FFD"/>
    <w:rsid w:val="00C51E92"/>
    <w:rsid w:val="00C52AE6"/>
    <w:rsid w:val="00C57E2C"/>
    <w:rsid w:val="00C608B7"/>
    <w:rsid w:val="00C616DE"/>
    <w:rsid w:val="00C6566E"/>
    <w:rsid w:val="00C66F24"/>
    <w:rsid w:val="00C76D7F"/>
    <w:rsid w:val="00C813AA"/>
    <w:rsid w:val="00C818D7"/>
    <w:rsid w:val="00C865D7"/>
    <w:rsid w:val="00C8698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43ED"/>
    <w:rsid w:val="00D6790C"/>
    <w:rsid w:val="00D73277"/>
    <w:rsid w:val="00D76586"/>
    <w:rsid w:val="00D82657"/>
    <w:rsid w:val="00D87E20"/>
    <w:rsid w:val="00D91794"/>
    <w:rsid w:val="00DA4037"/>
    <w:rsid w:val="00DC1872"/>
    <w:rsid w:val="00DD18EE"/>
    <w:rsid w:val="00DE66A5"/>
    <w:rsid w:val="00DF081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6D31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1F66"/>
    <w:rsid w:val="00E96415"/>
    <w:rsid w:val="00EA15B3"/>
    <w:rsid w:val="00EA73C5"/>
    <w:rsid w:val="00EB2358"/>
    <w:rsid w:val="00EB3EB8"/>
    <w:rsid w:val="00EC02FE"/>
    <w:rsid w:val="00EC2346"/>
    <w:rsid w:val="00EC4A96"/>
    <w:rsid w:val="00EE4CD5"/>
    <w:rsid w:val="00EE5A42"/>
    <w:rsid w:val="00EF1C72"/>
    <w:rsid w:val="00EF791C"/>
    <w:rsid w:val="00F044FA"/>
    <w:rsid w:val="00F34020"/>
    <w:rsid w:val="00F37EDE"/>
    <w:rsid w:val="00F424BF"/>
    <w:rsid w:val="00F44FC3"/>
    <w:rsid w:val="00F46107"/>
    <w:rsid w:val="00F468C5"/>
    <w:rsid w:val="00F51F68"/>
    <w:rsid w:val="00F52F39"/>
    <w:rsid w:val="00F577C6"/>
    <w:rsid w:val="00F57FCC"/>
    <w:rsid w:val="00F6184F"/>
    <w:rsid w:val="00F8310E"/>
    <w:rsid w:val="00F914DD"/>
    <w:rsid w:val="00FA2358"/>
    <w:rsid w:val="00FB2403"/>
    <w:rsid w:val="00FB2592"/>
    <w:rsid w:val="00FB2810"/>
    <w:rsid w:val="00FB7A2C"/>
    <w:rsid w:val="00FC2947"/>
    <w:rsid w:val="00FC6F6B"/>
    <w:rsid w:val="00FD0EE6"/>
    <w:rsid w:val="00FD51D0"/>
    <w:rsid w:val="00FE0818"/>
    <w:rsid w:val="00FE0861"/>
    <w:rsid w:val="00FE6FB1"/>
    <w:rsid w:val="00FF12D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66BFB863-1CA5-463B-B485-26D0E63A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1108F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876E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44956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EC234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res40-form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res40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1091-DBBC-4D60-8E63-40838800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13</TotalTime>
  <Pages>3</Pages>
  <Words>807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Currie, Jane</dc:creator>
  <cp:lastModifiedBy>Anghelone, Christine</cp:lastModifiedBy>
  <cp:revision>13</cp:revision>
  <cp:lastPrinted>2016-03-23T10:53:00Z</cp:lastPrinted>
  <dcterms:created xsi:type="dcterms:W3CDTF">2016-03-24T15:17:00Z</dcterms:created>
  <dcterms:modified xsi:type="dcterms:W3CDTF">2016-03-30T14:08:00Z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