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703171">
        <w:tc>
          <w:tcPr>
            <w:tcW w:w="9889" w:type="dxa"/>
            <w:gridSpan w:val="3"/>
            <w:shd w:val="clear" w:color="auto" w:fill="auto"/>
          </w:tcPr>
          <w:p w:rsidR="00E53DCE" w:rsidRDefault="00A96D3A" w:rsidP="00703171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Default="00E53DCE" w:rsidP="00703171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703171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650543" w:rsidTr="00703171">
        <w:tc>
          <w:tcPr>
            <w:tcW w:w="7054" w:type="dxa"/>
            <w:gridSpan w:val="2"/>
            <w:shd w:val="clear" w:color="auto" w:fill="auto"/>
          </w:tcPr>
          <w:p w:rsidR="00E53DCE" w:rsidRPr="00FE6FB1" w:rsidRDefault="002F0F96" w:rsidP="002F0F96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r>
              <w:t xml:space="preserve">Carta </w:t>
            </w:r>
            <w:r w:rsidR="00A96D3A">
              <w:t xml:space="preserve">Circular </w:t>
            </w:r>
          </w:p>
          <w:p w:rsidR="00E53DCE" w:rsidRPr="006C53F8" w:rsidRDefault="00E53DCE" w:rsidP="00703171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 w:rsidR="002F0F96">
              <w:rPr>
                <w:b/>
                <w:bCs/>
                <w:sz w:val="24"/>
                <w:szCs w:val="24"/>
                <w:lang w:val="fr-CH"/>
              </w:rPr>
              <w:t>R</w:t>
            </w:r>
            <w:r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2F0F96">
              <w:rPr>
                <w:b/>
                <w:bCs/>
                <w:sz w:val="24"/>
                <w:szCs w:val="24"/>
                <w:lang w:val="fr-CH"/>
              </w:rPr>
              <w:t>3</w:t>
            </w:r>
            <w:r w:rsidR="00703171">
              <w:rPr>
                <w:b/>
                <w:bCs/>
                <w:sz w:val="24"/>
                <w:szCs w:val="24"/>
                <w:lang w:val="fr-CH"/>
              </w:rPr>
              <w:t>9</w:t>
            </w:r>
            <w:r w:rsidR="00B534A4">
              <w:rPr>
                <w:b/>
                <w:bCs/>
                <w:sz w:val="24"/>
                <w:szCs w:val="24"/>
                <w:lang w:val="fr-CH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53DCE" w:rsidRPr="00650543" w:rsidRDefault="00F741CA" w:rsidP="00704B28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bCs/>
              </w:rPr>
              <w:t>18</w:t>
            </w:r>
            <w:r w:rsidR="00B534A4">
              <w:rPr>
                <w:bCs/>
              </w:rPr>
              <w:t xml:space="preserve"> de </w:t>
            </w:r>
            <w:r w:rsidR="00704B28">
              <w:rPr>
                <w:bCs/>
              </w:rPr>
              <w:t>marzo</w:t>
            </w:r>
            <w:r w:rsidR="00B534A4">
              <w:rPr>
                <w:bCs/>
              </w:rPr>
              <w:t xml:space="preserve"> </w:t>
            </w:r>
            <w:r w:rsidR="00A96D3A">
              <w:rPr>
                <w:bCs/>
              </w:rPr>
              <w:t>de 201</w:t>
            </w:r>
            <w:r w:rsidR="00703171">
              <w:rPr>
                <w:bCs/>
              </w:rPr>
              <w:t>6</w:t>
            </w:r>
          </w:p>
        </w:tc>
      </w:tr>
      <w:tr w:rsidR="00E53DCE" w:rsidRPr="003266ED" w:rsidTr="00703171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03171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E53DCE" w:rsidRPr="003266ED" w:rsidTr="00703171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03171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E53DCE" w:rsidRPr="00F741CA" w:rsidTr="00703171">
        <w:tc>
          <w:tcPr>
            <w:tcW w:w="9889" w:type="dxa"/>
            <w:gridSpan w:val="3"/>
            <w:shd w:val="clear" w:color="auto" w:fill="auto"/>
          </w:tcPr>
          <w:p w:rsidR="00E53DCE" w:rsidRPr="00611FAC" w:rsidRDefault="00FE4822" w:rsidP="00611FAC">
            <w:pPr>
              <w:spacing w:before="0"/>
              <w:jc w:val="left"/>
              <w:rPr>
                <w:b/>
                <w:bCs/>
                <w:sz w:val="24"/>
                <w:szCs w:val="24"/>
                <w:lang w:val="es-ES"/>
              </w:rPr>
            </w:pPr>
            <w:r w:rsidRPr="00611FAC">
              <w:rPr>
                <w:b/>
                <w:sz w:val="24"/>
                <w:szCs w:val="24"/>
                <w:lang w:val="es-ES"/>
              </w:rPr>
              <w:t>A las Administraciones de los Estados Miembros de la UIT</w:t>
            </w:r>
          </w:p>
        </w:tc>
      </w:tr>
      <w:tr w:rsidR="00E53DCE" w:rsidRPr="00F741CA" w:rsidTr="00703171">
        <w:tc>
          <w:tcPr>
            <w:tcW w:w="9889" w:type="dxa"/>
            <w:gridSpan w:val="3"/>
            <w:shd w:val="clear" w:color="auto" w:fill="auto"/>
          </w:tcPr>
          <w:p w:rsidR="00E53DCE" w:rsidRPr="00FE4822" w:rsidRDefault="00E53DCE" w:rsidP="00703171">
            <w:pPr>
              <w:spacing w:before="0"/>
              <w:jc w:val="left"/>
              <w:rPr>
                <w:sz w:val="24"/>
                <w:szCs w:val="24"/>
                <w:lang w:val="es-ES"/>
              </w:rPr>
            </w:pPr>
          </w:p>
        </w:tc>
      </w:tr>
      <w:tr w:rsidR="00E53DCE" w:rsidRPr="00F741CA" w:rsidTr="00703171">
        <w:tc>
          <w:tcPr>
            <w:tcW w:w="9889" w:type="dxa"/>
            <w:gridSpan w:val="3"/>
            <w:shd w:val="clear" w:color="auto" w:fill="auto"/>
          </w:tcPr>
          <w:p w:rsidR="00E53DCE" w:rsidRPr="00FE4822" w:rsidRDefault="00E53DCE" w:rsidP="00703171">
            <w:pPr>
              <w:spacing w:before="0"/>
              <w:jc w:val="left"/>
              <w:rPr>
                <w:sz w:val="24"/>
                <w:szCs w:val="24"/>
                <w:lang w:val="es-ES"/>
              </w:rPr>
            </w:pPr>
          </w:p>
        </w:tc>
      </w:tr>
      <w:tr w:rsidR="00E53DCE" w:rsidRPr="00F741CA" w:rsidTr="00703171">
        <w:tc>
          <w:tcPr>
            <w:tcW w:w="1526" w:type="dxa"/>
            <w:shd w:val="clear" w:color="auto" w:fill="auto"/>
          </w:tcPr>
          <w:p w:rsidR="00E53DCE" w:rsidRPr="00703171" w:rsidRDefault="00A96D3A" w:rsidP="0070317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"/>
              </w:rPr>
            </w:pPr>
            <w:r w:rsidRPr="00703171">
              <w:rPr>
                <w:lang w:val="es-ES"/>
              </w:rPr>
              <w:t>Objeto: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54703D" w:rsidRDefault="00B534A4" w:rsidP="00C72A1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CF59D0">
              <w:rPr>
                <w:b/>
                <w:bCs/>
                <w:sz w:val="24"/>
                <w:szCs w:val="24"/>
                <w:lang w:val="es-ES"/>
              </w:rPr>
              <w:t xml:space="preserve">Introducción </w:t>
            </w:r>
            <w:r>
              <w:rPr>
                <w:b/>
                <w:bCs/>
                <w:sz w:val="24"/>
                <w:szCs w:val="24"/>
                <w:lang w:val="es-ES"/>
              </w:rPr>
              <w:t xml:space="preserve">de un nuevo símbolo de clase de estación </w:t>
            </w:r>
            <w:r w:rsidR="00C71E16">
              <w:rPr>
                <w:b/>
                <w:bCs/>
                <w:sz w:val="24"/>
                <w:szCs w:val="24"/>
                <w:lang w:val="es-ES"/>
              </w:rPr>
              <w:t>"UF"</w:t>
            </w:r>
            <w:r>
              <w:rPr>
                <w:b/>
                <w:bCs/>
                <w:sz w:val="24"/>
                <w:szCs w:val="24"/>
                <w:lang w:val="es-ES"/>
              </w:rPr>
              <w:t xml:space="preserve"> para las estaciones terrenas</w:t>
            </w:r>
            <w:r w:rsidRPr="00CF59D0">
              <w:rPr>
                <w:b/>
                <w:bCs/>
                <w:sz w:val="24"/>
                <w:szCs w:val="24"/>
                <w:lang w:val="es-ES"/>
              </w:rPr>
              <w:t xml:space="preserve"> en movimiento</w:t>
            </w:r>
            <w:r>
              <w:rPr>
                <w:b/>
                <w:bCs/>
                <w:sz w:val="24"/>
                <w:szCs w:val="24"/>
                <w:lang w:val="es-ES"/>
              </w:rPr>
              <w:t xml:space="preserve"> que comunican con estaciones espaciales geoestacionarias en el servicio fijo por satélite en las bandas de frecuencias a las que se refiere la disposición número 5.527A</w:t>
            </w:r>
          </w:p>
        </w:tc>
      </w:tr>
      <w:tr w:rsidR="00E53DCE" w:rsidRPr="00F741CA" w:rsidTr="00703171">
        <w:tc>
          <w:tcPr>
            <w:tcW w:w="1526" w:type="dxa"/>
            <w:shd w:val="clear" w:color="auto" w:fill="auto"/>
          </w:tcPr>
          <w:p w:rsidR="00E53DCE" w:rsidRPr="0054703D" w:rsidRDefault="00E53DCE" w:rsidP="0070317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54703D" w:rsidRDefault="00E53DCE" w:rsidP="00C72A1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F741CA" w:rsidTr="00703171">
        <w:tc>
          <w:tcPr>
            <w:tcW w:w="1526" w:type="dxa"/>
            <w:shd w:val="clear" w:color="auto" w:fill="auto"/>
          </w:tcPr>
          <w:p w:rsidR="00E53DCE" w:rsidRPr="0054703D" w:rsidRDefault="00E53DCE" w:rsidP="0070317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54703D" w:rsidRDefault="00E53DCE" w:rsidP="00C72A1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F741CA" w:rsidTr="00703171">
        <w:tc>
          <w:tcPr>
            <w:tcW w:w="9889" w:type="dxa"/>
            <w:gridSpan w:val="3"/>
            <w:shd w:val="clear" w:color="auto" w:fill="auto"/>
          </w:tcPr>
          <w:p w:rsidR="00E53DCE" w:rsidRPr="0054703D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</w:tbl>
    <w:p w:rsidR="00B534A4" w:rsidRPr="00CF59D0" w:rsidRDefault="00B534A4" w:rsidP="00B534A4">
      <w:pPr>
        <w:spacing w:before="48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objeto de la presente </w:t>
      </w:r>
      <w:r w:rsidR="00C71E16">
        <w:rPr>
          <w:sz w:val="24"/>
          <w:szCs w:val="24"/>
          <w:lang w:val="es-ES"/>
        </w:rPr>
        <w:t xml:space="preserve">Carta </w:t>
      </w:r>
      <w:r>
        <w:rPr>
          <w:sz w:val="24"/>
          <w:szCs w:val="24"/>
          <w:lang w:val="es-ES"/>
        </w:rPr>
        <w:t xml:space="preserve">Circular es facilitar información y orientación a las administraciones en relación con el nuevo símbolo de clase de estación terrena que debe utilizarse para </w:t>
      </w:r>
      <w:r w:rsidRPr="00E241A5">
        <w:rPr>
          <w:sz w:val="24"/>
          <w:szCs w:val="24"/>
          <w:lang w:val="es-ES"/>
        </w:rPr>
        <w:t xml:space="preserve">las estaciones terrenas en movimiento que comunican con estaciones espaciales geoestacionarias en el servicio fijo por satélite en las bandas de frecuencias a las que se refiere la disposición número </w:t>
      </w:r>
      <w:r w:rsidRPr="008B699D">
        <w:rPr>
          <w:b/>
          <w:bCs/>
          <w:sz w:val="24"/>
          <w:szCs w:val="24"/>
          <w:lang w:val="es-ES"/>
        </w:rPr>
        <w:t>5.527A</w:t>
      </w:r>
      <w:r>
        <w:rPr>
          <w:sz w:val="24"/>
          <w:szCs w:val="24"/>
          <w:lang w:val="es-ES"/>
        </w:rPr>
        <w:t xml:space="preserve"> [</w:t>
      </w:r>
      <w:r w:rsidRPr="008B699D">
        <w:rPr>
          <w:b/>
          <w:bCs/>
          <w:sz w:val="24"/>
          <w:szCs w:val="24"/>
          <w:lang w:val="es-ES"/>
        </w:rPr>
        <w:t>5.5X</w:t>
      </w:r>
      <w:r>
        <w:rPr>
          <w:sz w:val="24"/>
          <w:szCs w:val="24"/>
          <w:lang w:val="es-ES"/>
        </w:rPr>
        <w:t xml:space="preserve">] recibidas por la Oficina a partir del </w:t>
      </w:r>
      <w:r w:rsidRPr="00E241A5">
        <w:rPr>
          <w:b/>
          <w:bCs/>
          <w:sz w:val="24"/>
          <w:szCs w:val="24"/>
          <w:lang w:val="es-ES"/>
        </w:rPr>
        <w:t>28 de noviembre de 2015</w:t>
      </w:r>
      <w:r>
        <w:rPr>
          <w:sz w:val="24"/>
          <w:szCs w:val="24"/>
          <w:lang w:val="es-ES"/>
        </w:rPr>
        <w:t>.</w:t>
      </w:r>
    </w:p>
    <w:p w:rsidR="00B534A4" w:rsidRDefault="00B534A4" w:rsidP="00B534A4">
      <w:pPr>
        <w:tabs>
          <w:tab w:val="clear" w:pos="794"/>
          <w:tab w:val="left" w:pos="900"/>
        </w:tabs>
        <w:spacing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 xml:space="preserve">En la Carta Circular </w:t>
      </w:r>
      <w:r w:rsidRPr="00E241A5">
        <w:rPr>
          <w:rFonts w:cs="Times New Roman"/>
          <w:b/>
          <w:bCs/>
          <w:sz w:val="24"/>
          <w:szCs w:val="24"/>
          <w:lang w:val="es-ES"/>
        </w:rPr>
        <w:t>CR/358</w:t>
      </w:r>
      <w:r>
        <w:rPr>
          <w:rFonts w:cs="Times New Roman"/>
          <w:sz w:val="24"/>
          <w:szCs w:val="24"/>
          <w:lang w:val="es-ES"/>
        </w:rPr>
        <w:t xml:space="preserve"> de fecha 14 de febrero de 2014 se introducía </w:t>
      </w:r>
      <w:r w:rsidRPr="00E241A5">
        <w:rPr>
          <w:rFonts w:cs="Times New Roman"/>
          <w:sz w:val="24"/>
          <w:szCs w:val="24"/>
          <w:lang w:val="es-ES"/>
        </w:rPr>
        <w:t xml:space="preserve">un nuevo código de clase de estación para las estaciones terrenas en movimiento </w:t>
      </w:r>
      <w:r>
        <w:rPr>
          <w:rFonts w:cs="Times New Roman"/>
          <w:sz w:val="24"/>
          <w:szCs w:val="24"/>
          <w:lang w:val="es-ES"/>
        </w:rPr>
        <w:t>asociadas a</w:t>
      </w:r>
      <w:r w:rsidRPr="00E241A5">
        <w:rPr>
          <w:rFonts w:cs="Times New Roman"/>
          <w:sz w:val="24"/>
          <w:szCs w:val="24"/>
          <w:lang w:val="es-ES"/>
        </w:rPr>
        <w:t xml:space="preserve"> una estación espacial en el </w:t>
      </w:r>
      <w:r>
        <w:rPr>
          <w:rFonts w:cs="Times New Roman"/>
          <w:sz w:val="24"/>
          <w:szCs w:val="24"/>
          <w:lang w:val="es-ES"/>
        </w:rPr>
        <w:t>SFS</w:t>
      </w:r>
      <w:r w:rsidRPr="00E241A5">
        <w:rPr>
          <w:rFonts w:cs="Times New Roman"/>
          <w:sz w:val="24"/>
          <w:szCs w:val="24"/>
          <w:lang w:val="es-ES"/>
        </w:rPr>
        <w:t xml:space="preserve"> en las bandas que se </w:t>
      </w:r>
      <w:r>
        <w:rPr>
          <w:rFonts w:cs="Times New Roman"/>
          <w:sz w:val="24"/>
          <w:szCs w:val="24"/>
          <w:lang w:val="es-ES"/>
        </w:rPr>
        <w:t>mencionan</w:t>
      </w:r>
      <w:r w:rsidRPr="00E241A5">
        <w:rPr>
          <w:rFonts w:cs="Times New Roman"/>
          <w:sz w:val="24"/>
          <w:szCs w:val="24"/>
          <w:lang w:val="es-ES"/>
        </w:rPr>
        <w:t xml:space="preserve"> en la disposición número </w:t>
      </w:r>
      <w:r w:rsidRPr="00E241A5">
        <w:rPr>
          <w:rFonts w:cs="Times New Roman"/>
          <w:b/>
          <w:bCs/>
          <w:sz w:val="24"/>
          <w:szCs w:val="24"/>
          <w:lang w:val="es-ES"/>
        </w:rPr>
        <w:t>5.526</w:t>
      </w:r>
      <w:r>
        <w:rPr>
          <w:rFonts w:cs="Times New Roman"/>
          <w:sz w:val="24"/>
          <w:szCs w:val="24"/>
          <w:lang w:val="es-ES"/>
        </w:rPr>
        <w:t xml:space="preserve"> (símbolo de clase de estación </w:t>
      </w:r>
      <w:r w:rsidR="00C71E16">
        <w:rPr>
          <w:rFonts w:cs="Times New Roman"/>
          <w:sz w:val="24"/>
          <w:szCs w:val="24"/>
          <w:lang w:val="es-ES"/>
        </w:rPr>
        <w:t>"</w:t>
      </w:r>
      <w:r w:rsidRPr="00E241A5">
        <w:rPr>
          <w:rFonts w:cs="Times New Roman"/>
          <w:b/>
          <w:bCs/>
          <w:sz w:val="24"/>
          <w:szCs w:val="24"/>
          <w:lang w:val="es-ES"/>
        </w:rPr>
        <w:t>UC</w:t>
      </w:r>
      <w:r w:rsidR="00C71E16">
        <w:rPr>
          <w:rFonts w:cs="Times New Roman"/>
          <w:sz w:val="24"/>
          <w:szCs w:val="24"/>
          <w:lang w:val="es-ES"/>
        </w:rPr>
        <w:t>"</w:t>
      </w:r>
      <w:r>
        <w:rPr>
          <w:rFonts w:cs="Times New Roman"/>
          <w:sz w:val="24"/>
          <w:szCs w:val="24"/>
          <w:lang w:val="es-ES"/>
        </w:rPr>
        <w:t xml:space="preserve">).  El </w:t>
      </w:r>
      <w:r w:rsidR="00C71E16">
        <w:rPr>
          <w:rFonts w:cs="Times New Roman"/>
          <w:sz w:val="24"/>
          <w:szCs w:val="24"/>
          <w:lang w:val="es-ES"/>
        </w:rPr>
        <w:t>símbolo "UC"</w:t>
      </w:r>
      <w:r>
        <w:rPr>
          <w:rFonts w:cs="Times New Roman"/>
          <w:sz w:val="24"/>
          <w:szCs w:val="24"/>
          <w:lang w:val="es-ES"/>
        </w:rPr>
        <w:t xml:space="preserve"> dejará de utilizarse a efectos de presentación a partir del 1 de enero de 2017, en que será s</w:t>
      </w:r>
      <w:r w:rsidR="00C71E16">
        <w:rPr>
          <w:rFonts w:cs="Times New Roman"/>
          <w:sz w:val="24"/>
          <w:szCs w:val="24"/>
          <w:lang w:val="es-ES"/>
        </w:rPr>
        <w:t>ustituido por el nuevo símbolo "UF"</w:t>
      </w:r>
      <w:r>
        <w:rPr>
          <w:rFonts w:cs="Times New Roman"/>
          <w:sz w:val="24"/>
          <w:szCs w:val="24"/>
          <w:lang w:val="es-ES"/>
        </w:rPr>
        <w:t xml:space="preserve"> tal y como se define más abajo.</w:t>
      </w:r>
    </w:p>
    <w:p w:rsidR="00B534A4" w:rsidRDefault="00B534A4" w:rsidP="00B534A4">
      <w:pPr>
        <w:tabs>
          <w:tab w:val="clear" w:pos="794"/>
          <w:tab w:val="left" w:pos="900"/>
        </w:tabs>
        <w:spacing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 xml:space="preserve">Con el fin de poder llevar a cabo el examen de las condiciones asociadas a las estaciones terrenas en aplicación del número </w:t>
      </w:r>
      <w:r w:rsidRPr="000950EE">
        <w:rPr>
          <w:rFonts w:cs="Times New Roman"/>
          <w:b/>
          <w:bCs/>
          <w:sz w:val="24"/>
          <w:szCs w:val="24"/>
          <w:lang w:val="es-ES"/>
        </w:rPr>
        <w:t>5.527A [5.5X]</w:t>
      </w:r>
      <w:r>
        <w:rPr>
          <w:rFonts w:cs="Times New Roman"/>
          <w:sz w:val="24"/>
          <w:szCs w:val="24"/>
          <w:lang w:val="es-ES"/>
        </w:rPr>
        <w:t xml:space="preserve"> incluido en la Resolución </w:t>
      </w:r>
      <w:r w:rsidRPr="000950EE">
        <w:rPr>
          <w:rFonts w:cs="Times New Roman"/>
          <w:b/>
          <w:bCs/>
          <w:sz w:val="24"/>
          <w:szCs w:val="24"/>
          <w:lang w:val="es-ES"/>
        </w:rPr>
        <w:t>156 [COM5/2] (CMR-15)</w:t>
      </w:r>
      <w:r>
        <w:rPr>
          <w:rFonts w:cs="Times New Roman"/>
          <w:sz w:val="24"/>
          <w:szCs w:val="24"/>
          <w:lang w:val="es-ES"/>
        </w:rPr>
        <w:t xml:space="preserve">, la Oficina ha definido una nueva clase de estación para el </w:t>
      </w:r>
      <w:r w:rsidRPr="00C71E16">
        <w:rPr>
          <w:rFonts w:cs="Times New Roman"/>
          <w:b/>
          <w:bCs/>
          <w:sz w:val="24"/>
          <w:szCs w:val="24"/>
          <w:lang w:val="es-ES"/>
        </w:rPr>
        <w:t>Cuadro 3</w:t>
      </w:r>
      <w:r>
        <w:rPr>
          <w:rFonts w:cs="Times New Roman"/>
          <w:sz w:val="24"/>
          <w:szCs w:val="24"/>
          <w:lang w:val="es-ES"/>
        </w:rPr>
        <w:t xml:space="preserve"> del Prefacio a la BR IFIC (Servicio Espaciales), en los siguientes términos:</w:t>
      </w:r>
    </w:p>
    <w:p w:rsidR="00B534A4" w:rsidRPr="00CF59D0" w:rsidRDefault="00B534A4" w:rsidP="00B534A4">
      <w:pPr>
        <w:tabs>
          <w:tab w:val="clear" w:pos="794"/>
          <w:tab w:val="left" w:pos="900"/>
        </w:tabs>
        <w:ind w:left="540"/>
        <w:rPr>
          <w:sz w:val="24"/>
          <w:szCs w:val="24"/>
          <w:lang w:val="es-ES"/>
        </w:rPr>
      </w:pPr>
      <w:r w:rsidRPr="00135B73">
        <w:rPr>
          <w:rFonts w:cs="Times New Roman"/>
          <w:b/>
          <w:sz w:val="24"/>
          <w:szCs w:val="24"/>
          <w:lang w:val="es-ES"/>
        </w:rPr>
        <w:t>U</w:t>
      </w:r>
      <w:r>
        <w:rPr>
          <w:rFonts w:cs="Times New Roman"/>
          <w:b/>
          <w:sz w:val="24"/>
          <w:szCs w:val="24"/>
          <w:lang w:val="es-ES"/>
        </w:rPr>
        <w:t>F</w:t>
      </w:r>
      <w:r w:rsidRPr="00135B73">
        <w:rPr>
          <w:rFonts w:cs="Times New Roman"/>
          <w:sz w:val="24"/>
          <w:szCs w:val="24"/>
          <w:lang w:val="es-ES"/>
        </w:rPr>
        <w:t xml:space="preserve"> </w:t>
      </w:r>
      <w:r>
        <w:rPr>
          <w:rFonts w:cs="Times New Roman"/>
          <w:sz w:val="24"/>
          <w:szCs w:val="24"/>
          <w:lang w:val="es-ES"/>
        </w:rPr>
        <w:t>-</w:t>
      </w:r>
      <w:r w:rsidRPr="00135B73">
        <w:rPr>
          <w:rFonts w:cs="Times New Roman"/>
          <w:sz w:val="24"/>
          <w:szCs w:val="24"/>
          <w:lang w:val="es-ES"/>
        </w:rPr>
        <w:t xml:space="preserve"> Estación terrena </w:t>
      </w:r>
      <w:r w:rsidRPr="00E241A5">
        <w:rPr>
          <w:rFonts w:cs="Times New Roman"/>
          <w:sz w:val="24"/>
          <w:szCs w:val="24"/>
          <w:lang w:val="es-ES"/>
        </w:rPr>
        <w:t xml:space="preserve">en movimiento que comunica con </w:t>
      </w:r>
      <w:r>
        <w:rPr>
          <w:rFonts w:cs="Times New Roman"/>
          <w:sz w:val="24"/>
          <w:szCs w:val="24"/>
          <w:lang w:val="es-ES"/>
        </w:rPr>
        <w:t xml:space="preserve">una </w:t>
      </w:r>
      <w:r w:rsidRPr="00E241A5">
        <w:rPr>
          <w:rFonts w:cs="Times New Roman"/>
          <w:sz w:val="24"/>
          <w:szCs w:val="24"/>
          <w:lang w:val="es-ES"/>
        </w:rPr>
        <w:t xml:space="preserve">estación espacial geoestacionaria en el servicio fijo por satélite en las bandas de frecuencias a las que se refiere la disposición número </w:t>
      </w:r>
      <w:r w:rsidRPr="008B699D">
        <w:rPr>
          <w:rFonts w:cs="Times New Roman"/>
          <w:b/>
          <w:bCs/>
          <w:sz w:val="24"/>
          <w:szCs w:val="24"/>
          <w:lang w:val="es-ES"/>
        </w:rPr>
        <w:t>5.527A</w:t>
      </w:r>
      <w:r>
        <w:rPr>
          <w:rFonts w:cs="Times New Roman"/>
          <w:sz w:val="24"/>
          <w:szCs w:val="24"/>
          <w:lang w:val="es-ES"/>
        </w:rPr>
        <w:t xml:space="preserve"> [</w:t>
      </w:r>
      <w:r w:rsidRPr="008B699D">
        <w:rPr>
          <w:rFonts w:cs="Times New Roman"/>
          <w:b/>
          <w:bCs/>
          <w:sz w:val="24"/>
          <w:szCs w:val="24"/>
          <w:lang w:val="es-ES"/>
        </w:rPr>
        <w:t>5.5X</w:t>
      </w:r>
      <w:r>
        <w:rPr>
          <w:rFonts w:cs="Times New Roman"/>
          <w:sz w:val="24"/>
          <w:szCs w:val="24"/>
          <w:lang w:val="es-ES"/>
        </w:rPr>
        <w:t>]</w:t>
      </w:r>
      <w:r w:rsidRPr="00CF59D0">
        <w:rPr>
          <w:sz w:val="24"/>
          <w:szCs w:val="24"/>
          <w:lang w:val="es-ES"/>
        </w:rPr>
        <w:t>.</w:t>
      </w:r>
    </w:p>
    <w:p w:rsidR="00B534A4" w:rsidRDefault="00B534A4" w:rsidP="00B534A4">
      <w:pPr>
        <w:spacing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Se invita a las </w:t>
      </w:r>
      <w:r w:rsidRPr="00CF59D0">
        <w:rPr>
          <w:sz w:val="24"/>
          <w:szCs w:val="24"/>
          <w:lang w:val="es-ES"/>
        </w:rPr>
        <w:t xml:space="preserve">Administraciones </w:t>
      </w:r>
      <w:r>
        <w:rPr>
          <w:sz w:val="24"/>
          <w:szCs w:val="24"/>
          <w:lang w:val="es-ES"/>
        </w:rPr>
        <w:t xml:space="preserve">a utilizar los símbolos de la nueva clase de estación al presentar notificaciones a la Oficina para </w:t>
      </w:r>
      <w:r w:rsidRPr="00E241A5">
        <w:rPr>
          <w:sz w:val="24"/>
          <w:szCs w:val="24"/>
          <w:lang w:val="es-ES"/>
        </w:rPr>
        <w:t xml:space="preserve">las estaciones terrenas en movimiento que comunican con estaciones espaciales </w:t>
      </w:r>
      <w:r>
        <w:rPr>
          <w:sz w:val="24"/>
          <w:szCs w:val="24"/>
          <w:lang w:val="es-ES"/>
        </w:rPr>
        <w:t>OSG</w:t>
      </w:r>
      <w:r w:rsidRPr="00E241A5">
        <w:rPr>
          <w:sz w:val="24"/>
          <w:szCs w:val="24"/>
          <w:lang w:val="es-ES"/>
        </w:rPr>
        <w:t xml:space="preserve"> en el </w:t>
      </w:r>
      <w:r>
        <w:rPr>
          <w:sz w:val="24"/>
          <w:szCs w:val="24"/>
          <w:lang w:val="es-ES"/>
        </w:rPr>
        <w:t>SFS</w:t>
      </w:r>
      <w:r w:rsidRPr="00E241A5">
        <w:rPr>
          <w:sz w:val="24"/>
          <w:szCs w:val="24"/>
          <w:lang w:val="es-ES"/>
        </w:rPr>
        <w:t xml:space="preserve"> en las bandas de frecuencias </w:t>
      </w:r>
      <w:r w:rsidRPr="000950EE">
        <w:rPr>
          <w:sz w:val="24"/>
          <w:szCs w:val="24"/>
          <w:lang w:val="es-ES"/>
        </w:rPr>
        <w:t>19</w:t>
      </w:r>
      <w:r>
        <w:rPr>
          <w:sz w:val="24"/>
          <w:szCs w:val="24"/>
          <w:lang w:val="es-ES"/>
        </w:rPr>
        <w:t>,</w:t>
      </w:r>
      <w:r w:rsidRPr="000950EE">
        <w:rPr>
          <w:sz w:val="24"/>
          <w:szCs w:val="24"/>
          <w:lang w:val="es-ES"/>
        </w:rPr>
        <w:t>7-20</w:t>
      </w:r>
      <w:r>
        <w:rPr>
          <w:sz w:val="24"/>
          <w:szCs w:val="24"/>
          <w:lang w:val="es-ES"/>
        </w:rPr>
        <w:t>,</w:t>
      </w:r>
      <w:r w:rsidRPr="000950EE">
        <w:rPr>
          <w:sz w:val="24"/>
          <w:szCs w:val="24"/>
          <w:lang w:val="es-ES"/>
        </w:rPr>
        <w:t xml:space="preserve">2 GHz </w:t>
      </w:r>
      <w:r>
        <w:rPr>
          <w:sz w:val="24"/>
          <w:szCs w:val="24"/>
          <w:lang w:val="es-ES"/>
        </w:rPr>
        <w:t>y</w:t>
      </w:r>
      <w:r w:rsidRPr="000950EE">
        <w:rPr>
          <w:sz w:val="24"/>
          <w:szCs w:val="24"/>
          <w:lang w:val="es-ES"/>
        </w:rPr>
        <w:t xml:space="preserve"> 29</w:t>
      </w:r>
      <w:r>
        <w:rPr>
          <w:sz w:val="24"/>
          <w:szCs w:val="24"/>
          <w:lang w:val="es-ES"/>
        </w:rPr>
        <w:t>,</w:t>
      </w:r>
      <w:r w:rsidRPr="000950EE">
        <w:rPr>
          <w:sz w:val="24"/>
          <w:szCs w:val="24"/>
          <w:lang w:val="es-ES"/>
        </w:rPr>
        <w:t>5-30</w:t>
      </w:r>
      <w:r>
        <w:rPr>
          <w:sz w:val="24"/>
          <w:szCs w:val="24"/>
          <w:lang w:val="es-ES"/>
        </w:rPr>
        <w:t>,</w:t>
      </w:r>
      <w:r w:rsidRPr="000950EE">
        <w:rPr>
          <w:sz w:val="24"/>
          <w:szCs w:val="24"/>
          <w:lang w:val="es-ES"/>
        </w:rPr>
        <w:t xml:space="preserve">0 GHz </w:t>
      </w:r>
      <w:r>
        <w:rPr>
          <w:sz w:val="24"/>
          <w:szCs w:val="24"/>
          <w:lang w:val="es-ES"/>
        </w:rPr>
        <w:t xml:space="preserve">en determinadas condiciones, según lo especificado en los </w:t>
      </w:r>
      <w:r w:rsidRPr="000950EE">
        <w:rPr>
          <w:i/>
          <w:iCs/>
          <w:sz w:val="24"/>
          <w:szCs w:val="24"/>
          <w:lang w:val="es-ES"/>
        </w:rPr>
        <w:t>resuelve</w:t>
      </w:r>
      <w:r>
        <w:rPr>
          <w:sz w:val="24"/>
          <w:szCs w:val="24"/>
          <w:lang w:val="es-ES"/>
        </w:rPr>
        <w:t xml:space="preserve"> 1 a 4 de la Resolución </w:t>
      </w:r>
      <w:r w:rsidRPr="000950EE">
        <w:rPr>
          <w:b/>
          <w:bCs/>
          <w:sz w:val="24"/>
          <w:szCs w:val="24"/>
          <w:lang w:val="es-ES"/>
        </w:rPr>
        <w:t>156 [COM5/2] (CMR-15)</w:t>
      </w:r>
      <w:r>
        <w:rPr>
          <w:sz w:val="24"/>
          <w:szCs w:val="24"/>
          <w:lang w:val="es-ES"/>
        </w:rPr>
        <w:t>.</w:t>
      </w:r>
    </w:p>
    <w:p w:rsidR="00B534A4" w:rsidRPr="00CD1684" w:rsidRDefault="00C71E16" w:rsidP="00704B28">
      <w:pPr>
        <w:spacing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br w:type="column"/>
      </w:r>
      <w:r w:rsidR="00B534A4" w:rsidRPr="00CD1684">
        <w:rPr>
          <w:sz w:val="24"/>
          <w:szCs w:val="24"/>
          <w:lang w:val="es-ES"/>
        </w:rPr>
        <w:lastRenderedPageBreak/>
        <w:t xml:space="preserve">La versión actualizada del </w:t>
      </w:r>
      <w:r w:rsidR="00B534A4" w:rsidRPr="00CD1684">
        <w:rPr>
          <w:b/>
          <w:bCs/>
          <w:sz w:val="24"/>
          <w:szCs w:val="24"/>
          <w:lang w:val="es-ES"/>
        </w:rPr>
        <w:t>Cuadro 3</w:t>
      </w:r>
      <w:r w:rsidR="00B534A4" w:rsidRPr="00CD1684">
        <w:rPr>
          <w:sz w:val="24"/>
          <w:szCs w:val="24"/>
          <w:lang w:val="es-ES"/>
        </w:rPr>
        <w:t xml:space="preserve"> del Prefacio estará disponible para su consulta en línea en la dirección </w:t>
      </w:r>
      <w:hyperlink r:id="rId8" w:history="1">
        <w:r w:rsidR="00B534A4" w:rsidRPr="00CD1684">
          <w:rPr>
            <w:rStyle w:val="Hyperlink"/>
            <w:sz w:val="24"/>
            <w:szCs w:val="24"/>
            <w:lang w:val="es-ES"/>
          </w:rPr>
          <w:t>http://www.itu.int/ITU-R/space/preface/index.html</w:t>
        </w:r>
      </w:hyperlink>
      <w:r w:rsidR="00B534A4" w:rsidRPr="00CD1684">
        <w:rPr>
          <w:sz w:val="24"/>
          <w:szCs w:val="24"/>
          <w:lang w:val="es-ES"/>
        </w:rPr>
        <w:t xml:space="preserve"> y también en la BR </w:t>
      </w:r>
      <w:r w:rsidR="00B534A4" w:rsidRPr="00CD1684">
        <w:rPr>
          <w:rStyle w:val="Strong"/>
          <w:b w:val="0"/>
          <w:bCs w:val="0"/>
          <w:sz w:val="24"/>
          <w:szCs w:val="24"/>
          <w:lang w:val="es-ES"/>
        </w:rPr>
        <w:t xml:space="preserve">IFIC </w:t>
      </w:r>
      <w:r w:rsidR="00B534A4" w:rsidRPr="00CD1684">
        <w:rPr>
          <w:sz w:val="24"/>
          <w:szCs w:val="24"/>
          <w:lang w:val="es-ES"/>
        </w:rPr>
        <w:t>(Servicios Espaciales)</w:t>
      </w:r>
      <w:r w:rsidR="00B534A4" w:rsidRPr="00CD1684">
        <w:rPr>
          <w:rStyle w:val="Strong"/>
          <w:b w:val="0"/>
          <w:bCs w:val="0"/>
          <w:sz w:val="24"/>
          <w:szCs w:val="24"/>
          <w:lang w:val="es-ES"/>
        </w:rPr>
        <w:t xml:space="preserve"> </w:t>
      </w:r>
      <w:r w:rsidR="00704B28">
        <w:rPr>
          <w:rStyle w:val="Strong"/>
          <w:b w:val="0"/>
          <w:bCs w:val="0"/>
          <w:sz w:val="24"/>
          <w:szCs w:val="24"/>
          <w:lang w:val="es-ES"/>
        </w:rPr>
        <w:t>2816</w:t>
      </w:r>
      <w:r w:rsidR="00B534A4" w:rsidRPr="00C71E16">
        <w:rPr>
          <w:rStyle w:val="Strong"/>
          <w:b w:val="0"/>
          <w:bCs w:val="0"/>
          <w:sz w:val="24"/>
          <w:szCs w:val="24"/>
          <w:lang w:val="es-ES"/>
        </w:rPr>
        <w:t>/</w:t>
      </w:r>
      <w:r w:rsidR="00704B28">
        <w:rPr>
          <w:rStyle w:val="Strong"/>
          <w:b w:val="0"/>
          <w:bCs w:val="0"/>
          <w:sz w:val="24"/>
          <w:szCs w:val="24"/>
          <w:lang w:val="es-ES"/>
        </w:rPr>
        <w:t>29</w:t>
      </w:r>
      <w:r w:rsidR="00B534A4" w:rsidRPr="00C71E16">
        <w:rPr>
          <w:rStyle w:val="Strong"/>
          <w:b w:val="0"/>
          <w:bCs w:val="0"/>
          <w:sz w:val="24"/>
          <w:szCs w:val="24"/>
          <w:lang w:val="es-ES"/>
        </w:rPr>
        <w:t>.</w:t>
      </w:r>
      <w:r w:rsidR="00704B28">
        <w:rPr>
          <w:rStyle w:val="Strong"/>
          <w:b w:val="0"/>
          <w:bCs w:val="0"/>
          <w:sz w:val="24"/>
          <w:szCs w:val="24"/>
          <w:lang w:val="es-ES"/>
        </w:rPr>
        <w:t>03</w:t>
      </w:r>
      <w:r w:rsidR="00B534A4" w:rsidRPr="00C71E16">
        <w:rPr>
          <w:rStyle w:val="Strong"/>
          <w:b w:val="0"/>
          <w:bCs w:val="0"/>
          <w:sz w:val="24"/>
          <w:szCs w:val="24"/>
          <w:lang w:val="es-ES"/>
        </w:rPr>
        <w:t>.2016</w:t>
      </w:r>
      <w:r w:rsidR="00B534A4" w:rsidRPr="00CD1684">
        <w:rPr>
          <w:b/>
          <w:bCs/>
          <w:sz w:val="24"/>
          <w:szCs w:val="24"/>
          <w:lang w:val="es-ES"/>
        </w:rPr>
        <w:t xml:space="preserve"> </w:t>
      </w:r>
      <w:r w:rsidR="00B534A4" w:rsidRPr="00CD1684">
        <w:rPr>
          <w:sz w:val="24"/>
          <w:szCs w:val="24"/>
          <w:lang w:val="es-ES"/>
        </w:rPr>
        <w:t xml:space="preserve">y </w:t>
      </w:r>
      <w:r w:rsidR="00B534A4">
        <w:rPr>
          <w:sz w:val="24"/>
          <w:szCs w:val="24"/>
          <w:lang w:val="es-ES"/>
        </w:rPr>
        <w:t xml:space="preserve">publicaciones </w:t>
      </w:r>
      <w:r w:rsidR="00B534A4" w:rsidRPr="00CD1684">
        <w:rPr>
          <w:sz w:val="24"/>
          <w:szCs w:val="24"/>
          <w:lang w:val="es-ES"/>
        </w:rPr>
        <w:t>posteriores.</w:t>
      </w:r>
    </w:p>
    <w:p w:rsidR="00B534A4" w:rsidRPr="00CD1684" w:rsidRDefault="00B534A4" w:rsidP="006B346E">
      <w:pPr>
        <w:spacing w:after="120"/>
        <w:rPr>
          <w:sz w:val="24"/>
          <w:szCs w:val="24"/>
          <w:lang w:val="es-ES"/>
        </w:rPr>
      </w:pPr>
      <w:r w:rsidRPr="00CD1684">
        <w:rPr>
          <w:sz w:val="24"/>
          <w:szCs w:val="24"/>
          <w:lang w:val="es-ES"/>
        </w:rPr>
        <w:t xml:space="preserve">El paquete informático actualizado de la BR para la notificación, validación y consulta por medios electrónicos de las redes de satélites (SpaceCap, SpaceVal y SpaceQry) con el nuevo símbolo </w:t>
      </w:r>
      <w:r w:rsidR="00C71E16">
        <w:rPr>
          <w:sz w:val="24"/>
          <w:szCs w:val="24"/>
          <w:lang w:val="es-ES"/>
        </w:rPr>
        <w:t>"</w:t>
      </w:r>
      <w:r w:rsidRPr="000950EE">
        <w:rPr>
          <w:b/>
          <w:bCs/>
          <w:sz w:val="24"/>
          <w:szCs w:val="24"/>
          <w:lang w:val="es-ES"/>
        </w:rPr>
        <w:t>UF</w:t>
      </w:r>
      <w:r w:rsidR="00C71E16">
        <w:rPr>
          <w:sz w:val="24"/>
          <w:szCs w:val="24"/>
          <w:lang w:val="es-ES"/>
        </w:rPr>
        <w:t>"</w:t>
      </w:r>
      <w:r>
        <w:rPr>
          <w:sz w:val="24"/>
          <w:szCs w:val="24"/>
          <w:lang w:val="es-ES"/>
        </w:rPr>
        <w:t xml:space="preserve"> </w:t>
      </w:r>
      <w:r w:rsidRPr="00CD1684">
        <w:rPr>
          <w:sz w:val="24"/>
          <w:szCs w:val="24"/>
          <w:lang w:val="es-ES"/>
        </w:rPr>
        <w:t xml:space="preserve">podrá descargarse en la dirección </w:t>
      </w:r>
      <w:hyperlink r:id="rId9" w:history="1">
        <w:r w:rsidRPr="00CD1684">
          <w:rPr>
            <w:rStyle w:val="Hyperlink"/>
            <w:sz w:val="24"/>
            <w:szCs w:val="24"/>
            <w:lang w:val="es-ES"/>
          </w:rPr>
          <w:t>http://www.itu.int/ITU-R/go/space-software/en</w:t>
        </w:r>
      </w:hyperlink>
      <w:r w:rsidRPr="00CD1684">
        <w:rPr>
          <w:sz w:val="24"/>
          <w:szCs w:val="24"/>
          <w:lang w:val="es-ES"/>
        </w:rPr>
        <w:t xml:space="preserve"> y también en la</w:t>
      </w:r>
      <w:r w:rsidRPr="00CD1684">
        <w:rPr>
          <w:rStyle w:val="Strong"/>
          <w:b w:val="0"/>
          <w:bCs w:val="0"/>
          <w:sz w:val="24"/>
          <w:szCs w:val="24"/>
          <w:lang w:val="es-ES"/>
        </w:rPr>
        <w:t xml:space="preserve"> BR IFIC </w:t>
      </w:r>
      <w:r w:rsidRPr="00CD1684">
        <w:rPr>
          <w:sz w:val="24"/>
          <w:szCs w:val="24"/>
          <w:lang w:val="es-ES"/>
        </w:rPr>
        <w:t>(Servicios Espaciales)</w:t>
      </w:r>
      <w:r w:rsidRPr="00CD1684">
        <w:rPr>
          <w:rStyle w:val="Strong"/>
          <w:b w:val="0"/>
          <w:bCs w:val="0"/>
          <w:sz w:val="24"/>
          <w:szCs w:val="24"/>
          <w:lang w:val="es-ES"/>
        </w:rPr>
        <w:t xml:space="preserve"> </w:t>
      </w:r>
      <w:r w:rsidR="006B346E">
        <w:rPr>
          <w:rStyle w:val="Strong"/>
          <w:b w:val="0"/>
          <w:bCs w:val="0"/>
          <w:sz w:val="24"/>
          <w:szCs w:val="24"/>
          <w:lang w:val="es-ES"/>
        </w:rPr>
        <w:t>2816</w:t>
      </w:r>
      <w:r w:rsidRPr="00C71E16">
        <w:rPr>
          <w:rStyle w:val="Strong"/>
          <w:b w:val="0"/>
          <w:bCs w:val="0"/>
          <w:sz w:val="24"/>
          <w:szCs w:val="24"/>
          <w:lang w:val="es-ES"/>
        </w:rPr>
        <w:t>/</w:t>
      </w:r>
      <w:r w:rsidR="006B346E">
        <w:rPr>
          <w:rStyle w:val="Strong"/>
          <w:b w:val="0"/>
          <w:bCs w:val="0"/>
          <w:sz w:val="24"/>
          <w:szCs w:val="24"/>
          <w:lang w:val="es-ES"/>
        </w:rPr>
        <w:t>29</w:t>
      </w:r>
      <w:r w:rsidRPr="00C71E16">
        <w:rPr>
          <w:rStyle w:val="Strong"/>
          <w:b w:val="0"/>
          <w:bCs w:val="0"/>
          <w:sz w:val="24"/>
          <w:szCs w:val="24"/>
          <w:lang w:val="es-ES"/>
        </w:rPr>
        <w:t>.</w:t>
      </w:r>
      <w:r w:rsidR="006B346E">
        <w:rPr>
          <w:rStyle w:val="Strong"/>
          <w:b w:val="0"/>
          <w:bCs w:val="0"/>
          <w:sz w:val="24"/>
          <w:szCs w:val="24"/>
          <w:lang w:val="es-ES"/>
        </w:rPr>
        <w:t>03</w:t>
      </w:r>
      <w:r w:rsidRPr="00C71E16">
        <w:rPr>
          <w:rStyle w:val="Strong"/>
          <w:b w:val="0"/>
          <w:bCs w:val="0"/>
          <w:sz w:val="24"/>
          <w:szCs w:val="24"/>
          <w:lang w:val="es-ES"/>
        </w:rPr>
        <w:t>.2016</w:t>
      </w:r>
      <w:r w:rsidRPr="00CD1684">
        <w:rPr>
          <w:b/>
          <w:bCs/>
          <w:sz w:val="24"/>
          <w:szCs w:val="24"/>
          <w:lang w:val="es-ES"/>
        </w:rPr>
        <w:t xml:space="preserve"> </w:t>
      </w:r>
      <w:r w:rsidRPr="00CD1684">
        <w:rPr>
          <w:sz w:val="24"/>
          <w:szCs w:val="24"/>
          <w:lang w:val="es-ES"/>
        </w:rPr>
        <w:t xml:space="preserve">y </w:t>
      </w:r>
      <w:r>
        <w:rPr>
          <w:sz w:val="24"/>
          <w:szCs w:val="24"/>
          <w:lang w:val="es-ES"/>
        </w:rPr>
        <w:t xml:space="preserve">publicaciones </w:t>
      </w:r>
      <w:r w:rsidRPr="00CD1684">
        <w:rPr>
          <w:sz w:val="24"/>
          <w:szCs w:val="24"/>
          <w:lang w:val="es-ES"/>
        </w:rPr>
        <w:t xml:space="preserve">posteriores. </w:t>
      </w:r>
    </w:p>
    <w:p w:rsidR="00B534A4" w:rsidRPr="00CD1684" w:rsidRDefault="00B534A4" w:rsidP="00B534A4">
      <w:pPr>
        <w:tabs>
          <w:tab w:val="clear" w:pos="794"/>
          <w:tab w:val="left" w:pos="900"/>
        </w:tabs>
        <w:rPr>
          <w:sz w:val="24"/>
          <w:szCs w:val="24"/>
          <w:lang w:val="es-ES"/>
        </w:rPr>
      </w:pPr>
      <w:r w:rsidRPr="00CD1684">
        <w:rPr>
          <w:sz w:val="24"/>
          <w:szCs w:val="24"/>
          <w:lang w:val="es-ES"/>
        </w:rPr>
        <w:t xml:space="preserve">La Oficina se mantiene a la disposición de su Administración en la dirección </w:t>
      </w:r>
      <w:hyperlink r:id="rId10" w:history="1">
        <w:r w:rsidRPr="00CD1684">
          <w:rPr>
            <w:rStyle w:val="Hyperlink"/>
            <w:sz w:val="24"/>
            <w:szCs w:val="24"/>
            <w:lang w:val="es-ES"/>
          </w:rPr>
          <w:t>brmail@itu.int</w:t>
        </w:r>
      </w:hyperlink>
      <w:r w:rsidRPr="00CD1684">
        <w:rPr>
          <w:sz w:val="24"/>
          <w:szCs w:val="24"/>
          <w:lang w:val="es-ES"/>
        </w:rPr>
        <w:t xml:space="preserve"> para facilitarle cualquier aclaración que pueda necesitar respecto de los asuntos tratados en la presente Carta Circular.</w:t>
      </w:r>
    </w:p>
    <w:p w:rsidR="00B534A4" w:rsidRPr="00CF59D0" w:rsidRDefault="00B534A4" w:rsidP="00B534A4">
      <w:pPr>
        <w:spacing w:before="960" w:line="240" w:lineRule="auto"/>
        <w:jc w:val="left"/>
        <w:rPr>
          <w:rFonts w:asciiTheme="minorHAnsi" w:hAnsiTheme="minorHAnsi" w:cstheme="minorHAnsi"/>
          <w:sz w:val="24"/>
          <w:szCs w:val="24"/>
          <w:lang w:val="es-ES"/>
        </w:rPr>
      </w:pPr>
      <w:r w:rsidRPr="00CF59D0">
        <w:rPr>
          <w:rFonts w:asciiTheme="minorHAnsi" w:hAnsiTheme="minorHAnsi" w:cstheme="minorHAnsi"/>
          <w:sz w:val="24"/>
          <w:szCs w:val="24"/>
          <w:lang w:val="es-ES"/>
        </w:rPr>
        <w:t>François Rancy</w:t>
      </w:r>
    </w:p>
    <w:p w:rsidR="00B534A4" w:rsidRPr="00CF59D0" w:rsidRDefault="00B534A4" w:rsidP="00B534A4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val="es-ES"/>
        </w:rPr>
      </w:pPr>
      <w:r w:rsidRPr="00CF59D0">
        <w:rPr>
          <w:rFonts w:asciiTheme="minorHAnsi" w:hAnsiTheme="minorHAnsi" w:cstheme="minorHAnsi"/>
          <w:sz w:val="24"/>
          <w:szCs w:val="24"/>
          <w:lang w:val="es-ES"/>
        </w:rPr>
        <w:t>Director</w:t>
      </w:r>
    </w:p>
    <w:p w:rsidR="00B534A4" w:rsidRPr="00CF59D0" w:rsidRDefault="00B534A4" w:rsidP="00C71E16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920"/>
        <w:jc w:val="both"/>
        <w:rPr>
          <w:bCs/>
          <w:sz w:val="18"/>
          <w:szCs w:val="18"/>
          <w:u w:val="single"/>
          <w:lang w:val="es-ES"/>
        </w:rPr>
      </w:pPr>
      <w:bookmarkStart w:id="1" w:name="ddistribution"/>
      <w:bookmarkEnd w:id="1"/>
      <w:r w:rsidRPr="00CF59D0">
        <w:rPr>
          <w:bCs/>
          <w:sz w:val="18"/>
          <w:szCs w:val="18"/>
          <w:u w:val="single"/>
          <w:lang w:val="es-ES"/>
        </w:rPr>
        <w:t>D</w:t>
      </w:r>
      <w:r w:rsidR="00C71E16">
        <w:rPr>
          <w:bCs/>
          <w:sz w:val="18"/>
          <w:szCs w:val="18"/>
          <w:u w:val="single"/>
          <w:lang w:val="es-ES"/>
        </w:rPr>
        <w:t>i</w:t>
      </w:r>
      <w:r w:rsidRPr="00CF59D0">
        <w:rPr>
          <w:bCs/>
          <w:sz w:val="18"/>
          <w:szCs w:val="18"/>
          <w:u w:val="single"/>
          <w:lang w:val="es-ES"/>
        </w:rPr>
        <w:t>stribución:</w:t>
      </w:r>
    </w:p>
    <w:p w:rsidR="00B534A4" w:rsidRPr="00CF59D0" w:rsidRDefault="00B534A4" w:rsidP="00B534A4">
      <w:pPr>
        <w:pStyle w:val="enumlev1"/>
        <w:tabs>
          <w:tab w:val="clear" w:pos="794"/>
          <w:tab w:val="left" w:pos="284"/>
        </w:tabs>
        <w:rPr>
          <w:sz w:val="18"/>
          <w:szCs w:val="18"/>
          <w:lang w:val="es-ES"/>
        </w:rPr>
      </w:pPr>
      <w:r w:rsidRPr="00CF59D0">
        <w:rPr>
          <w:sz w:val="18"/>
          <w:szCs w:val="18"/>
          <w:lang w:val="es-ES"/>
        </w:rPr>
        <w:t>–</w:t>
      </w:r>
      <w:r w:rsidRPr="00CF59D0">
        <w:rPr>
          <w:sz w:val="18"/>
          <w:szCs w:val="18"/>
          <w:lang w:val="es-ES"/>
        </w:rPr>
        <w:tab/>
        <w:t xml:space="preserve">Administraciones </w:t>
      </w:r>
      <w:r>
        <w:rPr>
          <w:sz w:val="18"/>
          <w:szCs w:val="18"/>
          <w:lang w:val="es-ES"/>
        </w:rPr>
        <w:t>de los Estados Miembros de la UIT</w:t>
      </w:r>
    </w:p>
    <w:p w:rsidR="00B534A4" w:rsidRPr="00CF59D0" w:rsidRDefault="00B534A4" w:rsidP="00B534A4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  <w:lang w:val="es-ES"/>
        </w:rPr>
      </w:pPr>
      <w:r w:rsidRPr="00CF59D0">
        <w:rPr>
          <w:sz w:val="18"/>
          <w:szCs w:val="18"/>
          <w:lang w:val="es-ES"/>
        </w:rPr>
        <w:t>–</w:t>
      </w:r>
      <w:r w:rsidRPr="00CF59D0">
        <w:rPr>
          <w:sz w:val="18"/>
          <w:szCs w:val="18"/>
          <w:lang w:val="es-ES"/>
        </w:rPr>
        <w:tab/>
        <w:t>M</w:t>
      </w:r>
      <w:r>
        <w:rPr>
          <w:sz w:val="18"/>
          <w:szCs w:val="18"/>
          <w:lang w:val="es-ES"/>
        </w:rPr>
        <w:t>iembros de la Junta del Reglamento de Radiocomunicaciones</w:t>
      </w:r>
    </w:p>
    <w:sectPr w:rsidR="00B534A4" w:rsidRPr="00CF59D0" w:rsidSect="00031E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1C1" w:rsidRDefault="008241C1">
      <w:r>
        <w:separator/>
      </w:r>
    </w:p>
  </w:endnote>
  <w:endnote w:type="continuationSeparator" w:id="0">
    <w:p w:rsidR="008241C1" w:rsidRDefault="008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4A4" w:rsidRPr="00C76902" w:rsidRDefault="00B534A4" w:rsidP="00C769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02" w:rsidRDefault="00C769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C1" w:rsidRPr="00E915AF" w:rsidRDefault="008241C1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9E4C55" w:rsidRPr="00FB166A" w:rsidRDefault="009E4C55" w:rsidP="009E4C55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es-ES_tradnl"/>
      </w:rPr>
    </w:pPr>
    <w:r w:rsidRPr="00FB166A">
      <w:rPr>
        <w:color w:val="3E8EDE"/>
        <w:sz w:val="18"/>
        <w:szCs w:val="18"/>
        <w:lang w:val="es-ES_tradnl"/>
      </w:rPr>
      <w:t>Unión Internacional de Telecomunicaciones • Place des Nations • CH</w:t>
    </w:r>
    <w:r w:rsidRPr="00FB166A">
      <w:rPr>
        <w:color w:val="3E8EDE"/>
        <w:sz w:val="18"/>
        <w:szCs w:val="18"/>
        <w:lang w:val="es-ES_tradnl"/>
      </w:rPr>
      <w:noBreakHyphen/>
      <w:t>1211 Ginebra 20 • Suiza</w:t>
    </w:r>
    <w:r w:rsidRPr="00FB166A">
      <w:rPr>
        <w:color w:val="3E8EDE"/>
        <w:sz w:val="18"/>
        <w:szCs w:val="18"/>
        <w:lang w:val="es-ES_tradnl"/>
      </w:rPr>
      <w:br/>
      <w:t xml:space="preserve">Tel: +41 22 730 5111 • Fax: +41 22 733 7256 • </w:t>
    </w:r>
  </w:p>
  <w:p w:rsidR="008241C1" w:rsidRPr="00A96D3A" w:rsidRDefault="009E4C55" w:rsidP="009E4C55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FB166A">
      <w:rPr>
        <w:color w:val="3E8EDE"/>
        <w:sz w:val="18"/>
        <w:szCs w:val="18"/>
        <w:lang w:val="es-ES_tradnl"/>
      </w:rPr>
      <w:t xml:space="preserve">Correo-e: </w:t>
    </w:r>
    <w:hyperlink r:id="rId1" w:history="1">
      <w:r w:rsidRPr="00FB166A">
        <w:rPr>
          <w:rStyle w:val="Hyperlink"/>
          <w:color w:val="3E8EDE"/>
          <w:sz w:val="18"/>
          <w:szCs w:val="18"/>
          <w:lang w:val="es-ES_tradnl"/>
        </w:rPr>
        <w:t>itumail@itu.int</w:t>
      </w:r>
    </w:hyperlink>
    <w:r w:rsidRPr="00FB166A">
      <w:rPr>
        <w:color w:val="3E8EDE"/>
        <w:sz w:val="18"/>
        <w:szCs w:val="18"/>
        <w:lang w:val="es-ES_tradnl"/>
      </w:rPr>
      <w:t xml:space="preserve"> • </w:t>
    </w:r>
    <w:hyperlink r:id="rId2" w:history="1">
      <w:r w:rsidRPr="00FB166A">
        <w:rPr>
          <w:rStyle w:val="Hyperlink"/>
          <w:color w:val="3E8EDE"/>
          <w:sz w:val="18"/>
          <w:szCs w:val="18"/>
          <w:lang w:val="es-ES_tradnl"/>
        </w:rPr>
        <w:t>www.itu.int</w:t>
      </w:r>
    </w:hyperlink>
    <w:r w:rsidRPr="00FB166A">
      <w:rPr>
        <w:color w:val="3E8EDE"/>
        <w:sz w:val="18"/>
        <w:szCs w:val="18"/>
        <w:lang w:val="es-ES_tradnl"/>
      </w:rPr>
      <w:t xml:space="preserve"> • </w:t>
    </w:r>
    <w:hyperlink r:id="rId3" w:history="1">
      <w:r w:rsidRPr="00FB166A">
        <w:rPr>
          <w:rStyle w:val="Hyperlink"/>
          <w:sz w:val="18"/>
          <w:szCs w:val="18"/>
          <w:lang w:val="es-ES_tradnl"/>
        </w:rPr>
        <w:t>www.itu.int/go/RR110</w:t>
      </w:r>
    </w:hyperlink>
    <w:r w:rsidR="008241C1" w:rsidRPr="00A96D3A">
      <w:rPr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1C1" w:rsidRDefault="008241C1">
      <w:r>
        <w:t>____________________</w:t>
      </w:r>
    </w:p>
  </w:footnote>
  <w:footnote w:type="continuationSeparator" w:id="0">
    <w:p w:rsidR="008241C1" w:rsidRDefault="00824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00578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8241C1" w:rsidRPr="002316F3" w:rsidRDefault="00171334">
        <w:pPr>
          <w:pStyle w:val="Header"/>
          <w:jc w:val="center"/>
          <w:rPr>
            <w:sz w:val="18"/>
            <w:szCs w:val="18"/>
          </w:rPr>
        </w:pPr>
        <w:r>
          <w:t xml:space="preserve">– </w:t>
        </w:r>
        <w:r w:rsidR="008241C1" w:rsidRPr="002316F3">
          <w:rPr>
            <w:sz w:val="18"/>
            <w:szCs w:val="18"/>
          </w:rPr>
          <w:fldChar w:fldCharType="begin"/>
        </w:r>
        <w:r w:rsidR="008241C1" w:rsidRPr="002316F3">
          <w:rPr>
            <w:sz w:val="18"/>
            <w:szCs w:val="18"/>
          </w:rPr>
          <w:instrText xml:space="preserve"> PAGE   \* MERGEFORMAT </w:instrText>
        </w:r>
        <w:r w:rsidR="008241C1" w:rsidRPr="002316F3">
          <w:rPr>
            <w:sz w:val="18"/>
            <w:szCs w:val="18"/>
          </w:rPr>
          <w:fldChar w:fldCharType="separate"/>
        </w:r>
        <w:r w:rsidR="007363CF">
          <w:rPr>
            <w:noProof/>
            <w:sz w:val="18"/>
            <w:szCs w:val="18"/>
          </w:rPr>
          <w:t>2</w:t>
        </w:r>
        <w:r w:rsidR="008241C1" w:rsidRPr="002316F3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</w:t>
        </w:r>
        <w:r w:rsidRPr="00171334">
          <w:rPr>
            <w:noProof/>
            <w:sz w:val="18"/>
            <w:szCs w:val="18"/>
          </w:rPr>
          <w:t>–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99165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8241C1" w:rsidRPr="002316F3" w:rsidRDefault="008241C1" w:rsidP="00A70AA8">
        <w:pPr>
          <w:pStyle w:val="Header"/>
          <w:jc w:val="center"/>
          <w:rPr>
            <w:sz w:val="18"/>
            <w:szCs w:val="18"/>
          </w:rPr>
        </w:pPr>
        <w:r w:rsidRPr="002316F3">
          <w:rPr>
            <w:sz w:val="18"/>
            <w:szCs w:val="18"/>
          </w:rPr>
          <w:fldChar w:fldCharType="begin"/>
        </w:r>
        <w:r w:rsidRPr="002316F3">
          <w:rPr>
            <w:sz w:val="18"/>
            <w:szCs w:val="18"/>
          </w:rPr>
          <w:instrText xml:space="preserve"> PAGE   \* MERGEFORMAT </w:instrText>
        </w:r>
        <w:r w:rsidRPr="002316F3">
          <w:rPr>
            <w:sz w:val="18"/>
            <w:szCs w:val="18"/>
          </w:rPr>
          <w:fldChar w:fldCharType="separate"/>
        </w:r>
        <w:r w:rsidR="00C71E16">
          <w:rPr>
            <w:noProof/>
            <w:sz w:val="18"/>
            <w:szCs w:val="18"/>
          </w:rPr>
          <w:t>3</w:t>
        </w:r>
        <w:r w:rsidRPr="002316F3">
          <w:rPr>
            <w:noProof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C1" w:rsidRDefault="008241C1" w:rsidP="009E4C55">
    <w:pPr>
      <w:pStyle w:val="Header"/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34"/>
    </w:tblGrid>
    <w:tr w:rsidR="009E4C55" w:rsidRPr="007B275E" w:rsidTr="009E4C55">
      <w:tc>
        <w:tcPr>
          <w:tcW w:w="4889" w:type="dxa"/>
        </w:tcPr>
        <w:p w:rsidR="009E4C55" w:rsidRPr="007B275E" w:rsidRDefault="009E4C55" w:rsidP="009E4C55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9639"/>
            </w:tabs>
            <w:spacing w:before="120" w:line="360" w:lineRule="auto"/>
            <w:jc w:val="left"/>
          </w:pPr>
          <w:r w:rsidRPr="007B275E">
            <w:rPr>
              <w:b/>
              <w:bCs/>
              <w:noProof/>
              <w:lang w:val="fr-CH" w:eastAsia="zh-CN"/>
            </w:rPr>
            <w:drawing>
              <wp:inline distT="0" distB="0" distL="0" distR="0" wp14:anchorId="5C7C34C1" wp14:editId="2400C5D4">
                <wp:extent cx="579396" cy="657225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4" w:type="dxa"/>
        </w:tcPr>
        <w:p w:rsidR="009E4C55" w:rsidRPr="007B275E" w:rsidRDefault="009E4C55" w:rsidP="009E4C55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9639"/>
            </w:tabs>
            <w:spacing w:before="0" w:line="360" w:lineRule="auto"/>
            <w:jc w:val="right"/>
          </w:pPr>
          <w:r w:rsidRPr="007B275E">
            <w:rPr>
              <w:rFonts w:cs="Arial"/>
              <w:noProof/>
              <w:lang w:val="fr-CH" w:eastAsia="zh-CN"/>
            </w:rPr>
            <w:drawing>
              <wp:inline distT="0" distB="0" distL="0" distR="0" wp14:anchorId="4CB21734" wp14:editId="673100C7">
                <wp:extent cx="1017905" cy="925067"/>
                <wp:effectExtent l="0" t="0" r="0" b="8890"/>
                <wp:docPr id="14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4C55" w:rsidRPr="00A05567" w:rsidRDefault="009E4C55" w:rsidP="009E4C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D5F098F"/>
    <w:multiLevelType w:val="hybridMultilevel"/>
    <w:tmpl w:val="EBF0E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D0036A"/>
    <w:multiLevelType w:val="multilevel"/>
    <w:tmpl w:val="8750A600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C13285"/>
    <w:multiLevelType w:val="hybridMultilevel"/>
    <w:tmpl w:val="46E2C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8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64990017"/>
    <w:multiLevelType w:val="hybridMultilevel"/>
    <w:tmpl w:val="C2DAA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2F0F9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4012"/>
    <w:rsid w:val="00086D03"/>
    <w:rsid w:val="000A096A"/>
    <w:rsid w:val="000A375E"/>
    <w:rsid w:val="000A7051"/>
    <w:rsid w:val="000B0AF6"/>
    <w:rsid w:val="000B0E9B"/>
    <w:rsid w:val="000B2CAE"/>
    <w:rsid w:val="000C03C7"/>
    <w:rsid w:val="000C0D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22F38"/>
    <w:rsid w:val="00134404"/>
    <w:rsid w:val="00144DFB"/>
    <w:rsid w:val="00171334"/>
    <w:rsid w:val="00187CA3"/>
    <w:rsid w:val="00196710"/>
    <w:rsid w:val="00196770"/>
    <w:rsid w:val="00197324"/>
    <w:rsid w:val="001A3AB5"/>
    <w:rsid w:val="001B351B"/>
    <w:rsid w:val="001B42C9"/>
    <w:rsid w:val="001C06DB"/>
    <w:rsid w:val="001C6971"/>
    <w:rsid w:val="001D2785"/>
    <w:rsid w:val="001D7070"/>
    <w:rsid w:val="001F1331"/>
    <w:rsid w:val="001F2170"/>
    <w:rsid w:val="001F3948"/>
    <w:rsid w:val="001F5A49"/>
    <w:rsid w:val="00201097"/>
    <w:rsid w:val="00201B6E"/>
    <w:rsid w:val="002302B3"/>
    <w:rsid w:val="00230C66"/>
    <w:rsid w:val="002316F3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0F96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269E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6FCA"/>
    <w:rsid w:val="004D733B"/>
    <w:rsid w:val="004E0DC4"/>
    <w:rsid w:val="004E0FB5"/>
    <w:rsid w:val="004E43BB"/>
    <w:rsid w:val="004E460D"/>
    <w:rsid w:val="004E7285"/>
    <w:rsid w:val="004F178E"/>
    <w:rsid w:val="004F4543"/>
    <w:rsid w:val="004F57BB"/>
    <w:rsid w:val="00505309"/>
    <w:rsid w:val="0050789B"/>
    <w:rsid w:val="005214B5"/>
    <w:rsid w:val="005224A1"/>
    <w:rsid w:val="00534372"/>
    <w:rsid w:val="00543DF8"/>
    <w:rsid w:val="00546101"/>
    <w:rsid w:val="0054703D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D7504"/>
    <w:rsid w:val="005E5EB3"/>
    <w:rsid w:val="005F3CB6"/>
    <w:rsid w:val="005F657C"/>
    <w:rsid w:val="00602D53"/>
    <w:rsid w:val="006047E5"/>
    <w:rsid w:val="00611FAC"/>
    <w:rsid w:val="0064371D"/>
    <w:rsid w:val="00650543"/>
    <w:rsid w:val="00650B2A"/>
    <w:rsid w:val="00651777"/>
    <w:rsid w:val="006550F8"/>
    <w:rsid w:val="00670AFB"/>
    <w:rsid w:val="006829F3"/>
    <w:rsid w:val="006A2172"/>
    <w:rsid w:val="006A518B"/>
    <w:rsid w:val="006B0590"/>
    <w:rsid w:val="006B346E"/>
    <w:rsid w:val="006B49DA"/>
    <w:rsid w:val="006C53F8"/>
    <w:rsid w:val="006C7CDE"/>
    <w:rsid w:val="00703171"/>
    <w:rsid w:val="00704B28"/>
    <w:rsid w:val="007234B1"/>
    <w:rsid w:val="00723D08"/>
    <w:rsid w:val="00725FDA"/>
    <w:rsid w:val="00727816"/>
    <w:rsid w:val="007308C2"/>
    <w:rsid w:val="00730B9A"/>
    <w:rsid w:val="007363CF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41C1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4C55"/>
    <w:rsid w:val="009E5BD8"/>
    <w:rsid w:val="009E681E"/>
    <w:rsid w:val="00A119E6"/>
    <w:rsid w:val="00A20FBC"/>
    <w:rsid w:val="00A31370"/>
    <w:rsid w:val="00A34D6F"/>
    <w:rsid w:val="00A41F91"/>
    <w:rsid w:val="00A63355"/>
    <w:rsid w:val="00A70AA8"/>
    <w:rsid w:val="00A7596D"/>
    <w:rsid w:val="00A81972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34A4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533A"/>
    <w:rsid w:val="00C16FD2"/>
    <w:rsid w:val="00C4395E"/>
    <w:rsid w:val="00C47FFD"/>
    <w:rsid w:val="00C51E92"/>
    <w:rsid w:val="00C57E2C"/>
    <w:rsid w:val="00C608B7"/>
    <w:rsid w:val="00C66A95"/>
    <w:rsid w:val="00C66F24"/>
    <w:rsid w:val="00C71E16"/>
    <w:rsid w:val="00C72A15"/>
    <w:rsid w:val="00C76902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06F6"/>
    <w:rsid w:val="00CF60E7"/>
    <w:rsid w:val="00D10BA0"/>
    <w:rsid w:val="00D21694"/>
    <w:rsid w:val="00D24EB5"/>
    <w:rsid w:val="00D269E2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6188"/>
    <w:rsid w:val="00E17344"/>
    <w:rsid w:val="00E20F30"/>
    <w:rsid w:val="00E2189C"/>
    <w:rsid w:val="00E25BB1"/>
    <w:rsid w:val="00E275EB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741CA"/>
    <w:rsid w:val="00F77E3E"/>
    <w:rsid w:val="00F8310E"/>
    <w:rsid w:val="00F914DD"/>
    <w:rsid w:val="00FA2358"/>
    <w:rsid w:val="00FB166A"/>
    <w:rsid w:val="00FB2592"/>
    <w:rsid w:val="00FB2810"/>
    <w:rsid w:val="00FB7A2C"/>
    <w:rsid w:val="00FC2947"/>
    <w:rsid w:val="00FE0818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5:docId w15:val="{5FE56394-943D-4E36-BBA8-E9AA1419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paragraph" w:customStyle="1" w:styleId="Level1">
    <w:name w:val="Level_1"/>
    <w:basedOn w:val="ListParagraph"/>
    <w:qFormat/>
    <w:rsid w:val="00122F38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122F38"/>
    <w:pPr>
      <w:numPr>
        <w:ilvl w:val="1"/>
        <w:numId w:val="3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 w:line="240" w:lineRule="auto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uiPriority w:val="34"/>
    <w:qFormat/>
    <w:rsid w:val="00122F3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316F3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9E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space/preface/index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ITU-R/go/space-software/en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llo\Application%20Data\Microsoft\Templates\POOL%20S%20-%20ITU\PS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0EA5-292D-4EC6-ACB4-782E8F08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PS_NewBRcirc.dotx</Template>
  <TotalTime>0</TotalTime>
  <Pages>2</Pages>
  <Words>509</Words>
  <Characters>2961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3464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tello</dc:creator>
  <cp:lastModifiedBy>Marchetti, Caroline</cp:lastModifiedBy>
  <cp:revision>2</cp:revision>
  <cp:lastPrinted>2016-03-14T09:30:00Z</cp:lastPrinted>
  <dcterms:created xsi:type="dcterms:W3CDTF">2016-03-17T13:49:00Z</dcterms:created>
  <dcterms:modified xsi:type="dcterms:W3CDTF">2016-03-17T13:49:00Z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