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591308" w:rsidTr="00306452">
        <w:trPr>
          <w:jc w:val="center"/>
        </w:trPr>
        <w:tc>
          <w:tcPr>
            <w:tcW w:w="9889" w:type="dxa"/>
            <w:gridSpan w:val="3"/>
            <w:shd w:val="clear" w:color="auto" w:fill="auto"/>
          </w:tcPr>
          <w:p w:rsidR="00E53DCE" w:rsidRPr="00591308" w:rsidRDefault="00A96D3A" w:rsidP="006160CB">
            <w:pPr>
              <w:spacing w:before="0"/>
              <w:jc w:val="left"/>
              <w:rPr>
                <w:rFonts w:cstheme="minorHAnsi"/>
                <w:b/>
                <w:bCs/>
                <w:color w:val="808080"/>
                <w:sz w:val="28"/>
                <w:szCs w:val="28"/>
                <w:lang w:val="es-ES_tradnl"/>
              </w:rPr>
            </w:pPr>
            <w:r w:rsidRPr="00591308">
              <w:rPr>
                <w:rFonts w:cstheme="minorHAnsi"/>
                <w:b/>
                <w:bCs/>
                <w:color w:val="808080"/>
                <w:sz w:val="28"/>
                <w:szCs w:val="28"/>
                <w:lang w:val="es-ES_tradnl"/>
              </w:rPr>
              <w:t>Oficina de Radiocomunicaciones (BR)</w:t>
            </w:r>
          </w:p>
          <w:p w:rsidR="00E53DCE" w:rsidRPr="00591308" w:rsidRDefault="00E53DCE" w:rsidP="006160CB">
            <w:pPr>
              <w:spacing w:before="0"/>
              <w:jc w:val="left"/>
              <w:rPr>
                <w:rFonts w:cstheme="minorHAnsi"/>
                <w:b/>
                <w:bCs/>
                <w:color w:val="808080"/>
                <w:sz w:val="28"/>
                <w:szCs w:val="28"/>
                <w:lang w:val="es-ES_tradnl"/>
              </w:rPr>
            </w:pPr>
          </w:p>
          <w:p w:rsidR="00E53DCE" w:rsidRPr="00591308" w:rsidRDefault="00E53DCE" w:rsidP="006160CB">
            <w:pPr>
              <w:spacing w:before="0"/>
              <w:jc w:val="left"/>
              <w:rPr>
                <w:rFonts w:cs="Times New Roman Bold"/>
                <w:b/>
                <w:bCs/>
                <w:color w:val="808080"/>
                <w:sz w:val="28"/>
                <w:szCs w:val="28"/>
                <w:lang w:val="es-ES_tradnl"/>
              </w:rPr>
            </w:pPr>
          </w:p>
        </w:tc>
      </w:tr>
      <w:tr w:rsidR="00E53DCE" w:rsidRPr="00591308" w:rsidTr="00306452">
        <w:trPr>
          <w:jc w:val="center"/>
        </w:trPr>
        <w:tc>
          <w:tcPr>
            <w:tcW w:w="7054" w:type="dxa"/>
            <w:gridSpan w:val="2"/>
            <w:shd w:val="clear" w:color="auto" w:fill="auto"/>
          </w:tcPr>
          <w:p w:rsidR="00E53DCE" w:rsidRPr="00591308" w:rsidRDefault="003D5378" w:rsidP="006160CB">
            <w:pPr>
              <w:spacing w:before="0"/>
              <w:jc w:val="left"/>
              <w:rPr>
                <w:szCs w:val="24"/>
                <w:lang w:val="es-ES_tradnl"/>
              </w:rPr>
            </w:pPr>
            <w:r w:rsidRPr="00591308">
              <w:rPr>
                <w:szCs w:val="24"/>
                <w:lang w:val="es-ES_tradnl"/>
              </w:rPr>
              <w:t>Carta Circular</w:t>
            </w:r>
          </w:p>
          <w:p w:rsidR="00E53DCE" w:rsidRPr="00591308" w:rsidRDefault="00E53DCE" w:rsidP="00597A59">
            <w:pPr>
              <w:spacing w:before="0"/>
              <w:jc w:val="left"/>
              <w:rPr>
                <w:b/>
                <w:bCs/>
                <w:szCs w:val="24"/>
                <w:lang w:val="es-ES_tradnl"/>
              </w:rPr>
            </w:pPr>
            <w:r w:rsidRPr="00591308">
              <w:rPr>
                <w:b/>
                <w:bCs/>
                <w:szCs w:val="24"/>
                <w:lang w:val="es-ES_tradnl"/>
              </w:rPr>
              <w:t>C</w:t>
            </w:r>
            <w:r w:rsidR="00597A59">
              <w:rPr>
                <w:b/>
                <w:bCs/>
                <w:szCs w:val="24"/>
                <w:lang w:val="es-ES_tradnl"/>
              </w:rPr>
              <w:t>R</w:t>
            </w:r>
            <w:r w:rsidRPr="00591308">
              <w:rPr>
                <w:b/>
                <w:bCs/>
                <w:szCs w:val="24"/>
                <w:lang w:val="es-ES_tradnl"/>
              </w:rPr>
              <w:t>/</w:t>
            </w:r>
            <w:r w:rsidR="00597A59">
              <w:rPr>
                <w:b/>
                <w:bCs/>
                <w:szCs w:val="24"/>
                <w:lang w:val="es-ES_tradnl"/>
              </w:rPr>
              <w:t>380</w:t>
            </w:r>
          </w:p>
        </w:tc>
        <w:tc>
          <w:tcPr>
            <w:tcW w:w="2835" w:type="dxa"/>
            <w:shd w:val="clear" w:color="auto" w:fill="auto"/>
          </w:tcPr>
          <w:p w:rsidR="00E53DCE" w:rsidRPr="00591308" w:rsidRDefault="003D5378" w:rsidP="006160CB">
            <w:pPr>
              <w:spacing w:before="0"/>
              <w:jc w:val="right"/>
              <w:rPr>
                <w:szCs w:val="24"/>
                <w:lang w:val="es-ES_tradnl"/>
              </w:rPr>
            </w:pPr>
            <w:r w:rsidRPr="00591308">
              <w:rPr>
                <w:bCs/>
                <w:szCs w:val="24"/>
                <w:lang w:val="es-ES_tradnl"/>
              </w:rPr>
              <w:t>17 de abril de 2015</w:t>
            </w:r>
          </w:p>
        </w:tc>
      </w:tr>
      <w:tr w:rsidR="00E53DCE" w:rsidRPr="00591308" w:rsidTr="00306452">
        <w:trPr>
          <w:jc w:val="center"/>
        </w:trPr>
        <w:tc>
          <w:tcPr>
            <w:tcW w:w="9889" w:type="dxa"/>
            <w:gridSpan w:val="3"/>
            <w:shd w:val="clear" w:color="auto" w:fill="auto"/>
          </w:tcPr>
          <w:p w:rsidR="00E53DCE" w:rsidRPr="00591308" w:rsidRDefault="00E53DCE" w:rsidP="006160CB">
            <w:pPr>
              <w:spacing w:before="0"/>
              <w:jc w:val="left"/>
              <w:rPr>
                <w:rFonts w:cs="Arial"/>
                <w:szCs w:val="24"/>
                <w:lang w:val="es-ES_tradnl"/>
              </w:rPr>
            </w:pPr>
          </w:p>
        </w:tc>
      </w:tr>
      <w:tr w:rsidR="00E53DCE" w:rsidRPr="00591308" w:rsidTr="00306452">
        <w:trPr>
          <w:jc w:val="center"/>
        </w:trPr>
        <w:tc>
          <w:tcPr>
            <w:tcW w:w="9889" w:type="dxa"/>
            <w:gridSpan w:val="3"/>
            <w:shd w:val="clear" w:color="auto" w:fill="auto"/>
          </w:tcPr>
          <w:p w:rsidR="00E53DCE" w:rsidRPr="00591308" w:rsidRDefault="00E53DCE" w:rsidP="006160CB">
            <w:pPr>
              <w:spacing w:before="0"/>
              <w:jc w:val="left"/>
              <w:rPr>
                <w:szCs w:val="24"/>
                <w:lang w:val="es-ES_tradnl"/>
              </w:rPr>
            </w:pPr>
          </w:p>
        </w:tc>
      </w:tr>
      <w:tr w:rsidR="00E53DCE" w:rsidRPr="00161823" w:rsidTr="00306452">
        <w:trPr>
          <w:jc w:val="center"/>
        </w:trPr>
        <w:tc>
          <w:tcPr>
            <w:tcW w:w="9889" w:type="dxa"/>
            <w:gridSpan w:val="3"/>
            <w:shd w:val="clear" w:color="auto" w:fill="auto"/>
          </w:tcPr>
          <w:p w:rsidR="00E53DCE" w:rsidRPr="00591308" w:rsidRDefault="00FE4822" w:rsidP="006160CB">
            <w:pPr>
              <w:spacing w:before="0"/>
              <w:jc w:val="left"/>
              <w:rPr>
                <w:b/>
                <w:bCs/>
                <w:szCs w:val="24"/>
                <w:lang w:val="es-ES_tradnl"/>
              </w:rPr>
            </w:pPr>
            <w:r w:rsidRPr="00591308">
              <w:rPr>
                <w:b/>
                <w:szCs w:val="24"/>
                <w:lang w:val="es-ES_tradnl"/>
              </w:rPr>
              <w:t>A las Administraciones de los Estados Miembros de la UIT</w:t>
            </w:r>
          </w:p>
          <w:p w:rsidR="00E53DCE" w:rsidRPr="00591308" w:rsidRDefault="00E53DCE" w:rsidP="006160CB">
            <w:pPr>
              <w:spacing w:before="0"/>
              <w:jc w:val="left"/>
              <w:rPr>
                <w:b/>
                <w:bCs/>
                <w:szCs w:val="24"/>
                <w:lang w:val="es-ES_tradnl"/>
              </w:rPr>
            </w:pPr>
          </w:p>
        </w:tc>
      </w:tr>
      <w:tr w:rsidR="00E53DCE" w:rsidRPr="00161823" w:rsidTr="00306452">
        <w:trPr>
          <w:jc w:val="center"/>
        </w:trPr>
        <w:tc>
          <w:tcPr>
            <w:tcW w:w="9889" w:type="dxa"/>
            <w:gridSpan w:val="3"/>
            <w:shd w:val="clear" w:color="auto" w:fill="auto"/>
          </w:tcPr>
          <w:p w:rsidR="00E53DCE" w:rsidRPr="00591308" w:rsidRDefault="00E53DCE" w:rsidP="006160CB">
            <w:pPr>
              <w:spacing w:before="0"/>
              <w:jc w:val="left"/>
              <w:rPr>
                <w:szCs w:val="24"/>
                <w:lang w:val="es-ES_tradnl"/>
              </w:rPr>
            </w:pPr>
          </w:p>
        </w:tc>
      </w:tr>
      <w:tr w:rsidR="00E53DCE" w:rsidRPr="00161823" w:rsidTr="00306452">
        <w:trPr>
          <w:jc w:val="center"/>
        </w:trPr>
        <w:tc>
          <w:tcPr>
            <w:tcW w:w="9889" w:type="dxa"/>
            <w:gridSpan w:val="3"/>
            <w:shd w:val="clear" w:color="auto" w:fill="auto"/>
          </w:tcPr>
          <w:p w:rsidR="00E53DCE" w:rsidRPr="00591308" w:rsidRDefault="00E53DCE" w:rsidP="006160CB">
            <w:pPr>
              <w:spacing w:before="0"/>
              <w:jc w:val="left"/>
              <w:rPr>
                <w:szCs w:val="24"/>
                <w:lang w:val="es-ES_tradnl"/>
              </w:rPr>
            </w:pPr>
          </w:p>
        </w:tc>
      </w:tr>
      <w:tr w:rsidR="00E53DCE" w:rsidRPr="00161823" w:rsidTr="00306452">
        <w:trPr>
          <w:jc w:val="center"/>
        </w:trPr>
        <w:tc>
          <w:tcPr>
            <w:tcW w:w="1526" w:type="dxa"/>
            <w:shd w:val="clear" w:color="auto" w:fill="auto"/>
          </w:tcPr>
          <w:p w:rsidR="00E53DCE" w:rsidRPr="00591308" w:rsidRDefault="003D5378" w:rsidP="006160CB">
            <w:pPr>
              <w:tabs>
                <w:tab w:val="clear" w:pos="1588"/>
                <w:tab w:val="left" w:pos="1560"/>
              </w:tabs>
              <w:spacing w:before="0"/>
              <w:jc w:val="left"/>
              <w:rPr>
                <w:szCs w:val="24"/>
                <w:lang w:val="es-ES_tradnl"/>
              </w:rPr>
            </w:pPr>
            <w:r w:rsidRPr="00591308">
              <w:rPr>
                <w:szCs w:val="24"/>
                <w:lang w:val="es-ES_tradnl"/>
              </w:rPr>
              <w:t>Asunto</w:t>
            </w:r>
            <w:r w:rsidR="00A96D3A" w:rsidRPr="00591308">
              <w:rPr>
                <w:szCs w:val="24"/>
                <w:lang w:val="es-ES_tradnl"/>
              </w:rPr>
              <w:t>:</w:t>
            </w:r>
          </w:p>
        </w:tc>
        <w:tc>
          <w:tcPr>
            <w:tcW w:w="8363" w:type="dxa"/>
            <w:gridSpan w:val="2"/>
            <w:vMerge w:val="restart"/>
            <w:shd w:val="clear" w:color="auto" w:fill="auto"/>
          </w:tcPr>
          <w:p w:rsidR="00E53DCE" w:rsidRPr="00591308" w:rsidRDefault="003D5378" w:rsidP="006160CB">
            <w:pPr>
              <w:tabs>
                <w:tab w:val="clear" w:pos="1588"/>
                <w:tab w:val="left" w:pos="1560"/>
              </w:tabs>
              <w:spacing w:before="0"/>
              <w:rPr>
                <w:b/>
                <w:bCs/>
                <w:szCs w:val="24"/>
                <w:lang w:val="es-ES_tradnl"/>
              </w:rPr>
            </w:pPr>
            <w:r w:rsidRPr="00591308">
              <w:rPr>
                <w:b/>
                <w:bCs/>
                <w:szCs w:val="24"/>
                <w:lang w:val="es-ES_tradnl"/>
              </w:rPr>
              <w:t>Decisiones de anteriores CMR relativas a la aplicación del Reglamento de Radiocomunicaciones</w:t>
            </w:r>
          </w:p>
        </w:tc>
      </w:tr>
      <w:tr w:rsidR="00E53DCE" w:rsidRPr="00161823" w:rsidTr="00306452">
        <w:trPr>
          <w:jc w:val="center"/>
        </w:trPr>
        <w:tc>
          <w:tcPr>
            <w:tcW w:w="1526" w:type="dxa"/>
            <w:shd w:val="clear" w:color="auto" w:fill="auto"/>
          </w:tcPr>
          <w:p w:rsidR="00E53DCE" w:rsidRPr="00591308"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591308" w:rsidRDefault="00E53DCE" w:rsidP="006160CB">
            <w:pPr>
              <w:tabs>
                <w:tab w:val="clear" w:pos="1588"/>
                <w:tab w:val="left" w:pos="1560"/>
              </w:tabs>
              <w:spacing w:before="0"/>
              <w:rPr>
                <w:b/>
                <w:bCs/>
                <w:szCs w:val="24"/>
                <w:lang w:val="es-ES_tradnl"/>
              </w:rPr>
            </w:pPr>
          </w:p>
        </w:tc>
      </w:tr>
      <w:tr w:rsidR="00E53DCE" w:rsidRPr="00161823" w:rsidTr="00306452">
        <w:trPr>
          <w:jc w:val="center"/>
        </w:trPr>
        <w:tc>
          <w:tcPr>
            <w:tcW w:w="1526" w:type="dxa"/>
            <w:shd w:val="clear" w:color="auto" w:fill="auto"/>
          </w:tcPr>
          <w:p w:rsidR="00E53DCE" w:rsidRPr="00591308"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591308" w:rsidRDefault="00E53DCE" w:rsidP="006160CB">
            <w:pPr>
              <w:tabs>
                <w:tab w:val="clear" w:pos="1588"/>
                <w:tab w:val="left" w:pos="1560"/>
              </w:tabs>
              <w:spacing w:before="0"/>
              <w:rPr>
                <w:b/>
                <w:bCs/>
                <w:szCs w:val="24"/>
                <w:lang w:val="es-ES_tradnl"/>
              </w:rPr>
            </w:pPr>
          </w:p>
        </w:tc>
      </w:tr>
    </w:tbl>
    <w:p w:rsidR="003D5378" w:rsidRPr="00591308" w:rsidRDefault="003D5378" w:rsidP="00597A59">
      <w:pPr>
        <w:rPr>
          <w:lang w:val="es-ES_tradnl"/>
        </w:rPr>
      </w:pPr>
      <w:r w:rsidRPr="00591308">
        <w:rPr>
          <w:lang w:val="es-ES_tradnl"/>
        </w:rPr>
        <w:t xml:space="preserve">En su 68ª reunión (16-20 de marzo </w:t>
      </w:r>
      <w:r w:rsidR="00597A59">
        <w:rPr>
          <w:lang w:val="es-ES_tradnl"/>
        </w:rPr>
        <w:t xml:space="preserve">de </w:t>
      </w:r>
      <w:r w:rsidRPr="00591308">
        <w:rPr>
          <w:lang w:val="es-ES_tradnl"/>
        </w:rPr>
        <w:t>2015) la Junta examinó un compendio de decisiones de anteriores Conferencias Mundiales de Radiocomunicaciones (CMR) de carácter reglamentario y que, en aquel momento, no existía una disposición correspondiente en el Reglamento de Radiocomunicaciones o en las Reglas de Procedimiento.</w:t>
      </w:r>
    </w:p>
    <w:p w:rsidR="003D5378" w:rsidRPr="00591308" w:rsidRDefault="003D5378" w:rsidP="00591308">
      <w:pPr>
        <w:rPr>
          <w:lang w:val="es-ES_tradnl"/>
        </w:rPr>
      </w:pPr>
      <w:r w:rsidRPr="00591308">
        <w:rPr>
          <w:lang w:val="es-ES_tradnl"/>
        </w:rPr>
        <w:t xml:space="preserve">Al efectuar el examen (véase el mencionado </w:t>
      </w:r>
      <w:hyperlink r:id="rId8" w:history="1">
        <w:r w:rsidRPr="00591308">
          <w:rPr>
            <w:rStyle w:val="Hyperlink"/>
            <w:szCs w:val="24"/>
            <w:lang w:val="es-ES_tradnl"/>
          </w:rPr>
          <w:t>Compendio</w:t>
        </w:r>
      </w:hyperlink>
      <w:r w:rsidRPr="00591308">
        <w:rPr>
          <w:rStyle w:val="FootnoteReference"/>
          <w:lang w:val="es-ES_tradnl"/>
        </w:rPr>
        <w:footnoteReference w:id="1"/>
      </w:r>
      <w:r w:rsidRPr="00591308">
        <w:rPr>
          <w:lang w:val="es-ES_tradnl"/>
        </w:rPr>
        <w:t>), la Junta identificó una serie de estas decisiones de la CMR que eran de carácter interpretativo, pero que siguen siendo pertinentes. La Junta solicitó al Director que remitiera esta Carta Circular con el fin de señalar a la atención de las Admin</w:t>
      </w:r>
      <w:r w:rsidR="00591308" w:rsidRPr="00591308">
        <w:rPr>
          <w:lang w:val="es-ES_tradnl"/>
        </w:rPr>
        <w:t>i</w:t>
      </w:r>
      <w:r w:rsidRPr="00591308">
        <w:rPr>
          <w:lang w:val="es-ES_tradnl"/>
        </w:rPr>
        <w:t xml:space="preserve">straciones las decisiones mencionadas. </w:t>
      </w:r>
    </w:p>
    <w:p w:rsidR="00E53DCE" w:rsidRPr="00591308" w:rsidRDefault="003D5378" w:rsidP="003D5378">
      <w:pPr>
        <w:rPr>
          <w:lang w:val="es-ES_tradnl"/>
        </w:rPr>
      </w:pPr>
      <w:r w:rsidRPr="00591308">
        <w:rPr>
          <w:lang w:val="es-ES_tradnl"/>
        </w:rPr>
        <w:t>La lista se adjunta en el Anexo a la presente.</w:t>
      </w:r>
    </w:p>
    <w:p w:rsidR="00031E64" w:rsidRPr="00591308" w:rsidRDefault="00E53DCE" w:rsidP="003D5378">
      <w:pPr>
        <w:spacing w:before="1320" w:line="240" w:lineRule="auto"/>
        <w:jc w:val="left"/>
        <w:rPr>
          <w:szCs w:val="24"/>
          <w:lang w:val="es-ES_tradnl"/>
        </w:rPr>
      </w:pPr>
      <w:r w:rsidRPr="00591308">
        <w:rPr>
          <w:szCs w:val="24"/>
          <w:lang w:val="es-ES_tradnl"/>
        </w:rPr>
        <w:t>François Rancy</w:t>
      </w:r>
      <w:r w:rsidRPr="00591308">
        <w:rPr>
          <w:szCs w:val="24"/>
          <w:lang w:val="es-ES_tradnl"/>
        </w:rPr>
        <w:br/>
      </w:r>
      <w:r w:rsidR="003D5378" w:rsidRPr="00591308">
        <w:rPr>
          <w:szCs w:val="24"/>
          <w:lang w:val="es-ES_tradnl"/>
        </w:rPr>
        <w:t>Director</w:t>
      </w:r>
    </w:p>
    <w:p w:rsidR="003D5378" w:rsidRPr="00591308" w:rsidRDefault="003D5378" w:rsidP="003D5378">
      <w:pPr>
        <w:spacing w:before="840"/>
        <w:rPr>
          <w:b/>
          <w:bCs/>
          <w:lang w:val="es-ES_tradnl"/>
        </w:rPr>
      </w:pPr>
      <w:r w:rsidRPr="00591308">
        <w:rPr>
          <w:b/>
          <w:bCs/>
          <w:lang w:val="es-ES_tradnl"/>
        </w:rPr>
        <w:t>Anexo</w:t>
      </w:r>
    </w:p>
    <w:p w:rsidR="003D5378" w:rsidRPr="00591308" w:rsidRDefault="003D5378" w:rsidP="00850BFB">
      <w:pPr>
        <w:spacing w:before="1320"/>
        <w:rPr>
          <w:b/>
          <w:bCs/>
          <w:sz w:val="18"/>
          <w:szCs w:val="18"/>
          <w:u w:val="single"/>
          <w:lang w:val="es-ES_tradnl"/>
        </w:rPr>
      </w:pPr>
      <w:r w:rsidRPr="00591308">
        <w:rPr>
          <w:b/>
          <w:bCs/>
          <w:sz w:val="18"/>
          <w:szCs w:val="18"/>
          <w:u w:val="single"/>
          <w:lang w:val="es-ES_tradnl"/>
        </w:rPr>
        <w:t>Dist</w:t>
      </w:r>
      <w:bookmarkStart w:id="0" w:name="_GoBack"/>
      <w:bookmarkEnd w:id="0"/>
      <w:r w:rsidRPr="00591308">
        <w:rPr>
          <w:b/>
          <w:bCs/>
          <w:sz w:val="18"/>
          <w:szCs w:val="18"/>
          <w:u w:val="single"/>
          <w:lang w:val="es-ES_tradnl"/>
        </w:rPr>
        <w:t>ribución</w:t>
      </w:r>
      <w:r w:rsidRPr="00591308">
        <w:rPr>
          <w:b/>
          <w:bCs/>
          <w:sz w:val="18"/>
          <w:szCs w:val="18"/>
          <w:lang w:val="es-ES_tradnl"/>
        </w:rPr>
        <w:t>:</w:t>
      </w:r>
    </w:p>
    <w:p w:rsidR="003D5378" w:rsidRPr="00591308" w:rsidRDefault="003D5378" w:rsidP="003D5378">
      <w:pPr>
        <w:pStyle w:val="enumlev1"/>
        <w:rPr>
          <w:sz w:val="18"/>
          <w:szCs w:val="18"/>
          <w:lang w:val="es-ES_tradnl"/>
        </w:rPr>
      </w:pPr>
      <w:r w:rsidRPr="00591308">
        <w:rPr>
          <w:sz w:val="18"/>
          <w:szCs w:val="18"/>
          <w:lang w:val="es-ES_tradnl"/>
        </w:rPr>
        <w:t>–</w:t>
      </w:r>
      <w:r w:rsidRPr="00591308">
        <w:rPr>
          <w:sz w:val="18"/>
          <w:szCs w:val="18"/>
          <w:lang w:val="es-ES_tradnl"/>
        </w:rPr>
        <w:tab/>
        <w:t xml:space="preserve">Administrativos de los Estados Miembros de la UIT </w:t>
      </w:r>
    </w:p>
    <w:p w:rsidR="003D5378" w:rsidRPr="00591308" w:rsidRDefault="003D5378" w:rsidP="00597A59">
      <w:pPr>
        <w:pStyle w:val="enumlev1"/>
        <w:spacing w:before="0"/>
        <w:rPr>
          <w:sz w:val="18"/>
          <w:szCs w:val="18"/>
          <w:lang w:val="es-ES_tradnl"/>
        </w:rPr>
      </w:pPr>
      <w:r w:rsidRPr="00591308">
        <w:rPr>
          <w:sz w:val="18"/>
          <w:szCs w:val="18"/>
          <w:lang w:val="es-ES_tradnl"/>
        </w:rPr>
        <w:t>–</w:t>
      </w:r>
      <w:r w:rsidRPr="00591308">
        <w:rPr>
          <w:sz w:val="18"/>
          <w:szCs w:val="18"/>
          <w:lang w:val="es-ES_tradnl"/>
        </w:rPr>
        <w:tab/>
        <w:t>Miembros de la Junta del Reglamento de Radiocomunicaciones</w:t>
      </w:r>
    </w:p>
    <w:p w:rsidR="003D5378" w:rsidRPr="00591308" w:rsidRDefault="003D5378" w:rsidP="003D5378">
      <w:pPr>
        <w:pStyle w:val="enumlev1"/>
        <w:rPr>
          <w:sz w:val="18"/>
          <w:szCs w:val="18"/>
          <w:lang w:val="es-ES_tradnl"/>
        </w:rPr>
      </w:pPr>
    </w:p>
    <w:p w:rsidR="003D5378" w:rsidRPr="00591308" w:rsidRDefault="003D5378" w:rsidP="003D5378">
      <w:pPr>
        <w:rPr>
          <w:lang w:val="es-ES_tradnl"/>
        </w:rPr>
        <w:sectPr w:rsidR="003D5378" w:rsidRPr="00591308"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pPr>
    </w:p>
    <w:p w:rsidR="003D5378" w:rsidRPr="00161823" w:rsidRDefault="003D5378" w:rsidP="00562B81">
      <w:pPr>
        <w:pStyle w:val="AnnexNoTitle"/>
        <w:rPr>
          <w:rFonts w:asciiTheme="majorBidi" w:hAnsiTheme="majorBidi" w:cstheme="majorBidi"/>
          <w:lang w:val="es-ES_tradnl"/>
        </w:rPr>
      </w:pPr>
      <w:r w:rsidRPr="00591308">
        <w:rPr>
          <w:lang w:val="es-ES_tradnl"/>
        </w:rPr>
        <w:lastRenderedPageBreak/>
        <w:t>Anexo</w:t>
      </w:r>
      <w:r w:rsidR="00562B81" w:rsidRPr="00591308">
        <w:rPr>
          <w:lang w:val="es-ES_tradnl"/>
        </w:rPr>
        <w:br/>
      </w:r>
      <w:r w:rsidR="00562B81" w:rsidRPr="00591308">
        <w:rPr>
          <w:lang w:val="es-ES_tradnl"/>
        </w:rPr>
        <w:br/>
      </w:r>
      <w:r w:rsidRPr="00161823">
        <w:rPr>
          <w:rFonts w:asciiTheme="majorBidi" w:hAnsiTheme="majorBidi" w:cstheme="majorBidi"/>
          <w:lang w:val="es-ES_tradnl"/>
        </w:rPr>
        <w:t xml:space="preserve">Compendio de decisiones de la CMR que siguen siendo pertinentes y </w:t>
      </w:r>
      <w:r w:rsidR="00597A59" w:rsidRPr="00161823">
        <w:rPr>
          <w:rFonts w:asciiTheme="majorBidi" w:hAnsiTheme="majorBidi" w:cstheme="majorBidi"/>
          <w:lang w:val="es-ES_tradnl"/>
        </w:rPr>
        <w:br/>
      </w:r>
      <w:r w:rsidRPr="00161823">
        <w:rPr>
          <w:rFonts w:asciiTheme="majorBidi" w:hAnsiTheme="majorBidi" w:cstheme="majorBidi"/>
          <w:lang w:val="es-ES_tradnl"/>
        </w:rPr>
        <w:t>que no figuran en el Reglamento de Radiocomunicaciones</w:t>
      </w:r>
    </w:p>
    <w:p w:rsidR="003D5378" w:rsidRPr="00591308" w:rsidRDefault="003D5378" w:rsidP="00562B81">
      <w:pPr>
        <w:rPr>
          <w:lang w:val="es-ES_tradnl"/>
        </w:rPr>
      </w:pPr>
    </w:p>
    <w:tbl>
      <w:tblPr>
        <w:tblStyle w:val="TableGrid"/>
        <w:tblW w:w="5307" w:type="pct"/>
        <w:tblInd w:w="-147" w:type="dxa"/>
        <w:tblLook w:val="0420" w:firstRow="1" w:lastRow="0" w:firstColumn="0" w:lastColumn="0" w:noHBand="0" w:noVBand="1"/>
      </w:tblPr>
      <w:tblGrid>
        <w:gridCol w:w="456"/>
        <w:gridCol w:w="1204"/>
        <w:gridCol w:w="1385"/>
        <w:gridCol w:w="10620"/>
        <w:gridCol w:w="1934"/>
      </w:tblGrid>
      <w:tr w:rsidR="003D5378" w:rsidRPr="00161823" w:rsidTr="00591308">
        <w:trPr>
          <w:cantSplit/>
          <w:tblHeader/>
        </w:trPr>
        <w:tc>
          <w:tcPr>
            <w:tcW w:w="146" w:type="pct"/>
            <w:vAlign w:val="center"/>
          </w:tcPr>
          <w:p w:rsidR="003D5378" w:rsidRPr="00161823" w:rsidRDefault="003D5378" w:rsidP="00562B81">
            <w:pPr>
              <w:pStyle w:val="Tablehead"/>
              <w:rPr>
                <w:rFonts w:asciiTheme="majorBidi" w:hAnsiTheme="majorBidi" w:cstheme="majorBidi"/>
                <w:sz w:val="24"/>
                <w:szCs w:val="24"/>
                <w:lang w:val="es-ES_tradnl"/>
              </w:rPr>
            </w:pPr>
          </w:p>
        </w:tc>
        <w:tc>
          <w:tcPr>
            <w:tcW w:w="386" w:type="pct"/>
            <w:vAlign w:val="center"/>
          </w:tcPr>
          <w:p w:rsidR="003D5378" w:rsidRPr="00161823" w:rsidRDefault="003D5378" w:rsidP="00562B81">
            <w:pPr>
              <w:pStyle w:val="Tablehead"/>
              <w:rPr>
                <w:rFonts w:asciiTheme="majorBidi" w:hAnsiTheme="majorBidi" w:cstheme="majorBidi"/>
                <w:sz w:val="24"/>
                <w:szCs w:val="24"/>
                <w:lang w:val="es-ES_tradnl"/>
              </w:rPr>
            </w:pPr>
            <w:r w:rsidRPr="00161823">
              <w:rPr>
                <w:rFonts w:asciiTheme="majorBidi" w:hAnsiTheme="majorBidi" w:cstheme="majorBidi"/>
                <w:sz w:val="24"/>
                <w:szCs w:val="24"/>
                <w:lang w:val="es-ES_tradnl"/>
              </w:rPr>
              <w:t>CMR</w:t>
            </w:r>
          </w:p>
        </w:tc>
        <w:tc>
          <w:tcPr>
            <w:tcW w:w="444" w:type="pct"/>
            <w:vAlign w:val="center"/>
          </w:tcPr>
          <w:p w:rsidR="003D5378" w:rsidRPr="00161823" w:rsidRDefault="003D5378" w:rsidP="00562B81">
            <w:pPr>
              <w:pStyle w:val="Tablehead"/>
              <w:rPr>
                <w:rFonts w:asciiTheme="majorBidi" w:hAnsiTheme="majorBidi" w:cstheme="majorBidi"/>
                <w:sz w:val="24"/>
                <w:szCs w:val="24"/>
                <w:lang w:val="es-ES_tradnl"/>
              </w:rPr>
            </w:pPr>
            <w:r w:rsidRPr="00161823">
              <w:rPr>
                <w:rFonts w:asciiTheme="majorBidi" w:hAnsiTheme="majorBidi" w:cstheme="majorBidi"/>
                <w:sz w:val="24"/>
                <w:szCs w:val="24"/>
                <w:lang w:val="es-ES_tradnl"/>
              </w:rPr>
              <w:t>Referencia</w:t>
            </w:r>
          </w:p>
        </w:tc>
        <w:tc>
          <w:tcPr>
            <w:tcW w:w="3404" w:type="pct"/>
            <w:vAlign w:val="center"/>
          </w:tcPr>
          <w:p w:rsidR="003D5378" w:rsidRPr="00161823" w:rsidRDefault="003D5378" w:rsidP="00562B81">
            <w:pPr>
              <w:pStyle w:val="Tablehead"/>
              <w:rPr>
                <w:rFonts w:asciiTheme="majorBidi" w:hAnsiTheme="majorBidi" w:cstheme="majorBidi"/>
                <w:sz w:val="24"/>
                <w:szCs w:val="24"/>
                <w:lang w:val="es-ES_tradnl"/>
              </w:rPr>
            </w:pPr>
            <w:r w:rsidRPr="00161823">
              <w:rPr>
                <w:rFonts w:asciiTheme="majorBidi" w:hAnsiTheme="majorBidi" w:cstheme="majorBidi"/>
                <w:sz w:val="24"/>
                <w:szCs w:val="24"/>
                <w:lang w:val="es-ES_tradnl"/>
              </w:rPr>
              <w:t>Decisión</w:t>
            </w:r>
          </w:p>
        </w:tc>
        <w:tc>
          <w:tcPr>
            <w:tcW w:w="620" w:type="pct"/>
            <w:vAlign w:val="center"/>
          </w:tcPr>
          <w:p w:rsidR="003D5378" w:rsidRPr="00161823" w:rsidRDefault="003D5378" w:rsidP="00562B81">
            <w:pPr>
              <w:pStyle w:val="Tablehead"/>
              <w:rPr>
                <w:rFonts w:asciiTheme="majorBidi" w:hAnsiTheme="majorBidi" w:cstheme="majorBidi"/>
                <w:sz w:val="24"/>
                <w:szCs w:val="24"/>
                <w:lang w:val="es-ES_tradnl"/>
              </w:rPr>
            </w:pPr>
            <w:r w:rsidRPr="00161823">
              <w:rPr>
                <w:rFonts w:asciiTheme="majorBidi" w:hAnsiTheme="majorBidi" w:cstheme="majorBidi"/>
                <w:sz w:val="24"/>
                <w:szCs w:val="24"/>
                <w:lang w:val="es-ES_tradnl"/>
              </w:rPr>
              <w:t>Nota</w:t>
            </w:r>
          </w:p>
        </w:tc>
      </w:tr>
      <w:tr w:rsidR="003D5378" w:rsidRPr="00161823" w:rsidTr="00591308">
        <w:trPr>
          <w:cantSplit/>
        </w:trPr>
        <w:tc>
          <w:tcPr>
            <w:tcW w:w="146" w:type="pct"/>
            <w:tcBorders>
              <w:top w:val="single" w:sz="4" w:space="0" w:color="auto"/>
            </w:tcBorders>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16</w:t>
            </w:r>
          </w:p>
        </w:tc>
        <w:tc>
          <w:tcPr>
            <w:tcW w:w="386" w:type="pct"/>
            <w:tcBorders>
              <w:top w:val="single" w:sz="4" w:space="0" w:color="auto"/>
            </w:tcBorders>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CMR-03</w:t>
            </w:r>
          </w:p>
        </w:tc>
        <w:tc>
          <w:tcPr>
            <w:tcW w:w="444" w:type="pct"/>
            <w:tcBorders>
              <w:top w:val="single" w:sz="4" w:space="0" w:color="auto"/>
            </w:tcBorders>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14ª Plenaria</w:t>
            </w:r>
            <w:r w:rsidRPr="00161823">
              <w:rPr>
                <w:rFonts w:asciiTheme="majorBidi" w:hAnsiTheme="majorBidi" w:cstheme="majorBidi"/>
                <w:sz w:val="24"/>
                <w:szCs w:val="24"/>
                <w:lang w:val="es-ES_tradnl"/>
              </w:rPr>
              <w:br/>
            </w:r>
            <w:hyperlink r:id="rId13" w:history="1">
              <w:r w:rsidRPr="00161823">
                <w:rPr>
                  <w:rStyle w:val="Hyperlink"/>
                  <w:rFonts w:asciiTheme="majorBidi" w:hAnsiTheme="majorBidi" w:cstheme="majorBidi"/>
                  <w:sz w:val="24"/>
                  <w:szCs w:val="24"/>
                  <w:lang w:val="es-ES_tradnl"/>
                </w:rPr>
                <w:t>Doc 410</w:t>
              </w:r>
            </w:hyperlink>
          </w:p>
        </w:tc>
        <w:tc>
          <w:tcPr>
            <w:tcW w:w="3404" w:type="pct"/>
            <w:tcBorders>
              <w:top w:val="single" w:sz="4" w:space="0" w:color="auto"/>
            </w:tcBorders>
          </w:tcPr>
          <w:p w:rsidR="003D5378" w:rsidRPr="00161823" w:rsidRDefault="003D5378" w:rsidP="00161823">
            <w:pPr>
              <w:pStyle w:val="Tabletext"/>
              <w:jc w:val="both"/>
              <w:rPr>
                <w:rFonts w:asciiTheme="majorBidi" w:hAnsiTheme="majorBidi" w:cstheme="majorBidi"/>
                <w:sz w:val="24"/>
                <w:szCs w:val="24"/>
                <w:lang w:val="es-ES_tradnl"/>
              </w:rPr>
            </w:pPr>
            <w:r w:rsidRPr="00161823">
              <w:rPr>
                <w:rFonts w:asciiTheme="majorBidi" w:hAnsiTheme="majorBidi" w:cstheme="majorBidi"/>
                <w:sz w:val="24"/>
                <w:szCs w:val="24"/>
                <w:lang w:val="es-ES_tradnl"/>
              </w:rPr>
              <w:t xml:space="preserve">En virtud de la Resolución 539 (Rev.CMR-03), cuando se pida a la administración notificante que procure llegar a un acuerdo con la administración afectada de conformidad con el primer inciso del </w:t>
            </w:r>
            <w:r w:rsidRPr="00161823">
              <w:rPr>
                <w:rFonts w:asciiTheme="majorBidi" w:hAnsiTheme="majorBidi" w:cstheme="majorBidi"/>
                <w:i/>
                <w:iCs/>
                <w:sz w:val="24"/>
                <w:szCs w:val="24"/>
                <w:lang w:val="es-ES_tradnl"/>
              </w:rPr>
              <w:t>encarga a la Oficina de Radiocomunicaciones</w:t>
            </w:r>
            <w:r w:rsidRPr="00161823">
              <w:rPr>
                <w:rFonts w:asciiTheme="majorBidi" w:hAnsiTheme="majorBidi" w:cstheme="majorBidi"/>
                <w:sz w:val="24"/>
                <w:szCs w:val="24"/>
                <w:lang w:val="es-ES_tradnl"/>
              </w:rPr>
              <w:t xml:space="preserve"> 1, y la administración notificante no reciba una respuesta sobre el particular de la administración afectada, podrá solicitar la asistencia de la Oficina. En caso de que, después de que la Oficina preste su asistencia, la administración afectada siga sin responder, se estimará que dicha administración acepta el exceso de densidad de flujo de potencia en el territorio de su país.</w:t>
            </w:r>
          </w:p>
        </w:tc>
        <w:tc>
          <w:tcPr>
            <w:tcW w:w="620" w:type="pct"/>
            <w:tcBorders>
              <w:top w:val="single" w:sz="4" w:space="0" w:color="auto"/>
            </w:tcBorders>
          </w:tcPr>
          <w:p w:rsidR="003D5378" w:rsidRPr="00161823" w:rsidRDefault="003D5378" w:rsidP="00591308">
            <w:pPr>
              <w:pStyle w:val="Tabletext"/>
              <w:rPr>
                <w:rFonts w:asciiTheme="majorBidi" w:hAnsiTheme="majorBidi" w:cstheme="majorBidi"/>
                <w:sz w:val="24"/>
                <w:szCs w:val="24"/>
                <w:lang w:val="es-ES_tradnl"/>
              </w:rPr>
            </w:pPr>
          </w:p>
        </w:tc>
      </w:tr>
      <w:tr w:rsidR="003D5378" w:rsidRPr="00161823" w:rsidTr="00591308">
        <w:tblPrEx>
          <w:tblLook w:val="04A0" w:firstRow="1" w:lastRow="0" w:firstColumn="1" w:lastColumn="0" w:noHBand="0" w:noVBand="1"/>
        </w:tblPrEx>
        <w:tc>
          <w:tcPr>
            <w:tcW w:w="14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17</w:t>
            </w:r>
          </w:p>
        </w:tc>
        <w:tc>
          <w:tcPr>
            <w:tcW w:w="38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CMR-03</w:t>
            </w:r>
          </w:p>
        </w:tc>
        <w:tc>
          <w:tcPr>
            <w:tcW w:w="444" w:type="pct"/>
          </w:tcPr>
          <w:p w:rsidR="003D5378" w:rsidRPr="00161823" w:rsidRDefault="003D5378" w:rsidP="00591308">
            <w:pPr>
              <w:pStyle w:val="Tabletext"/>
              <w:rPr>
                <w:rFonts w:asciiTheme="majorBidi" w:hAnsiTheme="majorBidi" w:cstheme="majorBidi"/>
                <w:sz w:val="24"/>
                <w:szCs w:val="24"/>
              </w:rPr>
            </w:pPr>
            <w:r w:rsidRPr="00161823">
              <w:rPr>
                <w:rFonts w:asciiTheme="majorBidi" w:hAnsiTheme="majorBidi" w:cstheme="majorBidi"/>
                <w:sz w:val="24"/>
                <w:szCs w:val="24"/>
              </w:rPr>
              <w:t>14ª Plenaria</w:t>
            </w:r>
            <w:r w:rsidRPr="00161823">
              <w:rPr>
                <w:rFonts w:asciiTheme="majorBidi" w:hAnsiTheme="majorBidi" w:cstheme="majorBidi"/>
                <w:sz w:val="24"/>
                <w:szCs w:val="24"/>
              </w:rPr>
              <w:br/>
            </w:r>
            <w:hyperlink r:id="rId14" w:history="1">
              <w:r w:rsidRPr="00161823">
                <w:rPr>
                  <w:rStyle w:val="Hyperlink"/>
                  <w:rFonts w:asciiTheme="majorBidi" w:hAnsiTheme="majorBidi" w:cstheme="majorBidi"/>
                  <w:sz w:val="24"/>
                  <w:szCs w:val="24"/>
                </w:rPr>
                <w:t>Doc 410</w:t>
              </w:r>
            </w:hyperlink>
            <w:r w:rsidRPr="00161823">
              <w:rPr>
                <w:rStyle w:val="Hyperlink"/>
                <w:rFonts w:asciiTheme="majorBidi" w:hAnsiTheme="majorBidi" w:cstheme="majorBidi"/>
                <w:color w:val="auto"/>
                <w:sz w:val="24"/>
                <w:szCs w:val="24"/>
                <w:u w:val="none"/>
              </w:rPr>
              <w:br/>
            </w:r>
            <w:hyperlink r:id="rId15" w:history="1">
              <w:r w:rsidRPr="00161823">
                <w:rPr>
                  <w:rStyle w:val="Hyperlink"/>
                  <w:rFonts w:asciiTheme="majorBidi" w:hAnsiTheme="majorBidi" w:cstheme="majorBidi"/>
                  <w:sz w:val="24"/>
                  <w:szCs w:val="24"/>
                </w:rPr>
                <w:t>Doc 370</w:t>
              </w:r>
            </w:hyperlink>
          </w:p>
        </w:tc>
        <w:tc>
          <w:tcPr>
            <w:tcW w:w="3404" w:type="pct"/>
          </w:tcPr>
          <w:p w:rsidR="003D5378" w:rsidRPr="00161823" w:rsidRDefault="00562B81" w:rsidP="00161823">
            <w:pPr>
              <w:pStyle w:val="Tabletext"/>
              <w:tabs>
                <w:tab w:val="clear" w:pos="284"/>
                <w:tab w:val="left" w:pos="447"/>
              </w:tabs>
              <w:ind w:left="447" w:hanging="447"/>
              <w:jc w:val="both"/>
              <w:rPr>
                <w:rFonts w:asciiTheme="majorBidi" w:hAnsiTheme="majorBidi" w:cstheme="majorBidi"/>
                <w:sz w:val="24"/>
                <w:szCs w:val="24"/>
                <w:lang w:val="es-ES_tradnl"/>
              </w:rPr>
            </w:pPr>
            <w:r w:rsidRPr="00161823">
              <w:rPr>
                <w:rFonts w:asciiTheme="majorBidi" w:hAnsiTheme="majorBidi" w:cstheme="majorBidi"/>
                <w:b/>
                <w:bCs/>
                <w:sz w:val="24"/>
                <w:szCs w:val="24"/>
                <w:lang w:val="es-ES_tradnl"/>
              </w:rPr>
              <w:t>1</w:t>
            </w:r>
            <w:r w:rsidRPr="00161823">
              <w:rPr>
                <w:rFonts w:asciiTheme="majorBidi" w:hAnsiTheme="majorBidi" w:cstheme="majorBidi"/>
                <w:sz w:val="24"/>
                <w:szCs w:val="24"/>
                <w:lang w:val="es-ES_tradnl"/>
              </w:rPr>
              <w:tab/>
            </w:r>
            <w:r w:rsidR="003D5378" w:rsidRPr="00161823">
              <w:rPr>
                <w:rFonts w:asciiTheme="majorBidi" w:hAnsiTheme="majorBidi" w:cstheme="majorBidi"/>
                <w:sz w:val="24"/>
                <w:szCs w:val="24"/>
                <w:lang w:val="es-ES_tradnl"/>
              </w:rPr>
              <w:t>En aplicación de las notas 4</w:t>
            </w:r>
            <w:r w:rsidR="003D5378" w:rsidRPr="00161823">
              <w:rPr>
                <w:rFonts w:asciiTheme="majorBidi" w:hAnsiTheme="majorBidi" w:cstheme="majorBidi"/>
                <w:i/>
                <w:iCs/>
                <w:sz w:val="24"/>
                <w:szCs w:val="24"/>
                <w:lang w:val="es-ES_tradnl"/>
              </w:rPr>
              <w:t>bis</w:t>
            </w:r>
            <w:r w:rsidR="003D5378" w:rsidRPr="00161823">
              <w:rPr>
                <w:rFonts w:asciiTheme="majorBidi" w:hAnsiTheme="majorBidi" w:cstheme="majorBidi"/>
                <w:sz w:val="24"/>
                <w:szCs w:val="24"/>
                <w:lang w:val="es-ES_tradnl"/>
              </w:rPr>
              <w:t xml:space="preserve"> y 8</w:t>
            </w:r>
            <w:r w:rsidR="003D5378" w:rsidRPr="00161823">
              <w:rPr>
                <w:rFonts w:asciiTheme="majorBidi" w:hAnsiTheme="majorBidi" w:cstheme="majorBidi"/>
                <w:i/>
                <w:iCs/>
                <w:sz w:val="24"/>
                <w:szCs w:val="24"/>
                <w:lang w:val="es-ES_tradnl"/>
              </w:rPr>
              <w:t>bis</w:t>
            </w:r>
            <w:r w:rsidR="003D5378" w:rsidRPr="00161823">
              <w:rPr>
                <w:rFonts w:asciiTheme="majorBidi" w:hAnsiTheme="majorBidi" w:cstheme="majorBidi"/>
                <w:sz w:val="24"/>
                <w:szCs w:val="24"/>
                <w:lang w:val="es-ES_tradnl"/>
              </w:rPr>
              <w:t xml:space="preserve"> </w:t>
            </w:r>
            <w:r w:rsidR="00597A59" w:rsidRPr="00161823">
              <w:rPr>
                <w:rFonts w:asciiTheme="majorBidi" w:hAnsiTheme="majorBidi" w:cstheme="majorBidi"/>
                <w:sz w:val="24"/>
                <w:szCs w:val="24"/>
                <w:lang w:val="es-ES_tradnl"/>
              </w:rPr>
              <w:t xml:space="preserve">(actualmente 5 y 14) </w:t>
            </w:r>
            <w:r w:rsidR="003D5378" w:rsidRPr="00161823">
              <w:rPr>
                <w:rFonts w:asciiTheme="majorBidi" w:hAnsiTheme="majorBidi" w:cstheme="majorBidi"/>
                <w:sz w:val="24"/>
                <w:szCs w:val="24"/>
                <w:lang w:val="es-ES_tradnl"/>
              </w:rPr>
              <w:t>añadidas a</w:t>
            </w:r>
            <w:r w:rsidR="00597A59" w:rsidRPr="00161823">
              <w:rPr>
                <w:rFonts w:asciiTheme="majorBidi" w:hAnsiTheme="majorBidi" w:cstheme="majorBidi"/>
                <w:sz w:val="24"/>
                <w:szCs w:val="24"/>
                <w:lang w:val="es-ES_tradnl"/>
              </w:rPr>
              <w:t>l</w:t>
            </w:r>
            <w:r w:rsidR="003D5378" w:rsidRPr="00161823">
              <w:rPr>
                <w:rFonts w:asciiTheme="majorBidi" w:hAnsiTheme="majorBidi" w:cstheme="majorBidi"/>
                <w:sz w:val="24"/>
                <w:szCs w:val="24"/>
                <w:lang w:val="es-ES_tradnl"/>
              </w:rPr>
              <w:t xml:space="preserve"> § 4.1.1 y 4.2.2 del Apéndice </w:t>
            </w:r>
            <w:r w:rsidR="003D5378" w:rsidRPr="00161823">
              <w:rPr>
                <w:rFonts w:asciiTheme="majorBidi" w:hAnsiTheme="majorBidi" w:cstheme="majorBidi"/>
                <w:b/>
                <w:bCs/>
                <w:sz w:val="24"/>
                <w:szCs w:val="24"/>
                <w:lang w:val="es-ES_tradnl"/>
              </w:rPr>
              <w:t>30A</w:t>
            </w:r>
            <w:r w:rsidR="003D5378" w:rsidRPr="00161823">
              <w:rPr>
                <w:rFonts w:asciiTheme="majorBidi" w:hAnsiTheme="majorBidi" w:cstheme="majorBidi"/>
                <w:sz w:val="24"/>
                <w:szCs w:val="24"/>
                <w:lang w:val="es-ES_tradnl"/>
              </w:rPr>
              <w:t xml:space="preserve">, respectivamente, la coordinación en virtud de los números </w:t>
            </w:r>
            <w:r w:rsidR="003D5378" w:rsidRPr="00161823">
              <w:rPr>
                <w:rFonts w:asciiTheme="majorBidi" w:hAnsiTheme="majorBidi" w:cstheme="majorBidi"/>
                <w:b/>
                <w:bCs/>
                <w:sz w:val="24"/>
                <w:szCs w:val="24"/>
                <w:lang w:val="es-ES_tradnl"/>
              </w:rPr>
              <w:t>9.17</w:t>
            </w:r>
            <w:r w:rsidR="003D5378" w:rsidRPr="00161823">
              <w:rPr>
                <w:rFonts w:asciiTheme="majorBidi" w:hAnsiTheme="majorBidi" w:cstheme="majorBidi"/>
                <w:sz w:val="24"/>
                <w:szCs w:val="24"/>
                <w:lang w:val="es-ES_tradnl"/>
              </w:rPr>
              <w:t xml:space="preserve"> y </w:t>
            </w:r>
            <w:r w:rsidR="003D5378" w:rsidRPr="00161823">
              <w:rPr>
                <w:rFonts w:asciiTheme="majorBidi" w:hAnsiTheme="majorBidi" w:cstheme="majorBidi"/>
                <w:b/>
                <w:bCs/>
                <w:sz w:val="24"/>
                <w:szCs w:val="24"/>
                <w:lang w:val="es-ES_tradnl"/>
              </w:rPr>
              <w:t>9.17A</w:t>
            </w:r>
            <w:r w:rsidR="003D5378" w:rsidRPr="00161823">
              <w:rPr>
                <w:rFonts w:asciiTheme="majorBidi" w:hAnsiTheme="majorBidi" w:cstheme="majorBidi"/>
                <w:sz w:val="24"/>
                <w:szCs w:val="24"/>
                <w:lang w:val="es-ES_tradnl"/>
              </w:rPr>
              <w:t xml:space="preserve"> es necesaria cuando la zona de coordinación de una estación terrena de enlace de conexión sobrepase la correspondiente a la estación terrena de enlace de conexión asociada con una red de satélite coordinada con arreglo a los anteriores § 4.2.1.2, 4.2.1.3, 4.2.3.2 y 4.2.3.3 del Apéndice </w:t>
            </w:r>
            <w:r w:rsidR="003D5378" w:rsidRPr="00161823">
              <w:rPr>
                <w:rFonts w:asciiTheme="majorBidi" w:hAnsiTheme="majorBidi" w:cstheme="majorBidi"/>
                <w:b/>
                <w:bCs/>
                <w:sz w:val="24"/>
                <w:szCs w:val="24"/>
                <w:lang w:val="es-ES_tradnl"/>
              </w:rPr>
              <w:t>30A</w:t>
            </w:r>
            <w:r w:rsidRPr="00161823">
              <w:rPr>
                <w:rFonts w:asciiTheme="majorBidi" w:hAnsiTheme="majorBidi" w:cstheme="majorBidi"/>
                <w:sz w:val="24"/>
                <w:szCs w:val="24"/>
                <w:lang w:val="es-ES_tradnl"/>
              </w:rPr>
              <w:t xml:space="preserve"> (CMR</w:t>
            </w:r>
            <w:r w:rsidR="003D5378" w:rsidRPr="00161823">
              <w:rPr>
                <w:rFonts w:asciiTheme="majorBidi" w:hAnsiTheme="majorBidi" w:cstheme="majorBidi"/>
                <w:sz w:val="24"/>
                <w:szCs w:val="24"/>
                <w:lang w:val="es-ES_tradnl"/>
              </w:rPr>
              <w:t>-97).</w:t>
            </w:r>
          </w:p>
          <w:p w:rsidR="003D5378" w:rsidRPr="00161823" w:rsidRDefault="00562B81" w:rsidP="00161823">
            <w:pPr>
              <w:pStyle w:val="Tabletext"/>
              <w:tabs>
                <w:tab w:val="clear" w:pos="284"/>
                <w:tab w:val="left" w:pos="447"/>
              </w:tabs>
              <w:ind w:left="447" w:hanging="447"/>
              <w:jc w:val="both"/>
              <w:rPr>
                <w:rFonts w:asciiTheme="majorBidi" w:hAnsiTheme="majorBidi" w:cstheme="majorBidi"/>
                <w:sz w:val="24"/>
                <w:szCs w:val="24"/>
                <w:lang w:val="es-ES_tradnl"/>
              </w:rPr>
            </w:pPr>
            <w:r w:rsidRPr="00161823">
              <w:rPr>
                <w:rFonts w:asciiTheme="majorBidi" w:hAnsiTheme="majorBidi" w:cstheme="majorBidi"/>
                <w:b/>
                <w:bCs/>
                <w:sz w:val="24"/>
                <w:szCs w:val="24"/>
                <w:lang w:val="es-ES_tradnl"/>
              </w:rPr>
              <w:t>2</w:t>
            </w:r>
            <w:r w:rsidRPr="00161823">
              <w:rPr>
                <w:rFonts w:asciiTheme="majorBidi" w:hAnsiTheme="majorBidi" w:cstheme="majorBidi"/>
                <w:sz w:val="24"/>
                <w:szCs w:val="24"/>
                <w:lang w:val="es-ES_tradnl"/>
              </w:rPr>
              <w:tab/>
            </w:r>
            <w:r w:rsidR="003D5378" w:rsidRPr="00161823">
              <w:rPr>
                <w:rFonts w:asciiTheme="majorBidi" w:hAnsiTheme="majorBidi" w:cstheme="majorBidi"/>
                <w:sz w:val="24"/>
                <w:szCs w:val="24"/>
                <w:lang w:val="es-ES_tradnl"/>
              </w:rPr>
              <w:t>La metodología utilizada para el examen con respecto a los párrafos cuarto y quinto de</w:t>
            </w:r>
            <w:r w:rsidR="00597A59" w:rsidRPr="00161823">
              <w:rPr>
                <w:rFonts w:asciiTheme="majorBidi" w:hAnsiTheme="majorBidi" w:cstheme="majorBidi"/>
                <w:sz w:val="24"/>
                <w:szCs w:val="24"/>
                <w:lang w:val="es-ES_tradnl"/>
              </w:rPr>
              <w:t>l</w:t>
            </w:r>
            <w:r w:rsidR="003D5378" w:rsidRPr="00161823">
              <w:rPr>
                <w:rFonts w:asciiTheme="majorBidi" w:hAnsiTheme="majorBidi" w:cstheme="majorBidi"/>
                <w:sz w:val="24"/>
                <w:szCs w:val="24"/>
                <w:lang w:val="es-ES_tradnl"/>
              </w:rPr>
              <w:t xml:space="preserve"> § 5.2.1 d) de los Apéndices </w:t>
            </w:r>
            <w:r w:rsidR="003D5378" w:rsidRPr="00161823">
              <w:rPr>
                <w:rFonts w:asciiTheme="majorBidi" w:hAnsiTheme="majorBidi" w:cstheme="majorBidi"/>
                <w:b/>
                <w:bCs/>
                <w:sz w:val="24"/>
                <w:szCs w:val="24"/>
                <w:lang w:val="es-ES_tradnl"/>
              </w:rPr>
              <w:t>30</w:t>
            </w:r>
            <w:r w:rsidR="003D5378" w:rsidRPr="00161823">
              <w:rPr>
                <w:rFonts w:asciiTheme="majorBidi" w:hAnsiTheme="majorBidi" w:cstheme="majorBidi"/>
                <w:sz w:val="24"/>
                <w:szCs w:val="24"/>
                <w:lang w:val="es-ES_tradnl"/>
              </w:rPr>
              <w:t xml:space="preserve"> y </w:t>
            </w:r>
            <w:r w:rsidR="003D5378" w:rsidRPr="00161823">
              <w:rPr>
                <w:rFonts w:asciiTheme="majorBidi" w:hAnsiTheme="majorBidi" w:cstheme="majorBidi"/>
                <w:b/>
                <w:bCs/>
                <w:sz w:val="24"/>
                <w:szCs w:val="24"/>
                <w:lang w:val="es-ES_tradnl"/>
              </w:rPr>
              <w:t>30A</w:t>
            </w:r>
            <w:r w:rsidR="003D5378" w:rsidRPr="00161823">
              <w:rPr>
                <w:rFonts w:asciiTheme="majorBidi" w:hAnsiTheme="majorBidi" w:cstheme="majorBidi"/>
                <w:sz w:val="24"/>
                <w:szCs w:val="24"/>
                <w:lang w:val="es-ES_tradnl"/>
              </w:rPr>
              <w:t>, respectivamente, deberá ser idéntica a la utilizada para las asignaciones del SRS y su enlace de conexión asociado.</w:t>
            </w:r>
          </w:p>
        </w:tc>
        <w:tc>
          <w:tcPr>
            <w:tcW w:w="620" w:type="pct"/>
          </w:tcPr>
          <w:p w:rsidR="003D5378" w:rsidRPr="00161823" w:rsidRDefault="003D5378" w:rsidP="00591308">
            <w:pPr>
              <w:pStyle w:val="Tabletext"/>
              <w:rPr>
                <w:rFonts w:asciiTheme="majorBidi" w:hAnsiTheme="majorBidi" w:cstheme="majorBidi"/>
                <w:sz w:val="24"/>
                <w:szCs w:val="24"/>
                <w:lang w:val="es-ES_tradnl"/>
              </w:rPr>
            </w:pPr>
          </w:p>
        </w:tc>
      </w:tr>
      <w:tr w:rsidR="003D5378" w:rsidRPr="00161823" w:rsidTr="00591308">
        <w:tblPrEx>
          <w:tblLook w:val="04A0" w:firstRow="1" w:lastRow="0" w:firstColumn="1" w:lastColumn="0" w:noHBand="0" w:noVBand="1"/>
        </w:tblPrEx>
        <w:tc>
          <w:tcPr>
            <w:tcW w:w="14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22</w:t>
            </w:r>
          </w:p>
        </w:tc>
        <w:tc>
          <w:tcPr>
            <w:tcW w:w="38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CMR-07</w:t>
            </w:r>
          </w:p>
        </w:tc>
        <w:tc>
          <w:tcPr>
            <w:tcW w:w="444"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10ª Plenaria</w:t>
            </w:r>
            <w:r w:rsidRPr="00161823">
              <w:rPr>
                <w:rFonts w:asciiTheme="majorBidi" w:hAnsiTheme="majorBidi" w:cstheme="majorBidi"/>
                <w:sz w:val="24"/>
                <w:szCs w:val="24"/>
                <w:lang w:val="es-ES_tradnl"/>
              </w:rPr>
              <w:br/>
            </w:r>
            <w:hyperlink r:id="rId16" w:history="1">
              <w:r w:rsidRPr="00161823">
                <w:rPr>
                  <w:rStyle w:val="Hyperlink"/>
                  <w:rFonts w:asciiTheme="majorBidi" w:hAnsiTheme="majorBidi" w:cstheme="majorBidi"/>
                  <w:sz w:val="24"/>
                  <w:szCs w:val="24"/>
                  <w:lang w:val="es-ES_tradnl"/>
                </w:rPr>
                <w:t>Doc 432</w:t>
              </w:r>
            </w:hyperlink>
            <w:r w:rsidRPr="00161823">
              <w:rPr>
                <w:rFonts w:asciiTheme="majorBidi" w:hAnsiTheme="majorBidi" w:cstheme="majorBidi"/>
                <w:sz w:val="24"/>
                <w:szCs w:val="24"/>
                <w:lang w:val="es-ES_tradnl"/>
              </w:rPr>
              <w:br/>
            </w:r>
            <w:hyperlink r:id="rId17" w:history="1">
              <w:r w:rsidRPr="00161823">
                <w:rPr>
                  <w:rStyle w:val="Hyperlink"/>
                  <w:rFonts w:asciiTheme="majorBidi" w:hAnsiTheme="majorBidi" w:cstheme="majorBidi"/>
                  <w:sz w:val="24"/>
                  <w:szCs w:val="24"/>
                  <w:lang w:val="es-ES_tradnl"/>
                </w:rPr>
                <w:t>Doc 378</w:t>
              </w:r>
            </w:hyperlink>
            <w:r w:rsidRPr="00161823">
              <w:rPr>
                <w:rFonts w:asciiTheme="majorBidi" w:hAnsiTheme="majorBidi" w:cstheme="majorBidi"/>
                <w:sz w:val="24"/>
                <w:szCs w:val="24"/>
                <w:lang w:val="es-ES_tradnl"/>
              </w:rPr>
              <w:br/>
            </w:r>
            <w:hyperlink r:id="rId18" w:history="1">
              <w:r w:rsidRPr="00161823">
                <w:rPr>
                  <w:rStyle w:val="Hyperlink"/>
                  <w:rFonts w:asciiTheme="majorBidi" w:hAnsiTheme="majorBidi" w:cstheme="majorBidi"/>
                  <w:sz w:val="24"/>
                  <w:szCs w:val="24"/>
                  <w:lang w:val="es-ES_tradnl"/>
                </w:rPr>
                <w:t>Addéndum 2 al Doc 4</w:t>
              </w:r>
            </w:hyperlink>
          </w:p>
        </w:tc>
        <w:tc>
          <w:tcPr>
            <w:tcW w:w="3404" w:type="pct"/>
          </w:tcPr>
          <w:p w:rsidR="003D5378" w:rsidRPr="00161823" w:rsidRDefault="00562B81" w:rsidP="00161823">
            <w:pPr>
              <w:pStyle w:val="Tabletext"/>
              <w:tabs>
                <w:tab w:val="clear" w:pos="284"/>
                <w:tab w:val="left" w:pos="447"/>
              </w:tabs>
              <w:ind w:left="447" w:hanging="447"/>
              <w:jc w:val="both"/>
              <w:rPr>
                <w:rFonts w:asciiTheme="majorBidi" w:hAnsiTheme="majorBidi" w:cstheme="majorBidi"/>
                <w:sz w:val="24"/>
                <w:szCs w:val="24"/>
                <w:lang w:val="es-ES_tradnl"/>
              </w:rPr>
            </w:pPr>
            <w:r w:rsidRPr="00161823">
              <w:rPr>
                <w:rFonts w:asciiTheme="majorBidi" w:hAnsiTheme="majorBidi" w:cstheme="majorBidi"/>
                <w:sz w:val="24"/>
                <w:szCs w:val="24"/>
                <w:lang w:val="es-ES_tradnl"/>
              </w:rPr>
              <w:t>1</w:t>
            </w:r>
            <w:r w:rsidRPr="00161823">
              <w:rPr>
                <w:rFonts w:asciiTheme="majorBidi" w:hAnsiTheme="majorBidi" w:cstheme="majorBidi"/>
                <w:sz w:val="24"/>
                <w:szCs w:val="24"/>
                <w:lang w:val="es-ES_tradnl"/>
              </w:rPr>
              <w:tab/>
            </w:r>
            <w:r w:rsidR="003D5378" w:rsidRPr="00161823">
              <w:rPr>
                <w:rFonts w:asciiTheme="majorBidi" w:hAnsiTheme="majorBidi" w:cstheme="majorBidi"/>
                <w:sz w:val="24"/>
                <w:szCs w:val="24"/>
                <w:lang w:val="es-ES_tradnl"/>
              </w:rPr>
              <w:t xml:space="preserve">Los números </w:t>
            </w:r>
            <w:r w:rsidR="003D5378" w:rsidRPr="00161823">
              <w:rPr>
                <w:rFonts w:asciiTheme="majorBidi" w:hAnsiTheme="majorBidi" w:cstheme="majorBidi"/>
                <w:b/>
                <w:bCs/>
                <w:sz w:val="24"/>
                <w:szCs w:val="24"/>
                <w:lang w:val="es-ES_tradnl"/>
              </w:rPr>
              <w:t>5.219</w:t>
            </w:r>
            <w:r w:rsidR="003D5378" w:rsidRPr="00161823">
              <w:rPr>
                <w:rFonts w:asciiTheme="majorBidi" w:hAnsiTheme="majorBidi" w:cstheme="majorBidi"/>
                <w:sz w:val="24"/>
                <w:szCs w:val="24"/>
                <w:lang w:val="es-ES_tradnl"/>
              </w:rPr>
              <w:t xml:space="preserve"> y </w:t>
            </w:r>
            <w:r w:rsidR="003D5378" w:rsidRPr="00161823">
              <w:rPr>
                <w:rFonts w:asciiTheme="majorBidi" w:hAnsiTheme="majorBidi" w:cstheme="majorBidi"/>
                <w:b/>
                <w:bCs/>
                <w:sz w:val="24"/>
                <w:szCs w:val="24"/>
                <w:lang w:val="es-ES_tradnl"/>
              </w:rPr>
              <w:t>5.220</w:t>
            </w:r>
            <w:r w:rsidR="003D5378" w:rsidRPr="00161823">
              <w:rPr>
                <w:rFonts w:asciiTheme="majorBidi" w:hAnsiTheme="majorBidi" w:cstheme="majorBidi"/>
                <w:sz w:val="24"/>
                <w:szCs w:val="24"/>
                <w:lang w:val="es-ES_tradnl"/>
              </w:rPr>
              <w:t>, según l</w:t>
            </w:r>
            <w:r w:rsidR="00597A59" w:rsidRPr="00161823">
              <w:rPr>
                <w:rFonts w:asciiTheme="majorBidi" w:hAnsiTheme="majorBidi" w:cstheme="majorBidi"/>
                <w:sz w:val="24"/>
                <w:szCs w:val="24"/>
                <w:lang w:val="es-ES_tradnl"/>
              </w:rPr>
              <w:t>os</w:t>
            </w:r>
            <w:r w:rsidR="003D5378" w:rsidRPr="00161823">
              <w:rPr>
                <w:rFonts w:asciiTheme="majorBidi" w:hAnsiTheme="majorBidi" w:cstheme="majorBidi"/>
                <w:sz w:val="24"/>
                <w:szCs w:val="24"/>
                <w:lang w:val="es-ES_tradnl"/>
              </w:rPr>
              <w:t xml:space="preserve"> cual</w:t>
            </w:r>
            <w:r w:rsidR="00597A59" w:rsidRPr="00161823">
              <w:rPr>
                <w:rFonts w:asciiTheme="majorBidi" w:hAnsiTheme="majorBidi" w:cstheme="majorBidi"/>
                <w:sz w:val="24"/>
                <w:szCs w:val="24"/>
                <w:lang w:val="es-ES_tradnl"/>
              </w:rPr>
              <w:t>es</w:t>
            </w:r>
            <w:r w:rsidR="003D5378" w:rsidRPr="00161823">
              <w:rPr>
                <w:rFonts w:asciiTheme="majorBidi" w:hAnsiTheme="majorBidi" w:cstheme="majorBidi"/>
                <w:sz w:val="24"/>
                <w:szCs w:val="24"/>
                <w:lang w:val="es-ES_tradnl"/>
              </w:rPr>
              <w:t xml:space="preserve"> la frase «… no limitará</w:t>
            </w:r>
            <w:r w:rsidR="00591308" w:rsidRPr="00161823">
              <w:rPr>
                <w:rFonts w:asciiTheme="majorBidi" w:hAnsiTheme="majorBidi" w:cstheme="majorBidi"/>
                <w:sz w:val="24"/>
                <w:szCs w:val="24"/>
                <w:lang w:val="es-ES_tradnl"/>
              </w:rPr>
              <w:t xml:space="preserve"> el desarrollo y utilización de</w:t>
            </w:r>
            <w:r w:rsidR="003D5378" w:rsidRPr="00161823">
              <w:rPr>
                <w:rFonts w:asciiTheme="majorBidi" w:hAnsiTheme="majorBidi" w:cstheme="majorBidi"/>
                <w:sz w:val="24"/>
                <w:szCs w:val="24"/>
                <w:lang w:val="es-ES_tradnl"/>
              </w:rPr>
              <w:t xml:space="preserve">…» se refiere al funcionamiento y no se espera que la Oficina tome medidas reglamentarias al respecto. </w:t>
            </w:r>
            <w:r w:rsidR="00591308" w:rsidRPr="00161823">
              <w:rPr>
                <w:rFonts w:asciiTheme="majorBidi" w:hAnsiTheme="majorBidi" w:cstheme="majorBidi"/>
                <w:sz w:val="24"/>
                <w:szCs w:val="24"/>
                <w:lang w:val="es-ES_tradnl"/>
              </w:rPr>
              <w:t>Los</w:t>
            </w:r>
            <w:r w:rsidR="003D5378" w:rsidRPr="00161823">
              <w:rPr>
                <w:rFonts w:asciiTheme="majorBidi" w:hAnsiTheme="majorBidi" w:cstheme="majorBidi"/>
                <w:sz w:val="24"/>
                <w:szCs w:val="24"/>
                <w:lang w:val="es-ES_tradnl"/>
              </w:rPr>
              <w:t xml:space="preserve"> números </w:t>
            </w:r>
            <w:r w:rsidR="003D5378" w:rsidRPr="00161823">
              <w:rPr>
                <w:rFonts w:asciiTheme="majorBidi" w:hAnsiTheme="majorBidi" w:cstheme="majorBidi"/>
                <w:b/>
                <w:bCs/>
                <w:sz w:val="24"/>
                <w:szCs w:val="24"/>
                <w:lang w:val="es-ES_tradnl"/>
              </w:rPr>
              <w:t>5.286C</w:t>
            </w:r>
            <w:r w:rsidR="003D5378" w:rsidRPr="00161823">
              <w:rPr>
                <w:rFonts w:asciiTheme="majorBidi" w:hAnsiTheme="majorBidi" w:cstheme="majorBidi"/>
                <w:sz w:val="24"/>
                <w:szCs w:val="24"/>
                <w:lang w:val="es-ES_tradnl"/>
              </w:rPr>
              <w:t xml:space="preserve">, </w:t>
            </w:r>
            <w:r w:rsidR="003D5378" w:rsidRPr="00161823">
              <w:rPr>
                <w:rFonts w:asciiTheme="majorBidi" w:hAnsiTheme="majorBidi" w:cstheme="majorBidi"/>
                <w:b/>
                <w:bCs/>
                <w:sz w:val="24"/>
                <w:szCs w:val="24"/>
                <w:lang w:val="es-ES_tradnl"/>
              </w:rPr>
              <w:t>5.392</w:t>
            </w:r>
            <w:r w:rsidR="003D5378" w:rsidRPr="00161823">
              <w:rPr>
                <w:rFonts w:asciiTheme="majorBidi" w:hAnsiTheme="majorBidi" w:cstheme="majorBidi"/>
                <w:sz w:val="24"/>
                <w:szCs w:val="24"/>
                <w:lang w:val="es-ES_tradnl"/>
              </w:rPr>
              <w:t xml:space="preserve"> y </w:t>
            </w:r>
            <w:r w:rsidR="003D5378" w:rsidRPr="00161823">
              <w:rPr>
                <w:rFonts w:asciiTheme="majorBidi" w:hAnsiTheme="majorBidi" w:cstheme="majorBidi"/>
                <w:b/>
                <w:bCs/>
                <w:sz w:val="24"/>
                <w:szCs w:val="24"/>
                <w:lang w:val="es-ES_tradnl"/>
              </w:rPr>
              <w:t>5.532</w:t>
            </w:r>
            <w:r w:rsidR="003D5378" w:rsidRPr="00161823">
              <w:rPr>
                <w:rFonts w:asciiTheme="majorBidi" w:hAnsiTheme="majorBidi" w:cstheme="majorBidi"/>
                <w:sz w:val="24"/>
                <w:szCs w:val="24"/>
                <w:lang w:val="es-ES_tradnl"/>
              </w:rPr>
              <w:t xml:space="preserve"> contienen disposiciones relativas al funcionamiento que no inciden en la categoría reglamentaria de los servicios mencionados en dichas disposiciones.</w:t>
            </w:r>
          </w:p>
        </w:tc>
        <w:tc>
          <w:tcPr>
            <w:tcW w:w="620" w:type="pct"/>
          </w:tcPr>
          <w:p w:rsidR="003D5378" w:rsidRPr="00161823" w:rsidRDefault="003D5378" w:rsidP="00591308">
            <w:pPr>
              <w:pStyle w:val="Tabletext"/>
              <w:rPr>
                <w:rFonts w:asciiTheme="majorBidi" w:hAnsiTheme="majorBidi" w:cstheme="majorBidi"/>
                <w:sz w:val="24"/>
                <w:szCs w:val="24"/>
                <w:lang w:val="es-ES_tradnl"/>
              </w:rPr>
            </w:pPr>
          </w:p>
        </w:tc>
      </w:tr>
      <w:tr w:rsidR="003D5378" w:rsidRPr="00161823" w:rsidTr="00591308">
        <w:tblPrEx>
          <w:tblLook w:val="04A0" w:firstRow="1" w:lastRow="0" w:firstColumn="1" w:lastColumn="0" w:noHBand="0" w:noVBand="1"/>
        </w:tblPrEx>
        <w:tc>
          <w:tcPr>
            <w:tcW w:w="14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27</w:t>
            </w:r>
          </w:p>
        </w:tc>
        <w:tc>
          <w:tcPr>
            <w:tcW w:w="38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CMR-12</w:t>
            </w:r>
          </w:p>
        </w:tc>
        <w:tc>
          <w:tcPr>
            <w:tcW w:w="444" w:type="pct"/>
          </w:tcPr>
          <w:p w:rsidR="003D5378" w:rsidRPr="00161823" w:rsidRDefault="003D5378" w:rsidP="00591308">
            <w:pPr>
              <w:pStyle w:val="Tabletext"/>
              <w:rPr>
                <w:rFonts w:asciiTheme="majorBidi" w:hAnsiTheme="majorBidi" w:cstheme="majorBidi"/>
                <w:sz w:val="24"/>
                <w:szCs w:val="24"/>
              </w:rPr>
            </w:pPr>
            <w:r w:rsidRPr="00161823">
              <w:rPr>
                <w:rFonts w:asciiTheme="majorBidi" w:hAnsiTheme="majorBidi" w:cstheme="majorBidi"/>
                <w:sz w:val="24"/>
                <w:szCs w:val="24"/>
              </w:rPr>
              <w:t xml:space="preserve">8ª Plenaria </w:t>
            </w:r>
            <w:hyperlink r:id="rId19" w:history="1">
              <w:r w:rsidRPr="00161823">
                <w:rPr>
                  <w:rStyle w:val="Hyperlink"/>
                  <w:rFonts w:asciiTheme="majorBidi" w:hAnsiTheme="majorBidi" w:cstheme="majorBidi"/>
                  <w:sz w:val="24"/>
                  <w:szCs w:val="24"/>
                </w:rPr>
                <w:t>Doc 549</w:t>
              </w:r>
            </w:hyperlink>
          </w:p>
        </w:tc>
        <w:tc>
          <w:tcPr>
            <w:tcW w:w="3404" w:type="pct"/>
          </w:tcPr>
          <w:p w:rsidR="003D5378" w:rsidRPr="00161823" w:rsidRDefault="003D5378" w:rsidP="00161823">
            <w:pPr>
              <w:pStyle w:val="Tabletext"/>
              <w:jc w:val="both"/>
              <w:rPr>
                <w:rFonts w:asciiTheme="majorBidi" w:hAnsiTheme="majorBidi" w:cstheme="majorBidi"/>
                <w:sz w:val="24"/>
                <w:szCs w:val="24"/>
                <w:lang w:val="es-ES_tradnl"/>
              </w:rPr>
            </w:pPr>
            <w:r w:rsidRPr="00161823">
              <w:rPr>
                <w:rFonts w:asciiTheme="majorBidi" w:hAnsiTheme="majorBidi" w:cstheme="majorBidi"/>
                <w:sz w:val="24"/>
                <w:szCs w:val="24"/>
                <w:lang w:val="es-ES_tradnl"/>
              </w:rPr>
              <w:t xml:space="preserve">En relación con la aplicación del número </w:t>
            </w:r>
            <w:r w:rsidRPr="00161823">
              <w:rPr>
                <w:rFonts w:asciiTheme="majorBidi" w:hAnsiTheme="majorBidi" w:cstheme="majorBidi"/>
                <w:b/>
                <w:bCs/>
                <w:sz w:val="24"/>
                <w:szCs w:val="24"/>
                <w:lang w:val="es-ES_tradnl"/>
              </w:rPr>
              <w:t>9.11A</w:t>
            </w:r>
            <w:r w:rsidRPr="00161823">
              <w:rPr>
                <w:rFonts w:asciiTheme="majorBidi" w:hAnsiTheme="majorBidi" w:cstheme="majorBidi"/>
                <w:sz w:val="24"/>
                <w:szCs w:val="24"/>
                <w:lang w:val="es-ES_tradnl"/>
              </w:rPr>
              <w:t xml:space="preserve"> en el número </w:t>
            </w:r>
            <w:r w:rsidRPr="00161823">
              <w:rPr>
                <w:rFonts w:asciiTheme="majorBidi" w:hAnsiTheme="majorBidi" w:cstheme="majorBidi"/>
                <w:b/>
                <w:bCs/>
                <w:sz w:val="24"/>
                <w:szCs w:val="24"/>
                <w:lang w:val="es-ES_tradnl"/>
              </w:rPr>
              <w:t>5.D103</w:t>
            </w:r>
            <w:r w:rsidRPr="00161823">
              <w:rPr>
                <w:rFonts w:asciiTheme="majorBidi" w:hAnsiTheme="majorBidi" w:cstheme="majorBidi"/>
                <w:sz w:val="24"/>
                <w:szCs w:val="24"/>
                <w:lang w:val="es-ES_tradnl"/>
              </w:rPr>
              <w:t xml:space="preserve"> </w:t>
            </w:r>
            <w:r w:rsidR="00597A59" w:rsidRPr="00161823">
              <w:rPr>
                <w:rFonts w:asciiTheme="majorBidi" w:hAnsiTheme="majorBidi" w:cstheme="majorBidi"/>
                <w:sz w:val="24"/>
                <w:szCs w:val="24"/>
                <w:lang w:val="es-ES_tradnl"/>
              </w:rPr>
              <w:t xml:space="preserve">(actual </w:t>
            </w:r>
            <w:r w:rsidR="00597A59" w:rsidRPr="00161823">
              <w:rPr>
                <w:rFonts w:asciiTheme="majorBidi" w:hAnsiTheme="majorBidi" w:cstheme="majorBidi"/>
                <w:b/>
                <w:bCs/>
                <w:sz w:val="24"/>
                <w:szCs w:val="24"/>
                <w:lang w:val="es-ES_tradnl"/>
              </w:rPr>
              <w:t>5.433D</w:t>
            </w:r>
            <w:r w:rsidR="00597A59" w:rsidRPr="00161823">
              <w:rPr>
                <w:rFonts w:asciiTheme="majorBidi" w:hAnsiTheme="majorBidi" w:cstheme="majorBidi"/>
                <w:sz w:val="24"/>
                <w:szCs w:val="24"/>
                <w:lang w:val="es-ES_tradnl"/>
              </w:rPr>
              <w:t xml:space="preserve">) </w:t>
            </w:r>
            <w:r w:rsidRPr="00161823">
              <w:rPr>
                <w:rFonts w:asciiTheme="majorBidi" w:hAnsiTheme="majorBidi" w:cstheme="majorBidi"/>
                <w:sz w:val="24"/>
                <w:szCs w:val="24"/>
                <w:lang w:val="es-ES_tradnl"/>
              </w:rPr>
              <w:t xml:space="preserve">y la anulación del número </w:t>
            </w:r>
            <w:r w:rsidRPr="00161823">
              <w:rPr>
                <w:rFonts w:asciiTheme="majorBidi" w:hAnsiTheme="majorBidi" w:cstheme="majorBidi"/>
                <w:b/>
                <w:bCs/>
                <w:sz w:val="24"/>
                <w:szCs w:val="24"/>
                <w:lang w:val="es-ES_tradnl"/>
              </w:rPr>
              <w:t>9.21</w:t>
            </w:r>
            <w:r w:rsidRPr="00161823">
              <w:rPr>
                <w:rFonts w:asciiTheme="majorBidi" w:hAnsiTheme="majorBidi" w:cstheme="majorBidi"/>
                <w:sz w:val="24"/>
                <w:szCs w:val="24"/>
                <w:lang w:val="es-ES_tradnl"/>
              </w:rPr>
              <w:t xml:space="preserve"> en la banda</w:t>
            </w:r>
            <w:r w:rsidR="00597A59" w:rsidRPr="00161823">
              <w:rPr>
                <w:rFonts w:asciiTheme="majorBidi" w:hAnsiTheme="majorBidi" w:cstheme="majorBidi"/>
                <w:sz w:val="24"/>
                <w:szCs w:val="24"/>
                <w:lang w:val="es-ES_tradnl"/>
              </w:rPr>
              <w:t> </w:t>
            </w:r>
            <w:r w:rsidRPr="00161823">
              <w:rPr>
                <w:rFonts w:asciiTheme="majorBidi" w:hAnsiTheme="majorBidi" w:cstheme="majorBidi"/>
                <w:sz w:val="24"/>
                <w:szCs w:val="24"/>
                <w:lang w:val="es-ES_tradnl"/>
              </w:rPr>
              <w:t>5 030-5 091 MHz con respecto al SMA(R)S, se aplicará la siguiente medida transitoria. Los requisitos de coordinación de las redes de satélites, cuya información de coordinación completa se haya recibido antes de la entrada en vigor del número</w:t>
            </w:r>
            <w:r w:rsidR="00597A59" w:rsidRPr="00161823">
              <w:rPr>
                <w:rFonts w:asciiTheme="majorBidi" w:hAnsiTheme="majorBidi" w:cstheme="majorBidi"/>
                <w:sz w:val="24"/>
                <w:szCs w:val="24"/>
                <w:lang w:val="es-ES_tradnl"/>
              </w:rPr>
              <w:t> </w:t>
            </w:r>
            <w:r w:rsidRPr="00161823">
              <w:rPr>
                <w:rFonts w:asciiTheme="majorBidi" w:hAnsiTheme="majorBidi" w:cstheme="majorBidi"/>
                <w:b/>
                <w:bCs/>
                <w:sz w:val="24"/>
                <w:szCs w:val="24"/>
                <w:lang w:val="es-ES_tradnl"/>
              </w:rPr>
              <w:t>5.D103</w:t>
            </w:r>
            <w:r w:rsidRPr="00161823">
              <w:rPr>
                <w:rFonts w:asciiTheme="majorBidi" w:hAnsiTheme="majorBidi" w:cstheme="majorBidi"/>
                <w:sz w:val="24"/>
                <w:szCs w:val="24"/>
                <w:lang w:val="es-ES_tradnl"/>
              </w:rPr>
              <w:t xml:space="preserve">, serán los establecidos en las </w:t>
            </w:r>
            <w:r w:rsidRPr="00161823">
              <w:rPr>
                <w:rFonts w:asciiTheme="majorBidi" w:hAnsiTheme="majorBidi" w:cstheme="majorBidi"/>
                <w:sz w:val="24"/>
                <w:szCs w:val="24"/>
                <w:lang w:val="es-ES_tradnl"/>
              </w:rPr>
              <w:lastRenderedPageBreak/>
              <w:t xml:space="preserve">disposiciones en vigor, incluido el número </w:t>
            </w:r>
            <w:r w:rsidRPr="00161823">
              <w:rPr>
                <w:rFonts w:asciiTheme="majorBidi" w:hAnsiTheme="majorBidi" w:cstheme="majorBidi"/>
                <w:b/>
                <w:bCs/>
                <w:sz w:val="24"/>
                <w:szCs w:val="24"/>
                <w:lang w:val="es-ES_tradnl"/>
              </w:rPr>
              <w:t>9.21</w:t>
            </w:r>
            <w:r w:rsidRPr="00161823">
              <w:rPr>
                <w:rFonts w:asciiTheme="majorBidi" w:hAnsiTheme="majorBidi" w:cstheme="majorBidi"/>
                <w:sz w:val="24"/>
                <w:szCs w:val="24"/>
                <w:lang w:val="es-ES_tradnl"/>
              </w:rPr>
              <w:t xml:space="preserve">. Además, en aplicación del número </w:t>
            </w:r>
            <w:r w:rsidRPr="00161823">
              <w:rPr>
                <w:rFonts w:asciiTheme="majorBidi" w:hAnsiTheme="majorBidi" w:cstheme="majorBidi"/>
                <w:b/>
                <w:bCs/>
                <w:sz w:val="24"/>
                <w:szCs w:val="24"/>
                <w:lang w:val="es-ES_tradnl"/>
              </w:rPr>
              <w:t>11.31</w:t>
            </w:r>
            <w:r w:rsidRPr="00161823">
              <w:rPr>
                <w:rFonts w:asciiTheme="majorBidi" w:hAnsiTheme="majorBidi" w:cstheme="majorBidi"/>
                <w:sz w:val="24"/>
                <w:szCs w:val="24"/>
                <w:lang w:val="es-ES_tradnl"/>
              </w:rPr>
              <w:t xml:space="preserve">, la información de notificación de esas redes de satélites que se reciba después de la fecha de entrada en vigor del número </w:t>
            </w:r>
            <w:r w:rsidRPr="00161823">
              <w:rPr>
                <w:rFonts w:asciiTheme="majorBidi" w:hAnsiTheme="majorBidi" w:cstheme="majorBidi"/>
                <w:b/>
                <w:bCs/>
                <w:sz w:val="24"/>
                <w:szCs w:val="24"/>
                <w:lang w:val="es-ES_tradnl"/>
              </w:rPr>
              <w:t>5.D103</w:t>
            </w:r>
            <w:r w:rsidRPr="00161823">
              <w:rPr>
                <w:rFonts w:asciiTheme="majorBidi" w:hAnsiTheme="majorBidi" w:cstheme="majorBidi"/>
                <w:sz w:val="24"/>
                <w:szCs w:val="24"/>
                <w:lang w:val="es-ES_tradnl"/>
              </w:rPr>
              <w:t xml:space="preserve"> seguirá tramitándose de conformidad con el número </w:t>
            </w:r>
            <w:r w:rsidRPr="00161823">
              <w:rPr>
                <w:rFonts w:asciiTheme="majorBidi" w:hAnsiTheme="majorBidi" w:cstheme="majorBidi"/>
                <w:b/>
                <w:bCs/>
                <w:sz w:val="24"/>
                <w:szCs w:val="24"/>
                <w:lang w:val="es-ES_tradnl"/>
              </w:rPr>
              <w:t>9.21</w:t>
            </w:r>
            <w:r w:rsidRPr="00161823">
              <w:rPr>
                <w:rFonts w:asciiTheme="majorBidi" w:hAnsiTheme="majorBidi" w:cstheme="majorBidi"/>
                <w:sz w:val="24"/>
                <w:szCs w:val="24"/>
                <w:lang w:val="es-ES_tradnl"/>
              </w:rPr>
              <w:t xml:space="preserve">, y no se será de aplicación el número </w:t>
            </w:r>
            <w:r w:rsidRPr="00161823">
              <w:rPr>
                <w:rFonts w:asciiTheme="majorBidi" w:hAnsiTheme="majorBidi" w:cstheme="majorBidi"/>
                <w:b/>
                <w:bCs/>
                <w:sz w:val="24"/>
                <w:szCs w:val="24"/>
                <w:lang w:val="es-ES_tradnl"/>
              </w:rPr>
              <w:t>9.11A</w:t>
            </w:r>
            <w:r w:rsidRPr="00161823">
              <w:rPr>
                <w:rFonts w:asciiTheme="majorBidi" w:hAnsiTheme="majorBidi" w:cstheme="majorBidi"/>
                <w:sz w:val="24"/>
                <w:szCs w:val="24"/>
                <w:lang w:val="es-ES_tradnl"/>
              </w:rPr>
              <w:t xml:space="preserve"> de conformidad con el número </w:t>
            </w:r>
            <w:r w:rsidRPr="00161823">
              <w:rPr>
                <w:rFonts w:asciiTheme="majorBidi" w:hAnsiTheme="majorBidi" w:cstheme="majorBidi"/>
                <w:b/>
                <w:bCs/>
                <w:sz w:val="24"/>
                <w:szCs w:val="24"/>
                <w:lang w:val="es-ES_tradnl"/>
              </w:rPr>
              <w:t>11.32</w:t>
            </w:r>
            <w:r w:rsidRPr="00161823">
              <w:rPr>
                <w:rFonts w:asciiTheme="majorBidi" w:hAnsiTheme="majorBidi" w:cstheme="majorBidi"/>
                <w:sz w:val="24"/>
                <w:szCs w:val="24"/>
                <w:lang w:val="es-ES_tradnl"/>
              </w:rPr>
              <w:t>.</w:t>
            </w:r>
          </w:p>
        </w:tc>
        <w:tc>
          <w:tcPr>
            <w:tcW w:w="620" w:type="pct"/>
          </w:tcPr>
          <w:p w:rsidR="003D5378" w:rsidRPr="00161823" w:rsidRDefault="003D5378" w:rsidP="00161823">
            <w:pPr>
              <w:pStyle w:val="Tabletext"/>
              <w:jc w:val="both"/>
              <w:rPr>
                <w:rFonts w:asciiTheme="majorBidi" w:hAnsiTheme="majorBidi" w:cstheme="majorBidi"/>
                <w:sz w:val="24"/>
                <w:szCs w:val="24"/>
                <w:lang w:val="es-ES_tradnl"/>
              </w:rPr>
            </w:pPr>
            <w:r w:rsidRPr="00161823">
              <w:rPr>
                <w:rFonts w:asciiTheme="majorBidi" w:hAnsiTheme="majorBidi" w:cstheme="majorBidi"/>
                <w:sz w:val="24"/>
                <w:szCs w:val="24"/>
                <w:lang w:val="es-ES_tradnl"/>
              </w:rPr>
              <w:lastRenderedPageBreak/>
              <w:t>Hay 18 redes sujetas a estas disposiciones de transición</w:t>
            </w:r>
          </w:p>
        </w:tc>
      </w:tr>
      <w:tr w:rsidR="003D5378" w:rsidRPr="00161823" w:rsidTr="00591308">
        <w:trPr>
          <w:cantSplit/>
        </w:trPr>
        <w:tc>
          <w:tcPr>
            <w:tcW w:w="14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lastRenderedPageBreak/>
              <w:t>30</w:t>
            </w:r>
          </w:p>
        </w:tc>
        <w:tc>
          <w:tcPr>
            <w:tcW w:w="38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CMR-12</w:t>
            </w:r>
          </w:p>
        </w:tc>
        <w:tc>
          <w:tcPr>
            <w:tcW w:w="444" w:type="pct"/>
          </w:tcPr>
          <w:p w:rsidR="003D5378" w:rsidRPr="00161823" w:rsidRDefault="003D5378" w:rsidP="00591308">
            <w:pPr>
              <w:pStyle w:val="Tabletext"/>
              <w:rPr>
                <w:rFonts w:asciiTheme="majorBidi" w:hAnsiTheme="majorBidi" w:cstheme="majorBidi"/>
                <w:sz w:val="24"/>
                <w:szCs w:val="24"/>
              </w:rPr>
            </w:pPr>
            <w:r w:rsidRPr="00161823">
              <w:rPr>
                <w:rFonts w:asciiTheme="majorBidi" w:hAnsiTheme="majorBidi" w:cstheme="majorBidi"/>
                <w:sz w:val="24"/>
                <w:szCs w:val="24"/>
              </w:rPr>
              <w:t xml:space="preserve">9ª Plenaria </w:t>
            </w:r>
            <w:hyperlink r:id="rId20" w:history="1">
              <w:r w:rsidRPr="00161823">
                <w:rPr>
                  <w:rStyle w:val="Hyperlink"/>
                  <w:rFonts w:asciiTheme="majorBidi" w:hAnsiTheme="majorBidi" w:cstheme="majorBidi"/>
                  <w:sz w:val="24"/>
                  <w:szCs w:val="24"/>
                </w:rPr>
                <w:t>Doc 550</w:t>
              </w:r>
            </w:hyperlink>
          </w:p>
        </w:tc>
        <w:tc>
          <w:tcPr>
            <w:tcW w:w="3404" w:type="pct"/>
          </w:tcPr>
          <w:p w:rsidR="003D5378" w:rsidRPr="00161823" w:rsidRDefault="003D5378" w:rsidP="00161823">
            <w:pPr>
              <w:pStyle w:val="Tabletext"/>
              <w:jc w:val="both"/>
              <w:rPr>
                <w:rFonts w:asciiTheme="majorBidi" w:hAnsiTheme="majorBidi" w:cstheme="majorBidi"/>
                <w:sz w:val="24"/>
                <w:szCs w:val="24"/>
                <w:lang w:val="es-ES_tradnl"/>
              </w:rPr>
            </w:pPr>
            <w:r w:rsidRPr="00161823">
              <w:rPr>
                <w:rFonts w:asciiTheme="majorBidi" w:hAnsiTheme="majorBidi" w:cstheme="majorBidi"/>
                <w:sz w:val="24"/>
                <w:szCs w:val="24"/>
                <w:lang w:val="es-ES_tradnl"/>
              </w:rPr>
              <w:t xml:space="preserve">Al adoptar las modificaciones de los números </w:t>
            </w:r>
            <w:r w:rsidRPr="00161823">
              <w:rPr>
                <w:rFonts w:asciiTheme="majorBidi" w:hAnsiTheme="majorBidi" w:cstheme="majorBidi"/>
                <w:b/>
                <w:bCs/>
                <w:sz w:val="24"/>
                <w:szCs w:val="24"/>
                <w:lang w:val="es-ES_tradnl"/>
              </w:rPr>
              <w:t xml:space="preserve">11.41 </w:t>
            </w:r>
            <w:r w:rsidRPr="00161823">
              <w:rPr>
                <w:rFonts w:asciiTheme="majorBidi" w:hAnsiTheme="majorBidi" w:cstheme="majorBidi"/>
                <w:sz w:val="24"/>
                <w:szCs w:val="24"/>
                <w:lang w:val="es-ES_tradnl"/>
              </w:rPr>
              <w:t xml:space="preserve">y </w:t>
            </w:r>
            <w:r w:rsidRPr="00161823">
              <w:rPr>
                <w:rFonts w:asciiTheme="majorBidi" w:hAnsiTheme="majorBidi" w:cstheme="majorBidi"/>
                <w:b/>
                <w:bCs/>
                <w:sz w:val="24"/>
                <w:szCs w:val="24"/>
                <w:lang w:val="es-ES_tradnl"/>
              </w:rPr>
              <w:t>11.42</w:t>
            </w:r>
            <w:r w:rsidRPr="00161823">
              <w:rPr>
                <w:rFonts w:asciiTheme="majorBidi" w:hAnsiTheme="majorBidi" w:cstheme="majorBidi"/>
                <w:sz w:val="24"/>
                <w:szCs w:val="24"/>
                <w:lang w:val="es-ES_tradnl"/>
              </w:rPr>
              <w:t xml:space="preserve">, así como la adición del número </w:t>
            </w:r>
            <w:r w:rsidRPr="00161823">
              <w:rPr>
                <w:rFonts w:asciiTheme="majorBidi" w:hAnsiTheme="majorBidi" w:cstheme="majorBidi"/>
                <w:b/>
                <w:bCs/>
                <w:sz w:val="24"/>
                <w:szCs w:val="24"/>
                <w:lang w:val="es-ES_tradnl"/>
              </w:rPr>
              <w:t>11.42</w:t>
            </w:r>
            <w:r w:rsidR="00597A59" w:rsidRPr="00161823">
              <w:rPr>
                <w:rFonts w:asciiTheme="majorBidi" w:hAnsiTheme="majorBidi" w:cstheme="majorBidi"/>
                <w:b/>
                <w:bCs/>
                <w:sz w:val="24"/>
                <w:szCs w:val="24"/>
                <w:lang w:val="es-ES_tradnl"/>
              </w:rPr>
              <w:t>A</w:t>
            </w:r>
            <w:r w:rsidRPr="00161823">
              <w:rPr>
                <w:rFonts w:asciiTheme="majorBidi" w:hAnsiTheme="majorBidi" w:cstheme="majorBidi"/>
                <w:sz w:val="24"/>
                <w:szCs w:val="24"/>
                <w:lang w:val="es-ES_tradnl"/>
              </w:rPr>
              <w:t xml:space="preserve">, la CMR-12 reconoce que, al aplicar el número </w:t>
            </w:r>
            <w:r w:rsidRPr="00161823">
              <w:rPr>
                <w:rFonts w:asciiTheme="majorBidi" w:hAnsiTheme="majorBidi" w:cstheme="majorBidi"/>
                <w:b/>
                <w:bCs/>
                <w:sz w:val="24"/>
                <w:szCs w:val="24"/>
                <w:lang w:val="es-ES_tradnl"/>
              </w:rPr>
              <w:t>11.41</w:t>
            </w:r>
            <w:r w:rsidRPr="00161823">
              <w:rPr>
                <w:rFonts w:asciiTheme="majorBidi" w:hAnsiTheme="majorBidi" w:cstheme="majorBidi"/>
                <w:sz w:val="24"/>
                <w:szCs w:val="24"/>
                <w:lang w:val="es-ES_tradnl"/>
              </w:rPr>
              <w:t xml:space="preserve"> para inscribir una asignación en el MIFR con arreglo a esta disposición, la administración notificante se compromete a cumplir lo estipulado en el número </w:t>
            </w:r>
            <w:r w:rsidRPr="00161823">
              <w:rPr>
                <w:rFonts w:asciiTheme="majorBidi" w:hAnsiTheme="majorBidi" w:cstheme="majorBidi"/>
                <w:b/>
                <w:bCs/>
                <w:sz w:val="24"/>
                <w:szCs w:val="24"/>
                <w:lang w:val="es-ES_tradnl"/>
              </w:rPr>
              <w:t>11.42</w:t>
            </w:r>
            <w:r w:rsidRPr="00161823">
              <w:rPr>
                <w:rFonts w:asciiTheme="majorBidi" w:hAnsiTheme="majorBidi" w:cstheme="majorBidi"/>
                <w:sz w:val="24"/>
                <w:szCs w:val="24"/>
                <w:lang w:val="es-ES_tradnl"/>
              </w:rPr>
              <w:t>, en su forma enmendada por la presente Conferencia, en lo que respecta a las asignaciones de frecuencias a servicios espaciales y terrenales atribuidos en la misma banda de frecuencias con igualdad de derechos.</w:t>
            </w:r>
          </w:p>
        </w:tc>
        <w:tc>
          <w:tcPr>
            <w:tcW w:w="620" w:type="pct"/>
          </w:tcPr>
          <w:p w:rsidR="003D5378" w:rsidRPr="00161823" w:rsidRDefault="003D5378" w:rsidP="00591308">
            <w:pPr>
              <w:pStyle w:val="Tabletext"/>
              <w:rPr>
                <w:rFonts w:asciiTheme="majorBidi" w:hAnsiTheme="majorBidi" w:cstheme="majorBidi"/>
                <w:sz w:val="24"/>
                <w:szCs w:val="24"/>
                <w:lang w:val="es-ES_tradnl"/>
              </w:rPr>
            </w:pPr>
          </w:p>
        </w:tc>
      </w:tr>
      <w:tr w:rsidR="003D5378" w:rsidRPr="00161823" w:rsidTr="00591308">
        <w:trPr>
          <w:cantSplit/>
        </w:trPr>
        <w:tc>
          <w:tcPr>
            <w:tcW w:w="14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34</w:t>
            </w:r>
          </w:p>
        </w:tc>
        <w:tc>
          <w:tcPr>
            <w:tcW w:w="38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CMR-12</w:t>
            </w:r>
          </w:p>
        </w:tc>
        <w:tc>
          <w:tcPr>
            <w:tcW w:w="444" w:type="pct"/>
          </w:tcPr>
          <w:p w:rsidR="003D5378" w:rsidRPr="00161823" w:rsidRDefault="003D5378" w:rsidP="00591308">
            <w:pPr>
              <w:pStyle w:val="Tabletext"/>
              <w:rPr>
                <w:rFonts w:asciiTheme="majorBidi" w:hAnsiTheme="majorBidi" w:cstheme="majorBidi"/>
                <w:sz w:val="24"/>
                <w:szCs w:val="24"/>
              </w:rPr>
            </w:pPr>
            <w:r w:rsidRPr="00161823">
              <w:rPr>
                <w:rFonts w:asciiTheme="majorBidi" w:hAnsiTheme="majorBidi" w:cstheme="majorBidi"/>
                <w:sz w:val="24"/>
                <w:szCs w:val="24"/>
              </w:rPr>
              <w:t xml:space="preserve">13ª Plenaria </w:t>
            </w:r>
            <w:hyperlink r:id="rId21" w:history="1">
              <w:r w:rsidRPr="00161823">
                <w:rPr>
                  <w:rStyle w:val="Hyperlink"/>
                  <w:rFonts w:asciiTheme="majorBidi" w:hAnsiTheme="majorBidi" w:cstheme="majorBidi"/>
                  <w:sz w:val="24"/>
                  <w:szCs w:val="24"/>
                </w:rPr>
                <w:t>Doc 554</w:t>
              </w:r>
            </w:hyperlink>
          </w:p>
        </w:tc>
        <w:tc>
          <w:tcPr>
            <w:tcW w:w="3404" w:type="pct"/>
          </w:tcPr>
          <w:p w:rsidR="003D5378" w:rsidRPr="00161823" w:rsidRDefault="00597A59" w:rsidP="00161823">
            <w:pPr>
              <w:pStyle w:val="Tabletext"/>
              <w:jc w:val="both"/>
              <w:rPr>
                <w:rFonts w:asciiTheme="majorBidi" w:hAnsiTheme="majorBidi" w:cstheme="majorBidi"/>
                <w:sz w:val="24"/>
                <w:szCs w:val="24"/>
                <w:lang w:val="es-ES_tradnl"/>
              </w:rPr>
            </w:pPr>
            <w:r w:rsidRPr="00161823">
              <w:rPr>
                <w:rFonts w:asciiTheme="majorBidi" w:hAnsiTheme="majorBidi" w:cstheme="majorBidi"/>
                <w:sz w:val="24"/>
                <w:szCs w:val="24"/>
                <w:lang w:val="es-ES_tradnl"/>
              </w:rPr>
              <w:t>U</w:t>
            </w:r>
            <w:r w:rsidR="003D5378" w:rsidRPr="00161823">
              <w:rPr>
                <w:rFonts w:asciiTheme="majorBidi" w:hAnsiTheme="majorBidi" w:cstheme="majorBidi"/>
                <w:sz w:val="24"/>
                <w:szCs w:val="24"/>
                <w:lang w:val="es-ES_tradnl"/>
              </w:rPr>
              <w:t>na administración puede poner en servicio, o continuar utilizando, asignaciones de frecuencia</w:t>
            </w:r>
            <w:r w:rsidRPr="00161823">
              <w:rPr>
                <w:rFonts w:asciiTheme="majorBidi" w:hAnsiTheme="majorBidi" w:cstheme="majorBidi"/>
                <w:sz w:val="24"/>
                <w:szCs w:val="24"/>
                <w:lang w:val="es-ES_tradnl"/>
              </w:rPr>
              <w:t>s</w:t>
            </w:r>
            <w:r w:rsidR="003D5378" w:rsidRPr="00161823">
              <w:rPr>
                <w:rFonts w:asciiTheme="majorBidi" w:hAnsiTheme="majorBidi" w:cstheme="majorBidi"/>
                <w:sz w:val="24"/>
                <w:szCs w:val="24"/>
                <w:lang w:val="es-ES_tradnl"/>
              </w:rPr>
              <w:t xml:space="preserve"> para una de sus redes de satélites utilizando una estación esp</w:t>
            </w:r>
            <w:r w:rsidRPr="00161823">
              <w:rPr>
                <w:rFonts w:asciiTheme="majorBidi" w:hAnsiTheme="majorBidi" w:cstheme="majorBidi"/>
                <w:sz w:val="24"/>
                <w:szCs w:val="24"/>
                <w:lang w:val="es-ES_tradnl"/>
              </w:rPr>
              <w:t>a</w:t>
            </w:r>
            <w:r w:rsidR="003D5378" w:rsidRPr="00161823">
              <w:rPr>
                <w:rFonts w:asciiTheme="majorBidi" w:hAnsiTheme="majorBidi" w:cstheme="majorBidi"/>
                <w:sz w:val="24"/>
                <w:szCs w:val="24"/>
                <w:lang w:val="es-ES_tradnl"/>
              </w:rPr>
              <w:t xml:space="preserve">cial que está bajo la responsabilidad de otra administración </w:t>
            </w:r>
            <w:r w:rsidRPr="00161823">
              <w:rPr>
                <w:rFonts w:asciiTheme="majorBidi" w:hAnsiTheme="majorBidi" w:cstheme="majorBidi"/>
                <w:sz w:val="24"/>
                <w:szCs w:val="24"/>
                <w:lang w:val="es-ES_tradnl"/>
              </w:rPr>
              <w:t>u</w:t>
            </w:r>
            <w:r w:rsidR="003D5378" w:rsidRPr="00161823">
              <w:rPr>
                <w:rFonts w:asciiTheme="majorBidi" w:hAnsiTheme="majorBidi" w:cstheme="majorBidi"/>
                <w:sz w:val="24"/>
                <w:szCs w:val="24"/>
                <w:lang w:val="es-ES_tradnl"/>
              </w:rPr>
              <w:t xml:space="preserve"> organización intergubernamental, siempre que ésta, tras haber sido informada, no se oponga en el plazo de 90 días a partir de la fecha de presentación de la información al uso de esta estación espacial a tal efecto. Este acuerdo no se aplicará con carácter retroactivo y se refiere a asignaciones puestas en servicio una vez finalizada la CMR-12.</w:t>
            </w:r>
          </w:p>
        </w:tc>
        <w:tc>
          <w:tcPr>
            <w:tcW w:w="620" w:type="pct"/>
          </w:tcPr>
          <w:p w:rsidR="003D5378" w:rsidRPr="00161823" w:rsidRDefault="003D5378" w:rsidP="00591308">
            <w:pPr>
              <w:pStyle w:val="Tabletext"/>
              <w:rPr>
                <w:rFonts w:asciiTheme="majorBidi" w:hAnsiTheme="majorBidi" w:cstheme="majorBidi"/>
                <w:sz w:val="24"/>
                <w:szCs w:val="24"/>
                <w:lang w:val="es-ES_tradnl"/>
              </w:rPr>
            </w:pPr>
          </w:p>
        </w:tc>
      </w:tr>
      <w:tr w:rsidR="003D5378" w:rsidRPr="00161823" w:rsidTr="00591308">
        <w:trPr>
          <w:cantSplit/>
        </w:trPr>
        <w:tc>
          <w:tcPr>
            <w:tcW w:w="14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36</w:t>
            </w:r>
          </w:p>
        </w:tc>
        <w:tc>
          <w:tcPr>
            <w:tcW w:w="386" w:type="pct"/>
          </w:tcPr>
          <w:p w:rsidR="003D5378" w:rsidRPr="00161823" w:rsidRDefault="003D5378" w:rsidP="00591308">
            <w:pPr>
              <w:pStyle w:val="Tabletext"/>
              <w:rPr>
                <w:rFonts w:asciiTheme="majorBidi" w:hAnsiTheme="majorBidi" w:cstheme="majorBidi"/>
                <w:sz w:val="24"/>
                <w:szCs w:val="24"/>
                <w:lang w:val="es-ES_tradnl"/>
              </w:rPr>
            </w:pPr>
            <w:r w:rsidRPr="00161823">
              <w:rPr>
                <w:rFonts w:asciiTheme="majorBidi" w:hAnsiTheme="majorBidi" w:cstheme="majorBidi"/>
                <w:sz w:val="24"/>
                <w:szCs w:val="24"/>
                <w:lang w:val="es-ES_tradnl"/>
              </w:rPr>
              <w:t>CMR-12</w:t>
            </w:r>
          </w:p>
        </w:tc>
        <w:tc>
          <w:tcPr>
            <w:tcW w:w="444" w:type="pct"/>
          </w:tcPr>
          <w:p w:rsidR="003D5378" w:rsidRPr="00161823" w:rsidRDefault="003D5378" w:rsidP="00591308">
            <w:pPr>
              <w:pStyle w:val="Tabletext"/>
              <w:rPr>
                <w:rFonts w:asciiTheme="majorBidi" w:hAnsiTheme="majorBidi" w:cstheme="majorBidi"/>
                <w:sz w:val="24"/>
                <w:szCs w:val="24"/>
              </w:rPr>
            </w:pPr>
            <w:r w:rsidRPr="00161823">
              <w:rPr>
                <w:rFonts w:asciiTheme="majorBidi" w:hAnsiTheme="majorBidi" w:cstheme="majorBidi"/>
                <w:sz w:val="24"/>
                <w:szCs w:val="24"/>
              </w:rPr>
              <w:t xml:space="preserve">13ª Plenaria </w:t>
            </w:r>
            <w:hyperlink r:id="rId22" w:history="1">
              <w:r w:rsidRPr="00161823">
                <w:rPr>
                  <w:rStyle w:val="Hyperlink"/>
                  <w:rFonts w:asciiTheme="majorBidi" w:hAnsiTheme="majorBidi" w:cstheme="majorBidi"/>
                  <w:sz w:val="24"/>
                  <w:szCs w:val="24"/>
                </w:rPr>
                <w:t>Doc 554</w:t>
              </w:r>
            </w:hyperlink>
          </w:p>
        </w:tc>
        <w:tc>
          <w:tcPr>
            <w:tcW w:w="3404" w:type="pct"/>
          </w:tcPr>
          <w:p w:rsidR="003D5378" w:rsidRPr="00161823" w:rsidRDefault="003D5378" w:rsidP="00161823">
            <w:pPr>
              <w:pStyle w:val="Tabletext"/>
              <w:jc w:val="both"/>
              <w:rPr>
                <w:rFonts w:asciiTheme="majorBidi" w:hAnsiTheme="majorBidi" w:cstheme="majorBidi"/>
                <w:sz w:val="24"/>
                <w:szCs w:val="24"/>
                <w:lang w:val="es-ES_tradnl"/>
              </w:rPr>
            </w:pPr>
            <w:r w:rsidRPr="00161823">
              <w:rPr>
                <w:rFonts w:asciiTheme="majorBidi" w:hAnsiTheme="majorBidi" w:cstheme="majorBidi"/>
                <w:sz w:val="24"/>
                <w:szCs w:val="24"/>
                <w:lang w:val="es-ES_tradnl"/>
              </w:rPr>
              <w:t xml:space="preserve">La Oficina, al aplicar el número </w:t>
            </w:r>
            <w:r w:rsidRPr="00161823">
              <w:rPr>
                <w:rFonts w:asciiTheme="majorBidi" w:hAnsiTheme="majorBidi" w:cstheme="majorBidi"/>
                <w:b/>
                <w:bCs/>
                <w:sz w:val="24"/>
                <w:szCs w:val="24"/>
                <w:lang w:val="es-ES_tradnl"/>
              </w:rPr>
              <w:t>13.6</w:t>
            </w:r>
            <w:r w:rsidRPr="00161823">
              <w:rPr>
                <w:rFonts w:asciiTheme="majorBidi" w:hAnsiTheme="majorBidi" w:cstheme="majorBidi"/>
                <w:sz w:val="24"/>
                <w:szCs w:val="24"/>
                <w:lang w:val="es-ES_tradnl"/>
              </w:rPr>
              <w:t>, pid</w:t>
            </w:r>
            <w:r w:rsidR="00597A59" w:rsidRPr="00161823">
              <w:rPr>
                <w:rFonts w:asciiTheme="majorBidi" w:hAnsiTheme="majorBidi" w:cstheme="majorBidi"/>
                <w:sz w:val="24"/>
                <w:szCs w:val="24"/>
                <w:lang w:val="es-ES_tradnl"/>
              </w:rPr>
              <w:t>e</w:t>
            </w:r>
            <w:r w:rsidRPr="00161823">
              <w:rPr>
                <w:rFonts w:asciiTheme="majorBidi" w:hAnsiTheme="majorBidi" w:cstheme="majorBidi"/>
                <w:sz w:val="24"/>
                <w:szCs w:val="24"/>
                <w:lang w:val="es-ES_tradnl"/>
              </w:rPr>
              <w:t xml:space="preserve"> a las administraciones que faciliten información acerca de las características y la utilización de las redes de satélites. En respuesta, las administraciones tienen que proporcionar a la BR información sobre la utilización real de las características notificadas de las redes de satélites comerciales.</w:t>
            </w:r>
          </w:p>
        </w:tc>
        <w:tc>
          <w:tcPr>
            <w:tcW w:w="620" w:type="pct"/>
          </w:tcPr>
          <w:p w:rsidR="003D5378" w:rsidRPr="00161823" w:rsidRDefault="003D5378" w:rsidP="00591308">
            <w:pPr>
              <w:pStyle w:val="Tabletext"/>
              <w:rPr>
                <w:rFonts w:asciiTheme="majorBidi" w:hAnsiTheme="majorBidi" w:cstheme="majorBidi"/>
                <w:sz w:val="24"/>
                <w:szCs w:val="24"/>
                <w:lang w:val="es-ES_tradnl"/>
              </w:rPr>
            </w:pPr>
          </w:p>
        </w:tc>
      </w:tr>
    </w:tbl>
    <w:p w:rsidR="003D5378" w:rsidRPr="00161823" w:rsidRDefault="003D5378" w:rsidP="003D5378">
      <w:pPr>
        <w:rPr>
          <w:rFonts w:asciiTheme="majorBidi" w:hAnsiTheme="majorBidi" w:cstheme="majorBidi"/>
          <w:szCs w:val="24"/>
          <w:lang w:val="es-ES_tradnl"/>
        </w:rPr>
      </w:pPr>
    </w:p>
    <w:p w:rsidR="003D5378" w:rsidRPr="00591308" w:rsidRDefault="003D5378" w:rsidP="003D5378">
      <w:pPr>
        <w:jc w:val="center"/>
        <w:rPr>
          <w:rFonts w:asciiTheme="majorBidi" w:hAnsiTheme="majorBidi" w:cstheme="majorBidi"/>
          <w:szCs w:val="24"/>
          <w:lang w:val="es-ES_tradnl"/>
        </w:rPr>
      </w:pPr>
      <w:r w:rsidRPr="00591308">
        <w:rPr>
          <w:rFonts w:asciiTheme="majorBidi" w:hAnsiTheme="majorBidi" w:cstheme="majorBidi"/>
          <w:szCs w:val="24"/>
          <w:lang w:val="es-ES_tradnl"/>
        </w:rPr>
        <w:t>________________</w:t>
      </w:r>
    </w:p>
    <w:sectPr w:rsidR="003D5378" w:rsidRPr="00591308" w:rsidSect="003D5378">
      <w:headerReference w:type="first" r:id="rId23"/>
      <w:footerReference w:type="first" r:id="rId24"/>
      <w:pgSz w:w="16834" w:h="11907" w:orient="landscape" w:code="9"/>
      <w:pgMar w:top="1134" w:right="1134" w:bottom="1134" w:left="993"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378" w:rsidRDefault="003D5378">
      <w:r>
        <w:separator/>
      </w:r>
    </w:p>
  </w:endnote>
  <w:endnote w:type="continuationSeparator" w:id="0">
    <w:p w:rsidR="003D5378" w:rsidRDefault="003D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FE" w:rsidRPr="00836C8A" w:rsidRDefault="00A80EFE" w:rsidP="00805A02">
    <w:pPr>
      <w:pStyle w:val="FirstFooter"/>
      <w:spacing w:line="240" w:lineRule="auto"/>
      <w:ind w:left="-397" w:right="-397"/>
      <w:jc w:val="center"/>
      <w:rPr>
        <w:color w:val="3E8EDE"/>
        <w:sz w:val="18"/>
        <w:szCs w:val="18"/>
        <w:lang w:val="es-ES_tradnl"/>
      </w:rPr>
    </w:pPr>
    <w:r w:rsidRPr="00836C8A">
      <w:rPr>
        <w:color w:val="3E8EDE"/>
        <w:sz w:val="18"/>
        <w:szCs w:val="18"/>
        <w:lang w:val="es-ES_tradnl"/>
      </w:rPr>
      <w:t>Unión Internacional de Telecomunicaciones • Place des Nations • CH</w:t>
    </w:r>
    <w:r w:rsidRPr="00836C8A">
      <w:rPr>
        <w:color w:val="3E8EDE"/>
        <w:sz w:val="18"/>
        <w:szCs w:val="18"/>
        <w:lang w:val="es-ES_tradnl"/>
      </w:rPr>
      <w:noBreakHyphen/>
      <w:t>1211 Ginebra 20 • Suiza</w:t>
    </w:r>
    <w:r w:rsidRPr="00836C8A">
      <w:rPr>
        <w:color w:val="3E8EDE"/>
        <w:sz w:val="18"/>
        <w:szCs w:val="18"/>
        <w:lang w:val="es-ES_tradnl"/>
      </w:rPr>
      <w:br/>
      <w:t>Tel</w:t>
    </w:r>
    <w:r w:rsidR="00597A59">
      <w:rPr>
        <w:color w:val="3E8EDE"/>
        <w:sz w:val="18"/>
        <w:szCs w:val="18"/>
        <w:lang w:val="es-ES_tradnl"/>
      </w:rPr>
      <w:t>.</w:t>
    </w:r>
    <w:r w:rsidRPr="00836C8A">
      <w:rPr>
        <w:color w:val="3E8EDE"/>
        <w:sz w:val="18"/>
        <w:szCs w:val="18"/>
        <w:lang w:val="es-ES_tradnl"/>
      </w:rPr>
      <w:t xml:space="preserve">: +41 22 730 5111 • Fax: +41 22 733 7256 • </w:t>
    </w:r>
    <w:r>
      <w:rPr>
        <w:color w:val="3E8EDE"/>
        <w:sz w:val="18"/>
        <w:szCs w:val="18"/>
        <w:lang w:val="es-ES_tradnl"/>
      </w:rPr>
      <w:br/>
    </w:r>
    <w:r w:rsidRPr="00836C8A">
      <w:rPr>
        <w:color w:val="3E8EDE"/>
        <w:sz w:val="18"/>
        <w:szCs w:val="18"/>
        <w:lang w:val="es-ES_tradnl"/>
      </w:rPr>
      <w:t xml:space="preserve">Correo-e: </w:t>
    </w:r>
    <w:hyperlink r:id="rId1" w:history="1">
      <w:r w:rsidRPr="00836C8A">
        <w:rPr>
          <w:color w:val="3E8EDE"/>
          <w:sz w:val="18"/>
          <w:szCs w:val="18"/>
          <w:lang w:val="es-ES_tradnl"/>
        </w:rPr>
        <w:t>itumail@itu.int</w:t>
      </w:r>
    </w:hyperlink>
    <w:r w:rsidRPr="00836C8A">
      <w:rPr>
        <w:color w:val="3E8EDE"/>
        <w:sz w:val="18"/>
        <w:szCs w:val="18"/>
        <w:lang w:val="es-ES_tradnl"/>
      </w:rPr>
      <w:t xml:space="preserve"> • </w:t>
    </w:r>
    <w:hyperlink r:id="rId2" w:history="1">
      <w:r w:rsidRPr="00836C8A">
        <w:rPr>
          <w:color w:val="3E8EDE"/>
          <w:sz w:val="18"/>
          <w:szCs w:val="18"/>
          <w:lang w:val="es-ES_tradnl"/>
        </w:rPr>
        <w:t>www.itu.int</w:t>
      </w:r>
    </w:hyperlink>
    <w:r w:rsidRPr="00836C8A">
      <w:rPr>
        <w:color w:val="3E8EDE"/>
        <w:sz w:val="18"/>
        <w:szCs w:val="18"/>
        <w:lang w:val="es-ES_tradnl"/>
      </w:rPr>
      <w:t xml:space="preserve"> • </w:t>
    </w:r>
    <w:hyperlink r:id="rId3" w:history="1">
      <w:r w:rsidR="00805A02" w:rsidRPr="00D97EF5">
        <w:rPr>
          <w:color w:val="3E8EDE"/>
          <w:sz w:val="18"/>
          <w:lang w:val="es-ES"/>
        </w:rPr>
        <w:t>www.itu150.org</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378" w:rsidRPr="00161823" w:rsidRDefault="003D5378" w:rsidP="00161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378" w:rsidRDefault="003D5378">
      <w:r>
        <w:t>____________________</w:t>
      </w:r>
    </w:p>
  </w:footnote>
  <w:footnote w:type="continuationSeparator" w:id="0">
    <w:p w:rsidR="003D5378" w:rsidRDefault="003D5378">
      <w:r>
        <w:continuationSeparator/>
      </w:r>
    </w:p>
  </w:footnote>
  <w:footnote w:id="1">
    <w:p w:rsidR="003D5378" w:rsidRPr="003D5378" w:rsidRDefault="003D5378" w:rsidP="003D5378">
      <w:pPr>
        <w:pStyle w:val="FootnoteText"/>
        <w:rPr>
          <w:lang w:val="es-ES_tradnl"/>
        </w:rPr>
      </w:pPr>
      <w:r>
        <w:rPr>
          <w:rStyle w:val="FootnoteReference"/>
        </w:rPr>
        <w:footnoteRef/>
      </w:r>
      <w:r>
        <w:tab/>
      </w:r>
      <w:hyperlink r:id="rId1" w:history="1">
        <w:r w:rsidRPr="003D24F2">
          <w:rPr>
            <w:rStyle w:val="Hyperlink"/>
          </w:rPr>
          <w:t>http://goo.gl/LCpvqH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850BFB">
      <w:rPr>
        <w:rStyle w:val="PageNumber"/>
        <w:noProof/>
        <w:sz w:val="18"/>
        <w:szCs w:val="16"/>
      </w:rPr>
      <w:t>2</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7100BA" w:rsidRDefault="007100BA" w:rsidP="007100BA">
    <w:pPr>
      <w:pStyle w:val="Header"/>
      <w:jc w:val="center"/>
      <w:rPr>
        <w:iCs/>
        <w:sz w:val="18"/>
        <w:szCs w:val="18"/>
      </w:rPr>
    </w:pPr>
    <w:r>
      <w:rPr>
        <w:iCs/>
        <w:sz w:val="18"/>
        <w:szCs w:val="18"/>
      </w:rPr>
      <w:t>-</w:t>
    </w:r>
    <w:r w:rsidRPr="009F725C">
      <w:rPr>
        <w:iCs/>
        <w:sz w:val="18"/>
        <w:szCs w:val="18"/>
      </w:rPr>
      <w:fldChar w:fldCharType="begin"/>
    </w:r>
    <w:r w:rsidRPr="009F725C">
      <w:rPr>
        <w:iCs/>
        <w:sz w:val="18"/>
        <w:szCs w:val="18"/>
      </w:rPr>
      <w:instrText xml:space="preserve"> PAGE  \* MERGEFORMAT </w:instrText>
    </w:r>
    <w:r w:rsidRPr="009F725C">
      <w:rPr>
        <w:iCs/>
        <w:sz w:val="18"/>
        <w:szCs w:val="18"/>
      </w:rPr>
      <w:fldChar w:fldCharType="separate"/>
    </w:r>
    <w:r w:rsidR="00850BFB">
      <w:rPr>
        <w:iCs/>
        <w:noProof/>
        <w:sz w:val="18"/>
        <w:szCs w:val="18"/>
      </w:rPr>
      <w:t>3</w:t>
    </w:r>
    <w:r w:rsidRPr="009F725C">
      <w:rPr>
        <w:iCs/>
        <w:sz w:val="18"/>
        <w:szCs w:val="18"/>
      </w:rPr>
      <w:fldChar w:fldCharType="end"/>
    </w:r>
    <w:r>
      <w:rPr>
        <w:i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9E4595" w:rsidTr="00306452">
      <w:trPr>
        <w:jc w:val="center"/>
      </w:trPr>
      <w:tc>
        <w:tcPr>
          <w:tcW w:w="4889" w:type="dxa"/>
        </w:tcPr>
        <w:p w:rsidR="009E4595" w:rsidRDefault="009E4595" w:rsidP="009E4595">
          <w:pPr>
            <w:pStyle w:val="Header"/>
            <w:tabs>
              <w:tab w:val="clear" w:pos="794"/>
              <w:tab w:val="clear" w:pos="4820"/>
            </w:tabs>
            <w:spacing w:before="120" w:line="360" w:lineRule="auto"/>
          </w:pPr>
          <w:r>
            <w:rPr>
              <w:b/>
              <w:bCs/>
              <w:noProof/>
              <w:lang w:eastAsia="zh-CN"/>
            </w:rPr>
            <w:drawing>
              <wp:inline distT="0" distB="0" distL="0" distR="0" wp14:anchorId="182A41D9" wp14:editId="282CE92A">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9E4595" w:rsidRDefault="009E4595" w:rsidP="009E4595">
          <w:pPr>
            <w:pStyle w:val="Header"/>
            <w:tabs>
              <w:tab w:val="clear" w:pos="794"/>
              <w:tab w:val="clear" w:pos="4820"/>
            </w:tabs>
            <w:spacing w:line="360" w:lineRule="auto"/>
            <w:jc w:val="right"/>
          </w:pPr>
          <w:r>
            <w:rPr>
              <w:noProof/>
              <w:lang w:eastAsia="zh-CN"/>
            </w:rPr>
            <w:drawing>
              <wp:inline distT="0" distB="0" distL="0" distR="0" wp14:anchorId="5DF9C719" wp14:editId="5257F7ED">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9E4595" w:rsidRDefault="00E915AF" w:rsidP="009E45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378" w:rsidRPr="003D5378" w:rsidRDefault="003D5378" w:rsidP="003D5378">
    <w:pPr>
      <w:pStyle w:val="Header"/>
      <w:jc w:val="center"/>
      <w:rPr>
        <w:iCs/>
        <w:sz w:val="18"/>
        <w:szCs w:val="18"/>
      </w:rPr>
    </w:pPr>
    <w:r>
      <w:rPr>
        <w:iCs/>
        <w:sz w:val="18"/>
        <w:szCs w:val="18"/>
      </w:rPr>
      <w:t>-</w:t>
    </w:r>
    <w:r w:rsidRPr="009F725C">
      <w:rPr>
        <w:iCs/>
        <w:sz w:val="18"/>
        <w:szCs w:val="18"/>
      </w:rPr>
      <w:fldChar w:fldCharType="begin"/>
    </w:r>
    <w:r w:rsidRPr="009F725C">
      <w:rPr>
        <w:iCs/>
        <w:sz w:val="18"/>
        <w:szCs w:val="18"/>
      </w:rPr>
      <w:instrText xml:space="preserve"> PAGE  \* MERGEFORMAT </w:instrText>
    </w:r>
    <w:r w:rsidRPr="009F725C">
      <w:rPr>
        <w:iCs/>
        <w:sz w:val="18"/>
        <w:szCs w:val="18"/>
      </w:rPr>
      <w:fldChar w:fldCharType="separate"/>
    </w:r>
    <w:r w:rsidR="00850BFB">
      <w:rPr>
        <w:iCs/>
        <w:noProof/>
        <w:sz w:val="18"/>
        <w:szCs w:val="18"/>
      </w:rPr>
      <w:t>2</w:t>
    </w:r>
    <w:r w:rsidRPr="009F725C">
      <w:rPr>
        <w:iCs/>
        <w:sz w:val="18"/>
        <w:szCs w:val="18"/>
      </w:rPr>
      <w:fldChar w:fldCharType="end"/>
    </w:r>
    <w:r>
      <w:rPr>
        <w:iCs/>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4136B2D"/>
    <w:multiLevelType w:val="hybridMultilevel"/>
    <w:tmpl w:val="876EFD0E"/>
    <w:lvl w:ilvl="0" w:tplc="8D6E41D2">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nsid w:val="44B22226"/>
    <w:multiLevelType w:val="hybridMultilevel"/>
    <w:tmpl w:val="876EFD0E"/>
    <w:lvl w:ilvl="0" w:tplc="8D6E41D2">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3D5378"/>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61823"/>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06452"/>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D5378"/>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2B81"/>
    <w:rsid w:val="005638CF"/>
    <w:rsid w:val="0056741E"/>
    <w:rsid w:val="0057325A"/>
    <w:rsid w:val="0057469A"/>
    <w:rsid w:val="00580814"/>
    <w:rsid w:val="00583A0B"/>
    <w:rsid w:val="00591308"/>
    <w:rsid w:val="00597A59"/>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100BA"/>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50BFB"/>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83BC8"/>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ADEAF80-B49A-43C3-B9BE-76E2BED5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59"/>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
    <w:basedOn w:val="DefaultParagraphFont"/>
    <w:link w:val="Header"/>
    <w:uiPriority w:val="99"/>
    <w:rsid w:val="003D5378"/>
    <w:rPr>
      <w:sz w:val="24"/>
      <w:szCs w:val="22"/>
      <w:lang w:val="en-US" w:eastAsia="en-US"/>
    </w:rPr>
  </w:style>
  <w:style w:type="character" w:customStyle="1" w:styleId="Heading1Char">
    <w:name w:val="Heading 1 Char"/>
    <w:link w:val="Heading1"/>
    <w:rsid w:val="003D5378"/>
    <w:rPr>
      <w:b/>
      <w:sz w:val="24"/>
      <w:szCs w:val="22"/>
      <w:lang w:val="en-US" w:eastAsia="en-US"/>
    </w:rPr>
  </w:style>
  <w:style w:type="paragraph" w:customStyle="1" w:styleId="TableText0">
    <w:name w:val="Table_Text"/>
    <w:basedOn w:val="Normal"/>
    <w:rsid w:val="003D537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2"/>
      <w:szCs w:val="20"/>
      <w:lang w:val="en-GB"/>
    </w:rPr>
  </w:style>
  <w:style w:type="character" w:customStyle="1" w:styleId="enumlev1Char">
    <w:name w:val="enumlev1 Char"/>
    <w:basedOn w:val="DefaultParagraphFont"/>
    <w:link w:val="enumlev1"/>
    <w:rsid w:val="003D5378"/>
    <w:rPr>
      <w:sz w:val="24"/>
      <w:szCs w:val="22"/>
      <w:lang w:val="en-US" w:eastAsia="en-US"/>
    </w:rPr>
  </w:style>
  <w:style w:type="character" w:styleId="FollowedHyperlink">
    <w:name w:val="FollowedHyperlink"/>
    <w:basedOn w:val="DefaultParagraphFont"/>
    <w:semiHidden/>
    <w:unhideWhenUsed/>
    <w:rsid w:val="005913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blue\en\ITU-R\conferences\RRB\Documents\ai%204_1_compendium%20to%20be%20published%20as%20special%20topics_English.docx" TargetMode="External"/><Relationship Id="rId13" Type="http://schemas.openxmlformats.org/officeDocument/2006/relationships/hyperlink" Target="http://www.itu.int/md/R03-WRC03-C-0410/en" TargetMode="External"/><Relationship Id="rId18" Type="http://schemas.openxmlformats.org/officeDocument/2006/relationships/hyperlink" Target="http://www.itu.int/md/R07-WRC07-C-0004/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md/R12-WRC12-C-0554/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tu.int/md/R07-WRC07-C-0378/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R07-WRC07-C-0432/en" TargetMode="External"/><Relationship Id="rId20" Type="http://schemas.openxmlformats.org/officeDocument/2006/relationships/hyperlink" Target="http://www.itu.int/md/R12-WRC12-C-055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md/R03-WRC03-C-0370/en"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itu.int/md/R12-WRC12-C-0549/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md/R03-WRC03-C-0410/en" TargetMode="External"/><Relationship Id="rId22" Type="http://schemas.openxmlformats.org/officeDocument/2006/relationships/hyperlink" Target="http://www.itu.int/md/R12-WRC12-C-0554/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oo.gl/LCpvqH"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769CC-43B3-4185-B36E-D085B4E0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0</TotalTime>
  <Pages>3</Pages>
  <Words>886</Words>
  <Characters>5404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6278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Hernandez, Felipe</dc:creator>
  <cp:lastModifiedBy>Gozal, Karine</cp:lastModifiedBy>
  <cp:revision>3</cp:revision>
  <cp:lastPrinted>2015-04-17T11:54:00Z</cp:lastPrinted>
  <dcterms:created xsi:type="dcterms:W3CDTF">2015-04-17T11:40:00Z</dcterms:created>
  <dcterms:modified xsi:type="dcterms:W3CDTF">2015-04-17T11:54:00Z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