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773F7E" w:rsidRDefault="00B30CAC" w:rsidP="006160CB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>
              <w:rPr>
                <w:szCs w:val="24"/>
              </w:rPr>
              <w:t>Lettre circulaire</w:t>
            </w:r>
          </w:p>
          <w:p w:rsidR="00E53DCE" w:rsidRPr="00773F7E" w:rsidRDefault="00B30CAC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CR</w:t>
            </w:r>
            <w:r w:rsidR="00E53DCE" w:rsidRPr="00773F7E">
              <w:rPr>
                <w:b/>
                <w:bCs/>
                <w:szCs w:val="24"/>
                <w:lang w:val="fr-CH"/>
              </w:rPr>
              <w:t>/</w:t>
            </w:r>
            <w:r>
              <w:rPr>
                <w:b/>
                <w:bCs/>
                <w:szCs w:val="24"/>
                <w:lang w:val="fr-CH"/>
              </w:rPr>
              <w:t>38</w:t>
            </w:r>
            <w:r w:rsidR="004162EF">
              <w:rPr>
                <w:b/>
                <w:bCs/>
                <w:szCs w:val="24"/>
                <w:lang w:val="fr-CH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E53DCE" w:rsidRPr="00773F7E" w:rsidRDefault="00E53DCE" w:rsidP="00B30CAC">
            <w:pPr>
              <w:spacing w:before="0"/>
              <w:jc w:val="right"/>
              <w:rPr>
                <w:sz w:val="28"/>
                <w:szCs w:val="28"/>
                <w:lang w:val="en-GB"/>
              </w:rPr>
            </w:pPr>
            <w:r w:rsidRPr="00773F7E">
              <w:rPr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alias w:val="Date"/>
                <w:tag w:val="Date"/>
                <w:id w:val="444659277"/>
                <w:placeholder>
                  <w:docPart w:val="B10C5F73DE08473CA2B6197F3F5AA902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B30CAC">
                  <w:rPr>
                    <w:rFonts w:cs="Arial"/>
                    <w:szCs w:val="24"/>
                  </w:rPr>
                  <w:t xml:space="preserve">17 </w:t>
                </w:r>
                <w:proofErr w:type="spellStart"/>
                <w:r w:rsidR="00B30CAC">
                  <w:rPr>
                    <w:rFonts w:cs="Arial"/>
                    <w:szCs w:val="24"/>
                  </w:rPr>
                  <w:t>avril</w:t>
                </w:r>
                <w:proofErr w:type="spellEnd"/>
                <w:r w:rsidR="00B30CAC">
                  <w:rPr>
                    <w:rFonts w:cs="Arial"/>
                    <w:szCs w:val="24"/>
                  </w:rPr>
                  <w:t xml:space="preserve"> 2015</w:t>
                </w:r>
              </w:sdtContent>
            </w:sdt>
          </w:p>
        </w:tc>
      </w:tr>
      <w:tr w:rsidR="00E53DCE" w:rsidRPr="00773F7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B109BF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2569F7" w:rsidRDefault="00EE1A57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2569F7">
              <w:rPr>
                <w:b/>
                <w:bCs/>
                <w:szCs w:val="24"/>
                <w:lang w:val="fr-CH"/>
              </w:rPr>
              <w:t>Aux Administrations des Etats Membres de l</w:t>
            </w:r>
            <w:r w:rsidR="0080705C">
              <w:rPr>
                <w:b/>
                <w:bCs/>
                <w:szCs w:val="24"/>
                <w:lang w:val="fr-CH"/>
              </w:rPr>
              <w:t>'</w:t>
            </w:r>
            <w:r w:rsidRPr="002569F7">
              <w:rPr>
                <w:b/>
                <w:bCs/>
                <w:szCs w:val="24"/>
                <w:lang w:val="fr-CH"/>
              </w:rPr>
              <w:t>UIT</w:t>
            </w:r>
          </w:p>
          <w:p w:rsidR="00E53DCE" w:rsidRPr="00773F7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B109BF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B109BF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B109BF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73F7E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4162EF" w:rsidRDefault="004162EF" w:rsidP="004162EF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236215">
              <w:rPr>
                <w:b/>
                <w:bCs/>
                <w:szCs w:val="24"/>
                <w:lang w:val="fr-CH"/>
              </w:rPr>
              <w:t>Décisions de</w:t>
            </w:r>
            <w:r>
              <w:rPr>
                <w:b/>
                <w:bCs/>
                <w:szCs w:val="24"/>
                <w:lang w:val="fr-CH"/>
              </w:rPr>
              <w:t>s</w:t>
            </w:r>
            <w:r w:rsidRPr="00236215">
              <w:rPr>
                <w:b/>
                <w:bCs/>
                <w:szCs w:val="24"/>
                <w:lang w:val="fr-CH"/>
              </w:rPr>
              <w:t xml:space="preserve"> CMR </w:t>
            </w:r>
            <w:r>
              <w:rPr>
                <w:b/>
                <w:bCs/>
                <w:szCs w:val="24"/>
                <w:lang w:val="fr-CH"/>
              </w:rPr>
              <w:t>précédentes</w:t>
            </w:r>
            <w:r w:rsidRPr="00236215">
              <w:rPr>
                <w:b/>
                <w:bCs/>
                <w:szCs w:val="24"/>
                <w:lang w:val="fr-CH"/>
              </w:rPr>
              <w:t xml:space="preserve"> concernant l</w:t>
            </w:r>
            <w:r w:rsidR="0080705C">
              <w:rPr>
                <w:b/>
                <w:bCs/>
                <w:szCs w:val="24"/>
                <w:lang w:val="fr-CH"/>
              </w:rPr>
              <w:t>'</w:t>
            </w:r>
            <w:r w:rsidRPr="00236215">
              <w:rPr>
                <w:b/>
                <w:bCs/>
                <w:szCs w:val="24"/>
                <w:lang w:val="fr-CH"/>
              </w:rPr>
              <w:t>ap</w:t>
            </w:r>
            <w:r w:rsidR="0080705C">
              <w:rPr>
                <w:b/>
                <w:bCs/>
                <w:szCs w:val="24"/>
                <w:lang w:val="fr-CH"/>
              </w:rPr>
              <w:t>plication du Règlement des </w:t>
            </w:r>
            <w:r>
              <w:rPr>
                <w:b/>
                <w:bCs/>
                <w:szCs w:val="24"/>
                <w:lang w:val="fr-CH"/>
              </w:rPr>
              <w:t>radi</w:t>
            </w:r>
            <w:r w:rsidRPr="00236215">
              <w:rPr>
                <w:b/>
                <w:bCs/>
                <w:szCs w:val="24"/>
                <w:lang w:val="fr-CH"/>
              </w:rPr>
              <w:t>ocommunications</w:t>
            </w:r>
          </w:p>
        </w:tc>
      </w:tr>
      <w:tr w:rsidR="00E53DCE" w:rsidRPr="00B109BF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4162E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4162E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B109BF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4162E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4162E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B109BF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4162EF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B109BF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4162EF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:rsidR="004162EF" w:rsidRPr="00236215" w:rsidRDefault="004162EF" w:rsidP="004162EF">
      <w:pPr>
        <w:rPr>
          <w:szCs w:val="24"/>
          <w:lang w:val="fr-CH"/>
        </w:rPr>
      </w:pPr>
      <w:r w:rsidRPr="00236215">
        <w:rPr>
          <w:szCs w:val="24"/>
          <w:lang w:val="fr-CH"/>
        </w:rPr>
        <w:t>A sa 68</w:t>
      </w:r>
      <w:r w:rsidRPr="004162EF">
        <w:rPr>
          <w:lang w:val="fr-CH"/>
        </w:rPr>
        <w:t>ème</w:t>
      </w:r>
      <w:r w:rsidRPr="00236215">
        <w:rPr>
          <w:szCs w:val="24"/>
          <w:lang w:val="fr-CH"/>
        </w:rPr>
        <w:t xml:space="preserve"> réunion (16-20 mars 2015)</w:t>
      </w:r>
      <w:r>
        <w:rPr>
          <w:szCs w:val="24"/>
          <w:lang w:val="fr-CH"/>
        </w:rPr>
        <w:t>,</w:t>
      </w:r>
      <w:r w:rsidRPr="00236215">
        <w:rPr>
          <w:szCs w:val="24"/>
          <w:lang w:val="fr-CH"/>
        </w:rPr>
        <w:t xml:space="preserve"> le Comité a examiné un recueil des décisions de</w:t>
      </w:r>
      <w:r>
        <w:rPr>
          <w:szCs w:val="24"/>
          <w:lang w:val="fr-CH"/>
        </w:rPr>
        <w:t>s</w:t>
      </w:r>
      <w:r w:rsidRPr="00236215">
        <w:rPr>
          <w:szCs w:val="24"/>
          <w:lang w:val="fr-CH"/>
        </w:rPr>
        <w:t xml:space="preserve"> conférences mondiales des radiocommunications (CMR) </w:t>
      </w:r>
      <w:r>
        <w:rPr>
          <w:szCs w:val="24"/>
          <w:lang w:val="fr-CH"/>
        </w:rPr>
        <w:t>précédentes</w:t>
      </w:r>
      <w:r w:rsidRPr="00236215">
        <w:rPr>
          <w:szCs w:val="24"/>
          <w:lang w:val="fr-CH"/>
        </w:rPr>
        <w:t xml:space="preserve"> qui revêtaient un caractère réglementaire et </w:t>
      </w:r>
      <w:r>
        <w:rPr>
          <w:szCs w:val="24"/>
          <w:lang w:val="fr-CH"/>
        </w:rPr>
        <w:t>pour lesquelles</w:t>
      </w:r>
      <w:r w:rsidRPr="00236215">
        <w:rPr>
          <w:szCs w:val="24"/>
          <w:lang w:val="fr-CH"/>
        </w:rPr>
        <w:t>, à l</w:t>
      </w:r>
      <w:r w:rsidR="0080705C">
        <w:rPr>
          <w:szCs w:val="24"/>
          <w:lang w:val="fr-CH"/>
        </w:rPr>
        <w:t>'</w:t>
      </w:r>
      <w:r w:rsidRPr="00236215">
        <w:rPr>
          <w:szCs w:val="24"/>
          <w:lang w:val="fr-CH"/>
        </w:rPr>
        <w:t>époque</w:t>
      </w:r>
      <w:r>
        <w:rPr>
          <w:szCs w:val="24"/>
          <w:lang w:val="fr-CH"/>
        </w:rPr>
        <w:t>, il n</w:t>
      </w:r>
      <w:r w:rsidR="0080705C">
        <w:rPr>
          <w:szCs w:val="24"/>
          <w:lang w:val="fr-CH"/>
        </w:rPr>
        <w:t>'</w:t>
      </w:r>
      <w:r>
        <w:rPr>
          <w:szCs w:val="24"/>
          <w:lang w:val="fr-CH"/>
        </w:rPr>
        <w:t>existait aucune disposition correspondante dans le Règlement des radiocommunications ou les Règles de procédure</w:t>
      </w:r>
      <w:r w:rsidRPr="00236215">
        <w:rPr>
          <w:szCs w:val="24"/>
          <w:lang w:val="fr-CH"/>
        </w:rPr>
        <w:t>.</w:t>
      </w:r>
    </w:p>
    <w:p w:rsidR="004162EF" w:rsidRPr="00E519D6" w:rsidRDefault="004162EF" w:rsidP="004162EF">
      <w:pPr>
        <w:rPr>
          <w:szCs w:val="24"/>
          <w:lang w:val="fr-CH"/>
        </w:rPr>
      </w:pPr>
      <w:r w:rsidRPr="00236215">
        <w:rPr>
          <w:szCs w:val="24"/>
          <w:lang w:val="fr-CH"/>
        </w:rPr>
        <w:t xml:space="preserve">Au cours de son examen (voir le présent </w:t>
      </w:r>
      <w:hyperlink r:id="rId8" w:history="1">
        <w:r w:rsidRPr="00236215">
          <w:rPr>
            <w:rStyle w:val="Hyperlink"/>
            <w:szCs w:val="24"/>
            <w:lang w:val="fr-CH"/>
          </w:rPr>
          <w:t>Recueil</w:t>
        </w:r>
      </w:hyperlink>
      <w:r w:rsidRPr="00490CDD">
        <w:rPr>
          <w:rStyle w:val="FootnoteReference"/>
          <w:szCs w:val="24"/>
        </w:rPr>
        <w:footnoteReference w:id="1"/>
      </w:r>
      <w:r w:rsidRPr="004162EF">
        <w:rPr>
          <w:rStyle w:val="Hyperlink"/>
          <w:color w:val="auto"/>
          <w:szCs w:val="24"/>
          <w:u w:val="none"/>
          <w:lang w:val="fr-CH"/>
        </w:rPr>
        <w:t>)</w:t>
      </w:r>
      <w:r w:rsidRPr="00236215">
        <w:rPr>
          <w:rStyle w:val="Hyperlink"/>
          <w:color w:val="auto"/>
          <w:szCs w:val="24"/>
          <w:u w:val="none"/>
          <w:lang w:val="fr-CH"/>
        </w:rPr>
        <w:t xml:space="preserve">, le Comité a </w:t>
      </w:r>
      <w:r>
        <w:rPr>
          <w:rStyle w:val="Hyperlink"/>
          <w:color w:val="auto"/>
          <w:szCs w:val="24"/>
          <w:u w:val="none"/>
          <w:lang w:val="fr-CH"/>
        </w:rPr>
        <w:t>constaté qu</w:t>
      </w:r>
      <w:r w:rsidR="0080705C">
        <w:rPr>
          <w:rStyle w:val="Hyperlink"/>
          <w:color w:val="auto"/>
          <w:szCs w:val="24"/>
          <w:u w:val="none"/>
          <w:lang w:val="fr-CH"/>
        </w:rPr>
        <w:t>'</w:t>
      </w:r>
      <w:r>
        <w:rPr>
          <w:rStyle w:val="Hyperlink"/>
          <w:color w:val="auto"/>
          <w:szCs w:val="24"/>
          <w:u w:val="none"/>
          <w:lang w:val="fr-CH"/>
        </w:rPr>
        <w:t xml:space="preserve">un certain nombre de ces décisions de CMR </w:t>
      </w:r>
      <w:r w:rsidRPr="00E519D6">
        <w:rPr>
          <w:color w:val="000000"/>
          <w:lang w:val="fr-CH"/>
        </w:rPr>
        <w:t>avaient un caractère interprétatif</w:t>
      </w:r>
      <w:r>
        <w:rPr>
          <w:rStyle w:val="Hyperlink"/>
          <w:color w:val="auto"/>
          <w:szCs w:val="24"/>
          <w:u w:val="none"/>
          <w:lang w:val="fr-CH"/>
        </w:rPr>
        <w:t xml:space="preserve"> mais restaient applicables. Le Comité a demandé au Directeur de publier la présente lettre circulaire pour attirer l</w:t>
      </w:r>
      <w:r w:rsidR="0080705C">
        <w:rPr>
          <w:rStyle w:val="Hyperlink"/>
          <w:color w:val="auto"/>
          <w:szCs w:val="24"/>
          <w:u w:val="none"/>
          <w:lang w:val="fr-CH"/>
        </w:rPr>
        <w:t>'</w:t>
      </w:r>
      <w:r>
        <w:rPr>
          <w:rStyle w:val="Hyperlink"/>
          <w:color w:val="auto"/>
          <w:szCs w:val="24"/>
          <w:u w:val="none"/>
          <w:lang w:val="fr-CH"/>
        </w:rPr>
        <w:t>attention des administrations sur les décisions expressément identifiées</w:t>
      </w:r>
      <w:r w:rsidRPr="00E519D6">
        <w:rPr>
          <w:szCs w:val="24"/>
          <w:lang w:val="fr-CH"/>
        </w:rPr>
        <w:t xml:space="preserve">. </w:t>
      </w:r>
    </w:p>
    <w:p w:rsidR="002A5DD7" w:rsidRPr="00B30CAC" w:rsidRDefault="004162EF" w:rsidP="004162EF">
      <w:pPr>
        <w:rPr>
          <w:rFonts w:asciiTheme="minorHAnsi" w:hAnsiTheme="minorHAnsi" w:cstheme="minorHAnsi"/>
          <w:szCs w:val="24"/>
          <w:lang w:val="fr-CH"/>
        </w:rPr>
      </w:pPr>
      <w:r w:rsidRPr="00E519D6">
        <w:rPr>
          <w:szCs w:val="24"/>
          <w:lang w:val="fr-CH"/>
        </w:rPr>
        <w:t>Cette liste est reproduite en annexe de la présente le</w:t>
      </w:r>
      <w:r>
        <w:rPr>
          <w:szCs w:val="24"/>
          <w:lang w:val="fr-CH"/>
        </w:rPr>
        <w:t>ttre.</w:t>
      </w:r>
    </w:p>
    <w:p w:rsidR="00EE1A57" w:rsidRDefault="00B30CAC" w:rsidP="00B30CAC">
      <w:pPr>
        <w:spacing w:before="840" w:line="240" w:lineRule="auto"/>
        <w:jc w:val="left"/>
        <w:rPr>
          <w:szCs w:val="24"/>
          <w:lang w:val="fr-FR"/>
        </w:rPr>
      </w:pPr>
      <w:r w:rsidRPr="00773F7E">
        <w:rPr>
          <w:szCs w:val="24"/>
          <w:lang w:val="fr-FR"/>
        </w:rPr>
        <w:t>François Rancy</w:t>
      </w:r>
      <w:r w:rsidRPr="00773F7E">
        <w:rPr>
          <w:szCs w:val="24"/>
          <w:lang w:val="fr-FR"/>
        </w:rPr>
        <w:br/>
        <w:t>Directeur</w:t>
      </w:r>
    </w:p>
    <w:p w:rsidR="0080705C" w:rsidRDefault="0080705C" w:rsidP="0080705C">
      <w:pPr>
        <w:spacing w:before="1200" w:line="240" w:lineRule="auto"/>
        <w:jc w:val="left"/>
        <w:rPr>
          <w:b/>
          <w:bCs/>
          <w:szCs w:val="24"/>
          <w:lang w:val="fr-FR"/>
        </w:rPr>
      </w:pPr>
      <w:r w:rsidRPr="0080705C">
        <w:rPr>
          <w:b/>
          <w:bCs/>
          <w:szCs w:val="24"/>
          <w:lang w:val="fr-FR"/>
        </w:rPr>
        <w:t>Annexe</w:t>
      </w:r>
    </w:p>
    <w:p w:rsidR="0080705C" w:rsidRPr="00250BBD" w:rsidRDefault="0080705C" w:rsidP="0080705C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600" w:line="240" w:lineRule="auto"/>
        <w:jc w:val="both"/>
        <w:rPr>
          <w:bCs/>
          <w:sz w:val="18"/>
          <w:szCs w:val="18"/>
          <w:u w:val="single"/>
          <w:lang w:val="fr-CH"/>
        </w:rPr>
      </w:pPr>
      <w:r w:rsidRPr="00250BBD">
        <w:rPr>
          <w:bCs/>
          <w:sz w:val="18"/>
          <w:szCs w:val="18"/>
          <w:u w:val="single"/>
          <w:lang w:val="fr-CH"/>
        </w:rPr>
        <w:t>Distribution</w:t>
      </w:r>
      <w:r w:rsidRPr="00250BBD">
        <w:rPr>
          <w:bCs/>
          <w:sz w:val="18"/>
          <w:szCs w:val="18"/>
          <w:lang w:val="fr-CH"/>
        </w:rPr>
        <w:t>:</w:t>
      </w:r>
    </w:p>
    <w:p w:rsidR="0080705C" w:rsidRPr="00D779F3" w:rsidRDefault="0080705C" w:rsidP="0080705C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  <w:lang w:val="fr-CH"/>
        </w:rPr>
      </w:pPr>
      <w:r w:rsidRPr="00D779F3">
        <w:rPr>
          <w:sz w:val="18"/>
          <w:szCs w:val="18"/>
          <w:lang w:val="fr-CH"/>
        </w:rPr>
        <w:lastRenderedPageBreak/>
        <w:t>–</w:t>
      </w:r>
      <w:r w:rsidRPr="00D779F3">
        <w:rPr>
          <w:sz w:val="18"/>
          <w:szCs w:val="18"/>
          <w:lang w:val="fr-CH"/>
        </w:rPr>
        <w:tab/>
        <w:t>Administrations des Etats Membres de l</w:t>
      </w:r>
      <w:r>
        <w:rPr>
          <w:sz w:val="18"/>
          <w:szCs w:val="18"/>
          <w:lang w:val="fr-CH"/>
        </w:rPr>
        <w:t>'</w:t>
      </w:r>
      <w:r w:rsidRPr="00D779F3">
        <w:rPr>
          <w:sz w:val="18"/>
          <w:szCs w:val="18"/>
          <w:lang w:val="fr-CH"/>
        </w:rPr>
        <w:t>UIT</w:t>
      </w:r>
    </w:p>
    <w:p w:rsidR="0080705C" w:rsidRDefault="0080705C" w:rsidP="0080705C">
      <w:pPr>
        <w:tabs>
          <w:tab w:val="left" w:pos="284"/>
        </w:tabs>
        <w:spacing w:before="0" w:line="240" w:lineRule="auto"/>
        <w:jc w:val="left"/>
        <w:rPr>
          <w:sz w:val="18"/>
          <w:szCs w:val="18"/>
          <w:lang w:val="fr-CH"/>
        </w:rPr>
      </w:pPr>
      <w:r w:rsidRPr="00D779F3">
        <w:rPr>
          <w:sz w:val="18"/>
          <w:szCs w:val="18"/>
          <w:lang w:val="fr-CH"/>
        </w:rPr>
        <w:t>–</w:t>
      </w:r>
      <w:r w:rsidRPr="00D779F3">
        <w:rPr>
          <w:sz w:val="18"/>
          <w:szCs w:val="18"/>
          <w:lang w:val="fr-CH"/>
        </w:rPr>
        <w:tab/>
        <w:t>Membres du Comité du Règlement des radiocommunications</w:t>
      </w:r>
    </w:p>
    <w:p w:rsidR="0080705C" w:rsidRDefault="0080705C" w:rsidP="0080705C">
      <w:pPr>
        <w:spacing w:before="1200" w:line="240" w:lineRule="auto"/>
        <w:jc w:val="left"/>
        <w:rPr>
          <w:b/>
          <w:bCs/>
          <w:szCs w:val="24"/>
          <w:lang w:val="fr-FR"/>
        </w:rPr>
        <w:sectPr w:rsidR="0080705C" w:rsidSect="00031E64">
          <w:headerReference w:type="even" r:id="rId9"/>
          <w:headerReference w:type="default" r:id="rId10"/>
          <w:headerReference w:type="first" r:id="rId11"/>
          <w:footerReference w:type="first" r:id="rId12"/>
          <w:pgSz w:w="11907" w:h="16834" w:code="9"/>
          <w:pgMar w:top="1134" w:right="1134" w:bottom="993" w:left="1134" w:header="567" w:footer="397" w:gutter="0"/>
          <w:cols w:space="720"/>
          <w:titlePg/>
        </w:sectPr>
      </w:pPr>
    </w:p>
    <w:p w:rsidR="0080705C" w:rsidRPr="00B109BF" w:rsidRDefault="0080705C" w:rsidP="00547F93">
      <w:pPr>
        <w:pStyle w:val="AnnexNoTitle"/>
        <w:rPr>
          <w:rFonts w:asciiTheme="majorBidi" w:hAnsiTheme="majorBidi" w:cstheme="majorBidi"/>
          <w:szCs w:val="24"/>
          <w:lang w:val="fr-CH"/>
        </w:rPr>
      </w:pPr>
      <w:r w:rsidRPr="0080705C">
        <w:rPr>
          <w:rFonts w:asciiTheme="minorHAnsi" w:hAnsiTheme="minorHAnsi"/>
          <w:lang w:val="fr-CH"/>
        </w:rPr>
        <w:lastRenderedPageBreak/>
        <w:t>Annexe</w:t>
      </w:r>
      <w:r w:rsidRPr="0080705C">
        <w:rPr>
          <w:rFonts w:asciiTheme="minorHAnsi" w:hAnsiTheme="minorHAnsi"/>
          <w:lang w:val="fr-CH"/>
        </w:rPr>
        <w:br/>
      </w:r>
      <w:r w:rsidRPr="0080705C">
        <w:rPr>
          <w:rFonts w:asciiTheme="minorHAnsi" w:hAnsiTheme="minorHAnsi"/>
          <w:lang w:val="fr-CH"/>
        </w:rPr>
        <w:br/>
      </w:r>
      <w:r w:rsidRPr="00B109BF">
        <w:rPr>
          <w:rFonts w:asciiTheme="majorBidi" w:hAnsiTheme="majorBidi" w:cstheme="majorBidi"/>
          <w:bCs/>
          <w:szCs w:val="24"/>
          <w:lang w:val="fr-CH"/>
        </w:rPr>
        <w:t>Recueil des décisions de</w:t>
      </w:r>
      <w:r w:rsidR="00547F93" w:rsidRPr="00B109BF">
        <w:rPr>
          <w:rFonts w:asciiTheme="majorBidi" w:hAnsiTheme="majorBidi" w:cstheme="majorBidi"/>
          <w:bCs/>
          <w:szCs w:val="24"/>
          <w:lang w:val="fr-CH"/>
        </w:rPr>
        <w:t>s</w:t>
      </w:r>
      <w:r w:rsidRPr="00B109BF">
        <w:rPr>
          <w:rFonts w:asciiTheme="majorBidi" w:hAnsiTheme="majorBidi" w:cstheme="majorBidi"/>
          <w:bCs/>
          <w:szCs w:val="24"/>
          <w:lang w:val="fr-CH"/>
        </w:rPr>
        <w:t xml:space="preserve"> CMR toujours </w:t>
      </w:r>
      <w:r w:rsidR="00547F93" w:rsidRPr="00B109BF">
        <w:rPr>
          <w:rFonts w:asciiTheme="majorBidi" w:hAnsiTheme="majorBidi" w:cstheme="majorBidi"/>
          <w:bCs/>
          <w:szCs w:val="24"/>
          <w:lang w:val="fr-CH"/>
        </w:rPr>
        <w:t>applicables</w:t>
      </w:r>
      <w:r w:rsidRPr="00B109BF">
        <w:rPr>
          <w:rFonts w:asciiTheme="majorBidi" w:hAnsiTheme="majorBidi" w:cstheme="majorBidi"/>
          <w:bCs/>
          <w:szCs w:val="24"/>
          <w:lang w:val="fr-CH"/>
        </w:rPr>
        <w:t xml:space="preserve"> qui ne sont pas prises en compte </w:t>
      </w:r>
      <w:r w:rsidRPr="00B109BF">
        <w:rPr>
          <w:rFonts w:asciiTheme="majorBidi" w:hAnsiTheme="majorBidi" w:cstheme="majorBidi"/>
          <w:bCs/>
          <w:szCs w:val="24"/>
          <w:lang w:val="fr-CH"/>
        </w:rPr>
        <w:br/>
        <w:t>dans le Règlement des radiocommunications</w:t>
      </w:r>
    </w:p>
    <w:tbl>
      <w:tblPr>
        <w:tblStyle w:val="TableGrid"/>
        <w:tblW w:w="5307" w:type="pct"/>
        <w:tblInd w:w="-147" w:type="dxa"/>
        <w:tblLook w:val="0420" w:firstRow="1" w:lastRow="0" w:firstColumn="0" w:lastColumn="0" w:noHBand="0" w:noVBand="1"/>
      </w:tblPr>
      <w:tblGrid>
        <w:gridCol w:w="440"/>
        <w:gridCol w:w="1145"/>
        <w:gridCol w:w="1679"/>
        <w:gridCol w:w="10374"/>
        <w:gridCol w:w="1962"/>
      </w:tblGrid>
      <w:tr w:rsidR="0080705C" w:rsidRPr="00B109BF" w:rsidTr="00730346">
        <w:trPr>
          <w:cantSplit/>
          <w:tblHeader/>
        </w:trPr>
        <w:tc>
          <w:tcPr>
            <w:tcW w:w="141" w:type="pct"/>
            <w:vAlign w:val="center"/>
          </w:tcPr>
          <w:p w:rsidR="0080705C" w:rsidRPr="00B109BF" w:rsidRDefault="0080705C" w:rsidP="0080705C">
            <w:pPr>
              <w:pStyle w:val="Tablehead"/>
              <w:rPr>
                <w:rFonts w:asciiTheme="majorBidi" w:eastAsia="Malgun Gothic" w:hAnsiTheme="majorBidi" w:cstheme="majorBidi"/>
                <w:sz w:val="22"/>
                <w:lang w:val="fr-CH"/>
              </w:rPr>
            </w:pPr>
          </w:p>
        </w:tc>
        <w:tc>
          <w:tcPr>
            <w:tcW w:w="367" w:type="pct"/>
            <w:vAlign w:val="center"/>
          </w:tcPr>
          <w:p w:rsidR="0080705C" w:rsidRPr="00B109BF" w:rsidRDefault="0080705C" w:rsidP="0080705C">
            <w:pPr>
              <w:pStyle w:val="Tablehead"/>
              <w:rPr>
                <w:rFonts w:asciiTheme="majorBidi" w:eastAsia="Malgun Gothic" w:hAnsiTheme="majorBidi" w:cstheme="majorBidi"/>
                <w:sz w:val="22"/>
              </w:rPr>
            </w:pPr>
            <w:r w:rsidRPr="00B109BF">
              <w:rPr>
                <w:rFonts w:asciiTheme="majorBidi" w:eastAsia="Malgun Gothic" w:hAnsiTheme="majorBidi" w:cstheme="majorBidi"/>
                <w:sz w:val="22"/>
              </w:rPr>
              <w:t>CMR</w:t>
            </w:r>
          </w:p>
        </w:tc>
        <w:tc>
          <w:tcPr>
            <w:tcW w:w="538" w:type="pct"/>
            <w:vAlign w:val="center"/>
          </w:tcPr>
          <w:p w:rsidR="0080705C" w:rsidRPr="00B109BF" w:rsidRDefault="0080705C" w:rsidP="0080705C">
            <w:pPr>
              <w:pStyle w:val="Tablehead"/>
              <w:rPr>
                <w:rFonts w:asciiTheme="majorBidi" w:eastAsia="Malgun Gothic" w:hAnsiTheme="majorBidi" w:cstheme="majorBidi"/>
                <w:sz w:val="22"/>
              </w:rPr>
            </w:pPr>
            <w:r w:rsidRPr="00B109BF">
              <w:rPr>
                <w:rFonts w:asciiTheme="majorBidi" w:eastAsia="Malgun Gothic" w:hAnsiTheme="majorBidi" w:cstheme="majorBidi"/>
                <w:sz w:val="22"/>
              </w:rPr>
              <w:t>Référence</w:t>
            </w:r>
          </w:p>
        </w:tc>
        <w:tc>
          <w:tcPr>
            <w:tcW w:w="3325" w:type="pct"/>
            <w:vAlign w:val="center"/>
          </w:tcPr>
          <w:p w:rsidR="0080705C" w:rsidRPr="00B109BF" w:rsidRDefault="0080705C" w:rsidP="0080705C">
            <w:pPr>
              <w:pStyle w:val="Tablehead"/>
              <w:rPr>
                <w:rFonts w:asciiTheme="majorBidi" w:eastAsia="Malgun Gothic" w:hAnsiTheme="majorBidi" w:cstheme="majorBidi"/>
                <w:sz w:val="22"/>
              </w:rPr>
            </w:pPr>
            <w:r w:rsidRPr="00B109BF">
              <w:rPr>
                <w:rFonts w:asciiTheme="majorBidi" w:eastAsia="Malgun Gothic" w:hAnsiTheme="majorBidi" w:cstheme="majorBidi"/>
                <w:sz w:val="22"/>
              </w:rPr>
              <w:t>Décision</w:t>
            </w:r>
          </w:p>
        </w:tc>
        <w:tc>
          <w:tcPr>
            <w:tcW w:w="630" w:type="pct"/>
            <w:vAlign w:val="center"/>
          </w:tcPr>
          <w:p w:rsidR="0080705C" w:rsidRPr="00B109BF" w:rsidRDefault="0080705C" w:rsidP="0080705C">
            <w:pPr>
              <w:pStyle w:val="Tablehead"/>
              <w:rPr>
                <w:rFonts w:asciiTheme="majorBidi" w:eastAsia="Malgun Gothic" w:hAnsiTheme="majorBidi" w:cstheme="majorBidi"/>
                <w:sz w:val="22"/>
              </w:rPr>
            </w:pPr>
            <w:bookmarkStart w:id="0" w:name="_GoBack"/>
            <w:bookmarkEnd w:id="0"/>
            <w:r w:rsidRPr="00B109BF">
              <w:rPr>
                <w:rFonts w:asciiTheme="majorBidi" w:eastAsia="Malgun Gothic" w:hAnsiTheme="majorBidi" w:cstheme="majorBidi"/>
                <w:sz w:val="22"/>
              </w:rPr>
              <w:t>Note</w:t>
            </w:r>
          </w:p>
        </w:tc>
      </w:tr>
      <w:tr w:rsidR="0080705C" w:rsidRPr="00B109BF" w:rsidTr="00730346">
        <w:trPr>
          <w:cantSplit/>
        </w:trPr>
        <w:tc>
          <w:tcPr>
            <w:tcW w:w="141" w:type="pct"/>
            <w:tcBorders>
              <w:top w:val="single" w:sz="4" w:space="0" w:color="auto"/>
            </w:tcBorders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>CMR-03</w:t>
            </w:r>
          </w:p>
        </w:tc>
        <w:tc>
          <w:tcPr>
            <w:tcW w:w="538" w:type="pct"/>
            <w:tcBorders>
              <w:top w:val="single" w:sz="4" w:space="0" w:color="auto"/>
            </w:tcBorders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 xml:space="preserve">14ème séance plénière </w:t>
            </w:r>
            <w:hyperlink r:id="rId13" w:history="1">
              <w:r w:rsidRPr="00B109BF">
                <w:rPr>
                  <w:rStyle w:val="Hyperlink"/>
                  <w:rFonts w:asciiTheme="majorBidi" w:eastAsia="Malgun Gothic" w:hAnsiTheme="majorBidi" w:cstheme="majorBidi"/>
                  <w:bCs/>
                  <w:szCs w:val="22"/>
                  <w:lang w:eastAsia="ko-KR"/>
                </w:rPr>
                <w:t>Document 410</w:t>
              </w:r>
            </w:hyperlink>
          </w:p>
        </w:tc>
        <w:tc>
          <w:tcPr>
            <w:tcW w:w="3325" w:type="pct"/>
            <w:tcBorders>
              <w:top w:val="single" w:sz="4" w:space="0" w:color="auto"/>
            </w:tcBorders>
          </w:tcPr>
          <w:p w:rsidR="0080705C" w:rsidRPr="00B109BF" w:rsidRDefault="0080705C" w:rsidP="00B109BF">
            <w:pPr>
              <w:pStyle w:val="TableText0"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Lors de l'application de la Résolution 539 (Rév.CMR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-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03), lorsque l'administration notificatrice est tenue de rechercher l'accord d'une administration affectée au titre du premier alinéa du point 1 </w:t>
            </w:r>
            <w:proofErr w:type="gramStart"/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du</w:t>
            </w:r>
            <w:proofErr w:type="gramEnd"/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</w:t>
            </w:r>
            <w:r w:rsidRPr="00B109BF">
              <w:rPr>
                <w:rFonts w:asciiTheme="majorBidi" w:eastAsia="Malgun Gothic" w:hAnsiTheme="majorBidi" w:cstheme="majorBidi"/>
                <w:bCs/>
                <w:i/>
                <w:iCs/>
                <w:szCs w:val="22"/>
                <w:lang w:val="fr-CH"/>
              </w:rPr>
              <w:t>charge le Bureau des radiocommunications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 qu'elle n'a pas reçu de réponse à une demande d'accord adressée à une administration affectée, cette administration peut demander l'assistance du Bureau. Si, après que le Bureau a fourni une assistance, l'administration affectée ne répond toujours pas, l'administration sera réputée avoir accepté le dépassement de la puissance surfacique sur le territoire de son pays.</w:t>
            </w:r>
          </w:p>
        </w:tc>
        <w:tc>
          <w:tcPr>
            <w:tcW w:w="630" w:type="pct"/>
            <w:tcBorders>
              <w:top w:val="single" w:sz="4" w:space="0" w:color="auto"/>
            </w:tcBorders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</w:p>
        </w:tc>
      </w:tr>
      <w:tr w:rsidR="0080705C" w:rsidRPr="00B109BF" w:rsidTr="00730346">
        <w:tblPrEx>
          <w:tblLook w:val="04A0" w:firstRow="1" w:lastRow="0" w:firstColumn="1" w:lastColumn="0" w:noHBand="0" w:noVBand="1"/>
        </w:tblPrEx>
        <w:tc>
          <w:tcPr>
            <w:tcW w:w="141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>17</w:t>
            </w:r>
          </w:p>
        </w:tc>
        <w:tc>
          <w:tcPr>
            <w:tcW w:w="367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>CMR-03</w:t>
            </w:r>
          </w:p>
        </w:tc>
        <w:tc>
          <w:tcPr>
            <w:tcW w:w="538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 w:eastAsia="ko-KR"/>
              </w:rPr>
              <w:t>14ème séance plénière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br/>
            </w:r>
            <w:hyperlink r:id="rId14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  <w:lang w:val="fr-CH"/>
                </w:rPr>
                <w:t>Document 410</w:t>
              </w:r>
            </w:hyperlink>
            <w:r w:rsidRPr="00B109BF">
              <w:rPr>
                <w:rStyle w:val="Hyperlink"/>
                <w:rFonts w:asciiTheme="majorBidi" w:eastAsia="Malgun Gothic" w:hAnsiTheme="majorBidi" w:cstheme="majorBidi"/>
                <w:bCs/>
                <w:color w:val="auto"/>
                <w:szCs w:val="22"/>
                <w:u w:val="none"/>
                <w:lang w:val="fr-CH"/>
              </w:rPr>
              <w:br/>
            </w:r>
            <w:hyperlink r:id="rId15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  <w:lang w:val="fr-CH"/>
                </w:rPr>
                <w:t>Document 370</w:t>
              </w:r>
            </w:hyperlink>
          </w:p>
        </w:tc>
        <w:tc>
          <w:tcPr>
            <w:tcW w:w="3325" w:type="pct"/>
          </w:tcPr>
          <w:p w:rsidR="0080705C" w:rsidRPr="00B109BF" w:rsidRDefault="00020F6B" w:rsidP="00B109BF">
            <w:pPr>
              <w:pStyle w:val="TableText0"/>
              <w:ind w:left="284" w:hanging="284"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1)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ab/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En application des notes de bas de page 4</w:t>
            </w:r>
            <w:r w:rsidR="0080705C" w:rsidRPr="00B109BF">
              <w:rPr>
                <w:rFonts w:asciiTheme="majorBidi" w:eastAsia="Malgun Gothic" w:hAnsiTheme="majorBidi" w:cstheme="majorBidi"/>
                <w:bCs/>
                <w:i/>
                <w:iCs/>
                <w:szCs w:val="22"/>
                <w:lang w:val="fr-CH"/>
              </w:rPr>
              <w:t>bis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 8</w:t>
            </w:r>
            <w:r w:rsidR="0080705C" w:rsidRPr="00B109BF">
              <w:rPr>
                <w:rFonts w:asciiTheme="majorBidi" w:eastAsia="Malgun Gothic" w:hAnsiTheme="majorBidi" w:cstheme="majorBidi"/>
                <w:bCs/>
                <w:i/>
                <w:iCs/>
                <w:szCs w:val="22"/>
                <w:lang w:val="fr-CH"/>
              </w:rPr>
              <w:t>bis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(actuelles notes de bas de page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5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 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14</w:t>
            </w:r>
            <w:r w:rsidR="00007552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)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ajoutées respectivement) aux § 4.1.1 et 4.2.2 de l'Appendice 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30A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, la Commission 6 a confirmé que la coordination au titre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des numéros </w:t>
            </w:r>
            <w:r w:rsidR="00547F93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9.17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 </w:t>
            </w:r>
            <w:r w:rsidR="00547F93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9.17A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est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nécessaire si la zone de coordination d'une station terrienne de liaison de connexion s'étend au-delà de celle de la station terrienne de liaison de connexion associée à un réseau à satellite ayant fait l'objet d'une coordination au titre des anciens § 4.2.1.2, 4.2.1.3, 4.2.3.2 et 4.2.3.3 de l'Appendice 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30A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(CMR-97).</w:t>
            </w:r>
          </w:p>
          <w:p w:rsidR="0080705C" w:rsidRPr="00B109BF" w:rsidRDefault="00020F6B" w:rsidP="00B109BF">
            <w:pPr>
              <w:pStyle w:val="TableText0"/>
              <w:ind w:left="284" w:hanging="284"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2)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ab/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La méthodologie utilisée pour l'examen relativement aux quatrième et 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cinquième alinéas en retrait du 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§ 5.2.1 d) des Appendices 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30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 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30A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respectivement 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doit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être identique à celle utilisée pour le SRS et ses assignations aux liaisons de connexion associées</w:t>
            </w:r>
            <w:proofErr w:type="gramStart"/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..</w:t>
            </w:r>
            <w:proofErr w:type="gramEnd"/>
          </w:p>
        </w:tc>
        <w:tc>
          <w:tcPr>
            <w:tcW w:w="630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</w:p>
        </w:tc>
      </w:tr>
      <w:tr w:rsidR="0080705C" w:rsidRPr="00B109BF" w:rsidTr="00730346">
        <w:tblPrEx>
          <w:tblLook w:val="04A0" w:firstRow="1" w:lastRow="0" w:firstColumn="1" w:lastColumn="0" w:noHBand="0" w:noVBand="1"/>
        </w:tblPrEx>
        <w:tc>
          <w:tcPr>
            <w:tcW w:w="141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>22</w:t>
            </w:r>
          </w:p>
        </w:tc>
        <w:tc>
          <w:tcPr>
            <w:tcW w:w="367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highlight w:val="yellow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>CMR-07</w:t>
            </w:r>
          </w:p>
        </w:tc>
        <w:tc>
          <w:tcPr>
            <w:tcW w:w="538" w:type="pct"/>
          </w:tcPr>
          <w:p w:rsidR="0080705C" w:rsidRPr="00B109BF" w:rsidRDefault="0080705C" w:rsidP="00730346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 w:eastAsia="ko-KR"/>
              </w:rPr>
              <w:t>10ème séance plénière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br/>
            </w:r>
            <w:hyperlink r:id="rId16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  <w:lang w:val="fr-CH"/>
                </w:rPr>
                <w:t>Document 432</w:t>
              </w:r>
            </w:hyperlink>
            <w:r w:rsidR="00730346" w:rsidRPr="00B109BF">
              <w:rPr>
                <w:rStyle w:val="Hyperlink"/>
                <w:rFonts w:asciiTheme="majorBidi" w:hAnsiTheme="majorBidi" w:cstheme="majorBidi"/>
                <w:szCs w:val="22"/>
                <w:lang w:val="fr-CH"/>
              </w:rPr>
              <w:br/>
            </w:r>
            <w:hyperlink r:id="rId17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  <w:lang w:val="fr-CH"/>
                </w:rPr>
                <w:t>Document 378</w:t>
              </w:r>
            </w:hyperlink>
            <w:r w:rsidR="00730346" w:rsidRPr="00B109BF">
              <w:rPr>
                <w:rStyle w:val="Hyperlink"/>
                <w:rFonts w:asciiTheme="majorBidi" w:hAnsiTheme="majorBidi" w:cstheme="majorBidi"/>
                <w:szCs w:val="22"/>
                <w:lang w:val="fr-CH"/>
              </w:rPr>
              <w:br/>
            </w:r>
            <w:hyperlink r:id="rId18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  <w:lang w:val="fr-CH"/>
                </w:rPr>
                <w:t>Addendum 2 au Document 4</w:t>
              </w:r>
            </w:hyperlink>
          </w:p>
        </w:tc>
        <w:tc>
          <w:tcPr>
            <w:tcW w:w="3325" w:type="pct"/>
          </w:tcPr>
          <w:p w:rsidR="0080705C" w:rsidRPr="00B109BF" w:rsidRDefault="00020F6B" w:rsidP="00B109BF">
            <w:pPr>
              <w:pStyle w:val="TableText0"/>
              <w:ind w:left="284" w:hanging="284"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1)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ab/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Dans les numéros 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5.219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 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5.220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, le libellé «… ne doit pas limiter le développement et l'utilisation des …» procède de raisons d'exploitation et aucune mesure réglementaire n'est attendue du Bureau. </w:t>
            </w:r>
            <w:r w:rsidR="00007552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L</w:t>
            </w:r>
            <w:r w:rsidR="00730346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es numéros 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5.286C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, 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5.392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 </w:t>
            </w:r>
            <w:r w:rsidR="0080705C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5.532</w:t>
            </w:r>
            <w:r w:rsidR="0080705C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contiennent des dispositions relatives à l'exploitation qui n'ont pas d'incidence sur le statut réglementaire des services mentionnés dans ces dispositions.</w:t>
            </w:r>
          </w:p>
        </w:tc>
        <w:tc>
          <w:tcPr>
            <w:tcW w:w="630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</w:p>
        </w:tc>
      </w:tr>
      <w:tr w:rsidR="0080705C" w:rsidRPr="00B109BF" w:rsidTr="00730346">
        <w:tblPrEx>
          <w:tblLook w:val="04A0" w:firstRow="1" w:lastRow="0" w:firstColumn="1" w:lastColumn="0" w:noHBand="0" w:noVBand="1"/>
        </w:tblPrEx>
        <w:tc>
          <w:tcPr>
            <w:tcW w:w="141" w:type="pct"/>
          </w:tcPr>
          <w:p w:rsidR="0080705C" w:rsidRPr="00B109BF" w:rsidRDefault="0080705C" w:rsidP="00547F93">
            <w:pPr>
              <w:pStyle w:val="TableText0"/>
              <w:keepNext/>
              <w:keepLines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>27</w:t>
            </w:r>
          </w:p>
        </w:tc>
        <w:tc>
          <w:tcPr>
            <w:tcW w:w="367" w:type="pct"/>
          </w:tcPr>
          <w:p w:rsidR="0080705C" w:rsidRPr="00B109BF" w:rsidRDefault="0080705C" w:rsidP="00547F93">
            <w:pPr>
              <w:pStyle w:val="TableText0"/>
              <w:keepNext/>
              <w:keepLines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>CMR-12</w:t>
            </w:r>
          </w:p>
        </w:tc>
        <w:tc>
          <w:tcPr>
            <w:tcW w:w="538" w:type="pct"/>
          </w:tcPr>
          <w:p w:rsidR="0080705C" w:rsidRPr="00B109BF" w:rsidRDefault="0080705C" w:rsidP="00547F93">
            <w:pPr>
              <w:pStyle w:val="TableText0"/>
              <w:keepNext/>
              <w:keepLines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 xml:space="preserve">8ème séance plénière 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br/>
            </w:r>
            <w:hyperlink r:id="rId19" w:history="1">
              <w:r w:rsidR="00730346" w:rsidRPr="00B109BF">
                <w:rPr>
                  <w:rStyle w:val="Hyperlink"/>
                  <w:rFonts w:asciiTheme="majorBidi" w:hAnsiTheme="majorBidi" w:cstheme="majorBidi"/>
                  <w:bCs/>
                  <w:szCs w:val="22"/>
                </w:rPr>
                <w:t>Document 549</w:t>
              </w:r>
            </w:hyperlink>
          </w:p>
        </w:tc>
        <w:tc>
          <w:tcPr>
            <w:tcW w:w="3325" w:type="pct"/>
          </w:tcPr>
          <w:p w:rsidR="0080705C" w:rsidRPr="00B109BF" w:rsidRDefault="0080705C" w:rsidP="00B109BF">
            <w:pPr>
              <w:pStyle w:val="TableText0"/>
              <w:keepNext/>
              <w:keepLines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En ce qui concerne l'application du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9.11A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au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5.D103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(actuel numéro </w:t>
            </w:r>
            <w:r w:rsidR="00547F93"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5.433D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) 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et la cessation de l'application du numéro 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9.21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dans la bande 5 030-5 091 MHz relativement au SM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A(R)S, la mesure transitoire ci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noBreakHyphen/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après s'applique. Les besoins de coordination des réseaux à satellite pour lesquels les renseignements complets de coordination sont reçus avant l'entrée en vigueur du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5.D103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sont établis conformément aux dispositions en vigueur, y compris celles du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9.21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. En outre, lors de l'application du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11.31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, les renseignements de notification relatifs aux réseaux à satellite reçus après la date d'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entrée en vigueur du numéro 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5.D103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continueront d'être traités conformément au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9.21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 le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9.11A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ne sera pas applicable lors de l'application du numéro 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11.32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.</w:t>
            </w:r>
          </w:p>
        </w:tc>
        <w:tc>
          <w:tcPr>
            <w:tcW w:w="630" w:type="pct"/>
          </w:tcPr>
          <w:p w:rsidR="0080705C" w:rsidRPr="00B109BF" w:rsidRDefault="0080705C" w:rsidP="00B109BF">
            <w:pPr>
              <w:pStyle w:val="TableText0"/>
              <w:keepNext/>
              <w:keepLines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18 réseaux font l'objet de ces mesures transitoires </w:t>
            </w:r>
          </w:p>
        </w:tc>
      </w:tr>
      <w:tr w:rsidR="0080705C" w:rsidRPr="00B109BF" w:rsidTr="00730346">
        <w:trPr>
          <w:cantSplit/>
        </w:trPr>
        <w:tc>
          <w:tcPr>
            <w:tcW w:w="141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>30</w:t>
            </w:r>
          </w:p>
        </w:tc>
        <w:tc>
          <w:tcPr>
            <w:tcW w:w="367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>CMR-12</w:t>
            </w:r>
          </w:p>
        </w:tc>
        <w:tc>
          <w:tcPr>
            <w:tcW w:w="538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 xml:space="preserve">9ème séance plénière 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br/>
            </w:r>
            <w:hyperlink r:id="rId20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</w:rPr>
                <w:t>Document 550</w:t>
              </w:r>
            </w:hyperlink>
          </w:p>
        </w:tc>
        <w:tc>
          <w:tcPr>
            <w:tcW w:w="3325" w:type="pct"/>
          </w:tcPr>
          <w:p w:rsidR="0080705C" w:rsidRPr="00B109BF" w:rsidRDefault="0080705C" w:rsidP="00B109BF">
            <w:pPr>
              <w:pStyle w:val="TableText0"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En adoptant les modifications des numéros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11.41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et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11.42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ainsi que l'adjonction du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11.42A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, la CMR-12 reconnaît que, en appliquant le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11.41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pour inscrire une assignation dans le Fichier de référence international des fréquences aux termes de ce numéro, l'administration notificatrice s'engage à se conformer aux dispositions du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11.42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, tel que modifié par la présente Conférence, pour les assignations de fréquence à des services spatiaux et des services de Terre bénéficiant d'attributions dans la même bande de fréquences, avec égalité des droits.</w:t>
            </w:r>
          </w:p>
        </w:tc>
        <w:tc>
          <w:tcPr>
            <w:tcW w:w="630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</w:p>
        </w:tc>
      </w:tr>
      <w:tr w:rsidR="0080705C" w:rsidRPr="00B109BF" w:rsidTr="00730346">
        <w:trPr>
          <w:cantSplit/>
        </w:trPr>
        <w:tc>
          <w:tcPr>
            <w:tcW w:w="141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>34</w:t>
            </w:r>
          </w:p>
        </w:tc>
        <w:tc>
          <w:tcPr>
            <w:tcW w:w="367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>CMR-12</w:t>
            </w:r>
          </w:p>
        </w:tc>
        <w:tc>
          <w:tcPr>
            <w:tcW w:w="538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 xml:space="preserve">13ème séance plénière 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br/>
            </w:r>
            <w:hyperlink r:id="rId21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</w:rPr>
                <w:t>Document 554</w:t>
              </w:r>
            </w:hyperlink>
          </w:p>
        </w:tc>
        <w:tc>
          <w:tcPr>
            <w:tcW w:w="3325" w:type="pct"/>
          </w:tcPr>
          <w:p w:rsidR="0080705C" w:rsidRPr="00B109BF" w:rsidRDefault="0080705C" w:rsidP="00B109BF">
            <w:pPr>
              <w:pStyle w:val="TableText0"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Une administration peut mettre en service ou continuer à utiliser des assignations de fréquence pour l'un de ses réseaux à satellite en utilisant une station spatiale relevant d'une autre administration ou organisation intergouvernementale, à condition que cette administration ou organisation intergouvernementale, après avoir été informée, ne formule pas d'objection, dans un délai de 90 jours à compter de la date de réception des informations. Concernant l'utilisation de cette station spatiale à ces fins, la présente prescription ne doit pas s'appliquer rétroactivement et s'applique aux assignations mises en</w:t>
            </w:r>
            <w:r w:rsidR="00547F93"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 service après la fin de la CMR-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12.</w:t>
            </w:r>
          </w:p>
        </w:tc>
        <w:tc>
          <w:tcPr>
            <w:tcW w:w="630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</w:p>
        </w:tc>
      </w:tr>
      <w:tr w:rsidR="0080705C" w:rsidRPr="00B109BF" w:rsidTr="00730346">
        <w:trPr>
          <w:cantSplit/>
        </w:trPr>
        <w:tc>
          <w:tcPr>
            <w:tcW w:w="141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>36</w:t>
            </w:r>
          </w:p>
        </w:tc>
        <w:tc>
          <w:tcPr>
            <w:tcW w:w="367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eastAsia="ko-KR"/>
              </w:rPr>
              <w:t>CMR-12</w:t>
            </w:r>
          </w:p>
        </w:tc>
        <w:tc>
          <w:tcPr>
            <w:tcW w:w="538" w:type="pct"/>
          </w:tcPr>
          <w:p w:rsidR="00730346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</w:rPr>
              <w:t xml:space="preserve">13ème séance plénière </w:t>
            </w:r>
          </w:p>
          <w:p w:rsidR="0080705C" w:rsidRPr="00B109BF" w:rsidRDefault="00B109BF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</w:rPr>
            </w:pPr>
            <w:hyperlink r:id="rId22" w:history="1">
              <w:r w:rsidR="00730346" w:rsidRPr="00B109BF">
                <w:rPr>
                  <w:rStyle w:val="Hyperlink"/>
                  <w:rFonts w:asciiTheme="majorBidi" w:hAnsiTheme="majorBidi" w:cstheme="majorBidi"/>
                  <w:szCs w:val="22"/>
                </w:rPr>
                <w:t>Document 554</w:t>
              </w:r>
            </w:hyperlink>
          </w:p>
        </w:tc>
        <w:tc>
          <w:tcPr>
            <w:tcW w:w="3325" w:type="pct"/>
          </w:tcPr>
          <w:p w:rsidR="0080705C" w:rsidRPr="00B109BF" w:rsidRDefault="0080705C" w:rsidP="00B109BF">
            <w:pPr>
              <w:pStyle w:val="TableText0"/>
              <w:jc w:val="both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 xml:space="preserve">Le Bureau, lors de l'application du numéro </w:t>
            </w:r>
            <w:r w:rsidRPr="00B109BF">
              <w:rPr>
                <w:rFonts w:asciiTheme="majorBidi" w:eastAsia="Malgun Gothic" w:hAnsiTheme="majorBidi" w:cstheme="majorBidi"/>
                <w:b/>
                <w:szCs w:val="22"/>
                <w:lang w:val="fr-CH"/>
              </w:rPr>
              <w:t>13.6</w:t>
            </w:r>
            <w:r w:rsidRPr="00B109BF"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  <w:t>, demande aux administrations de fournir des renseignements sur les caractéristiques et l'utilisation des réseaux à satellite. En réponse, les administrations doivent soumettre au BR des renseignements sur l'utilisation effective des caractéristiques notifiées des réseaux à satellite commerciaux.</w:t>
            </w:r>
          </w:p>
        </w:tc>
        <w:tc>
          <w:tcPr>
            <w:tcW w:w="630" w:type="pct"/>
          </w:tcPr>
          <w:p w:rsidR="0080705C" w:rsidRPr="00B109BF" w:rsidRDefault="0080705C" w:rsidP="0080705C">
            <w:pPr>
              <w:pStyle w:val="TableText0"/>
              <w:rPr>
                <w:rFonts w:asciiTheme="majorBidi" w:eastAsia="Malgun Gothic" w:hAnsiTheme="majorBidi" w:cstheme="majorBidi"/>
                <w:bCs/>
                <w:szCs w:val="22"/>
                <w:lang w:val="fr-CH"/>
              </w:rPr>
            </w:pPr>
          </w:p>
        </w:tc>
      </w:tr>
    </w:tbl>
    <w:p w:rsidR="0080705C" w:rsidRPr="00B109BF" w:rsidRDefault="0080705C" w:rsidP="0032202E">
      <w:pPr>
        <w:pStyle w:val="Reasons"/>
        <w:rPr>
          <w:rFonts w:asciiTheme="majorBidi" w:hAnsiTheme="majorBidi" w:cstheme="majorBidi"/>
          <w:sz w:val="22"/>
          <w:szCs w:val="22"/>
          <w:lang w:val="fr-CH"/>
        </w:rPr>
      </w:pPr>
    </w:p>
    <w:p w:rsidR="00EE1A57" w:rsidRPr="0080705C" w:rsidRDefault="0080705C" w:rsidP="0080705C">
      <w:pPr>
        <w:jc w:val="center"/>
        <w:rPr>
          <w:rFonts w:asciiTheme="minorHAnsi" w:hAnsiTheme="minorHAnsi" w:cstheme="minorHAnsi"/>
          <w:szCs w:val="24"/>
          <w:lang w:val="fr-CH"/>
        </w:rPr>
      </w:pPr>
      <w:r w:rsidRPr="0080705C">
        <w:rPr>
          <w:rFonts w:asciiTheme="minorHAnsi" w:hAnsiTheme="minorHAnsi"/>
        </w:rPr>
        <w:t>______________</w:t>
      </w:r>
    </w:p>
    <w:sectPr w:rsidR="00EE1A57" w:rsidRPr="0080705C" w:rsidSect="0080705C">
      <w:headerReference w:type="first" r:id="rId23"/>
      <w:footerReference w:type="first" r:id="rId24"/>
      <w:pgSz w:w="16834" w:h="11907" w:orient="landscape" w:code="9"/>
      <w:pgMar w:top="1134" w:right="1134" w:bottom="1134" w:left="992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CA" w:rsidRDefault="00D372CA">
      <w:r>
        <w:separator/>
      </w:r>
    </w:p>
  </w:endnote>
  <w:endnote w:type="continuationSeparator" w:id="0">
    <w:p w:rsidR="00D372CA" w:rsidRDefault="00D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83" w:rsidRPr="008E7182" w:rsidRDefault="00EA2C83" w:rsidP="00387AE4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8E7182">
      <w:rPr>
        <w:color w:val="3E8EDE"/>
        <w:sz w:val="18"/>
        <w:szCs w:val="18"/>
        <w:lang w:val="fr-CH"/>
      </w:rPr>
      <w:t>Union internationale des télécommunications • Place des Nations • CH</w:t>
    </w:r>
    <w:r w:rsidRPr="008E7182">
      <w:rPr>
        <w:color w:val="3E8EDE"/>
        <w:sz w:val="18"/>
        <w:szCs w:val="18"/>
        <w:lang w:val="fr-CH"/>
      </w:rPr>
      <w:noBreakHyphen/>
      <w:t xml:space="preserve">1211 Genève 20 • Suisse </w:t>
    </w:r>
    <w:r w:rsidRPr="008E7182">
      <w:rPr>
        <w:color w:val="3E8EDE"/>
        <w:sz w:val="18"/>
        <w:szCs w:val="18"/>
        <w:lang w:val="fr-CH"/>
      </w:rPr>
      <w:br/>
      <w:t>Tél</w:t>
    </w:r>
    <w:r w:rsidR="00B30CAC">
      <w:rPr>
        <w:color w:val="3E8EDE"/>
        <w:sz w:val="18"/>
        <w:szCs w:val="18"/>
        <w:lang w:val="fr-CH"/>
      </w:rPr>
      <w:t>.</w:t>
    </w:r>
    <w:r w:rsidRPr="008E7182">
      <w:rPr>
        <w:color w:val="3E8EDE"/>
        <w:sz w:val="18"/>
        <w:szCs w:val="18"/>
        <w:lang w:val="fr-CH"/>
      </w:rPr>
      <w:t xml:space="preserve">: +41 22 730 5111 • Fax: +41 22 733 7256 • </w:t>
    </w:r>
    <w:r>
      <w:rPr>
        <w:color w:val="3E8EDE"/>
        <w:sz w:val="18"/>
        <w:szCs w:val="18"/>
        <w:lang w:val="fr-CH"/>
      </w:rPr>
      <w:br/>
    </w:r>
    <w:r w:rsidRPr="008E7182">
      <w:rPr>
        <w:color w:val="3E8EDE"/>
        <w:sz w:val="18"/>
        <w:szCs w:val="18"/>
        <w:lang w:val="fr-CH"/>
      </w:rPr>
      <w:t>Courriel:</w:t>
    </w:r>
    <w:r w:rsidRPr="008E7182">
      <w:rPr>
        <w:color w:val="3E8EDE"/>
        <w:lang w:val="fr-CH"/>
      </w:rPr>
      <w:t xml:space="preserve"> </w:t>
    </w:r>
    <w:hyperlink r:id="rId1" w:history="1">
      <w:r w:rsidRPr="008E7182">
        <w:rPr>
          <w:color w:val="3E8EDE"/>
          <w:sz w:val="18"/>
          <w:szCs w:val="18"/>
          <w:lang w:val="fr-CH"/>
        </w:rPr>
        <w:t>itumail@itu.int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2" w:history="1">
      <w:r w:rsidRPr="008E7182">
        <w:rPr>
          <w:color w:val="3E8EDE"/>
          <w:sz w:val="18"/>
          <w:szCs w:val="18"/>
          <w:lang w:val="fr-CH"/>
        </w:rPr>
        <w:t>www.itu.int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3" w:history="1">
      <w:r w:rsidR="00387AE4" w:rsidRPr="00CD768E">
        <w:rPr>
          <w:color w:val="3E8EDE"/>
          <w:sz w:val="18"/>
          <w:lang w:val="fr-CH"/>
        </w:rPr>
        <w:t>www.itu150.org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5C" w:rsidRPr="00B109BF" w:rsidRDefault="0080705C" w:rsidP="00B10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CA" w:rsidRDefault="00D372CA">
      <w:r>
        <w:t>____________________</w:t>
      </w:r>
    </w:p>
  </w:footnote>
  <w:footnote w:type="continuationSeparator" w:id="0">
    <w:p w:rsidR="00D372CA" w:rsidRDefault="00D372CA">
      <w:r>
        <w:continuationSeparator/>
      </w:r>
    </w:p>
  </w:footnote>
  <w:footnote w:id="1">
    <w:p w:rsidR="004162EF" w:rsidRDefault="004162EF" w:rsidP="004162EF">
      <w:pPr>
        <w:pStyle w:val="FootnoteText"/>
        <w:tabs>
          <w:tab w:val="clear" w:pos="255"/>
          <w:tab w:val="left" w:pos="284"/>
        </w:tabs>
        <w:spacing w:after="240" w:line="240" w:lineRule="auto"/>
        <w:ind w:left="0" w:firstLine="0"/>
        <w:jc w:val="left"/>
      </w:pPr>
      <w:r>
        <w:rPr>
          <w:rStyle w:val="FootnoteReference"/>
        </w:rPr>
        <w:footnoteRef/>
      </w:r>
      <w:r>
        <w:tab/>
      </w:r>
      <w:hyperlink r:id="rId1" w:history="1">
        <w:r w:rsidRPr="00C03B38">
          <w:rPr>
            <w:rStyle w:val="Hyperlink"/>
          </w:rPr>
          <w:t>http://goo.gl/LCpvqH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569F7" w:rsidRDefault="00E915AF" w:rsidP="00A231BC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C3556B"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80705C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 w:rsidR="00C3556B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7582848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915AF" w:rsidRPr="0080705C" w:rsidRDefault="0080705C" w:rsidP="0080705C">
        <w:pPr>
          <w:pStyle w:val="Header"/>
          <w:jc w:val="center"/>
          <w:rPr>
            <w:sz w:val="18"/>
            <w:szCs w:val="18"/>
          </w:rPr>
        </w:pPr>
        <w:r w:rsidRPr="0080705C">
          <w:rPr>
            <w:sz w:val="18"/>
            <w:szCs w:val="18"/>
          </w:rPr>
          <w:fldChar w:fldCharType="begin"/>
        </w:r>
        <w:r w:rsidRPr="0080705C">
          <w:rPr>
            <w:sz w:val="18"/>
            <w:szCs w:val="18"/>
          </w:rPr>
          <w:instrText xml:space="preserve"> PAGE   \* MERGEFORMAT </w:instrText>
        </w:r>
        <w:r w:rsidRPr="0080705C">
          <w:rPr>
            <w:sz w:val="18"/>
            <w:szCs w:val="18"/>
          </w:rPr>
          <w:fldChar w:fldCharType="separate"/>
        </w:r>
        <w:r w:rsidR="00B109BF">
          <w:rPr>
            <w:noProof/>
            <w:sz w:val="18"/>
            <w:szCs w:val="18"/>
          </w:rPr>
          <w:t>3</w:t>
        </w:r>
        <w:r w:rsidRPr="0080705C">
          <w:rPr>
            <w:noProof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642050" w:rsidTr="004228FA">
      <w:trPr>
        <w:jc w:val="center"/>
      </w:trPr>
      <w:tc>
        <w:tcPr>
          <w:tcW w:w="4889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642050" w:rsidRDefault="00E915AF" w:rsidP="0064205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1160828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705C" w:rsidRPr="0080705C" w:rsidRDefault="0080705C" w:rsidP="0080705C">
        <w:pPr>
          <w:pStyle w:val="Header"/>
          <w:jc w:val="center"/>
          <w:rPr>
            <w:sz w:val="18"/>
            <w:szCs w:val="18"/>
          </w:rPr>
        </w:pPr>
        <w:r w:rsidRPr="0080705C">
          <w:rPr>
            <w:sz w:val="18"/>
            <w:szCs w:val="18"/>
          </w:rPr>
          <w:fldChar w:fldCharType="begin"/>
        </w:r>
        <w:r w:rsidRPr="0080705C">
          <w:rPr>
            <w:sz w:val="18"/>
            <w:szCs w:val="18"/>
          </w:rPr>
          <w:instrText xml:space="preserve"> PAGE   \* MERGEFORMAT </w:instrText>
        </w:r>
        <w:r w:rsidRPr="0080705C">
          <w:rPr>
            <w:sz w:val="18"/>
            <w:szCs w:val="18"/>
          </w:rPr>
          <w:fldChar w:fldCharType="separate"/>
        </w:r>
        <w:r w:rsidR="00B109BF">
          <w:rPr>
            <w:noProof/>
            <w:sz w:val="18"/>
            <w:szCs w:val="18"/>
          </w:rPr>
          <w:t>2</w:t>
        </w:r>
        <w:r w:rsidRPr="0080705C">
          <w:rPr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4136B2D"/>
    <w:multiLevelType w:val="hybridMultilevel"/>
    <w:tmpl w:val="876EFD0E"/>
    <w:lvl w:ilvl="0" w:tplc="8D6E41D2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>
    <w:nsid w:val="44B22226"/>
    <w:multiLevelType w:val="hybridMultilevel"/>
    <w:tmpl w:val="876EFD0E"/>
    <w:lvl w:ilvl="0" w:tplc="8D6E41D2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D372CA"/>
    <w:rsid w:val="00006A31"/>
    <w:rsid w:val="00006C82"/>
    <w:rsid w:val="00007552"/>
    <w:rsid w:val="00010E30"/>
    <w:rsid w:val="00015C76"/>
    <w:rsid w:val="00020F6B"/>
    <w:rsid w:val="0002601A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162EF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F93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34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0705C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109BF"/>
    <w:rsid w:val="00B30CAC"/>
    <w:rsid w:val="00B34CF9"/>
    <w:rsid w:val="00B37559"/>
    <w:rsid w:val="00B4054B"/>
    <w:rsid w:val="00B579B0"/>
    <w:rsid w:val="00B57D11"/>
    <w:rsid w:val="00B649D7"/>
    <w:rsid w:val="00B73C41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372CA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1A03FA8-BA0C-4811-8571-3C3923A5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"/>
    <w:basedOn w:val="DefaultParagraphFont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59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4162EF"/>
    <w:rPr>
      <w:szCs w:val="22"/>
      <w:lang w:val="en-US" w:eastAsia="en-US"/>
    </w:rPr>
  </w:style>
  <w:style w:type="character" w:customStyle="1" w:styleId="Heading1Char">
    <w:name w:val="Heading 1 Char"/>
    <w:link w:val="Heading1"/>
    <w:rsid w:val="0080705C"/>
    <w:rPr>
      <w:b/>
      <w:sz w:val="24"/>
      <w:szCs w:val="22"/>
      <w:lang w:val="en-US" w:eastAsia="en-US"/>
    </w:rPr>
  </w:style>
  <w:style w:type="paragraph" w:customStyle="1" w:styleId="TableText0">
    <w:name w:val="Table_Text"/>
    <w:basedOn w:val="Normal"/>
    <w:rsid w:val="0080705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rFonts w:ascii="Times New Roman" w:hAnsi="Times New Roman" w:cs="Times New Roman"/>
      <w:sz w:val="22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0705C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80705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0705C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lue\en\ITU-R\conferences\RRB\Documents\ai%204_1_compendium%20to%20be%20published%20as%20special%20topics_English.docx" TargetMode="External"/><Relationship Id="rId13" Type="http://schemas.openxmlformats.org/officeDocument/2006/relationships/hyperlink" Target="http://www.itu.int/md/R03-WRC03-C-0410/en" TargetMode="External"/><Relationship Id="rId18" Type="http://schemas.openxmlformats.org/officeDocument/2006/relationships/hyperlink" Target="http://www.itu.int/md/R07-WRC07-C-0004/en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itu.int/md/R12-WRC12-C-0554/en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tu.int/md/R07-WRC07-C-0378/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07-WRC07-C-0432/en" TargetMode="External"/><Relationship Id="rId20" Type="http://schemas.openxmlformats.org/officeDocument/2006/relationships/hyperlink" Target="http://www.itu.int/md/R12-WRC12-C-0550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03-WRC03-C-0370/en" TargetMode="Externa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://www.itu.int/md/R12-WRC12-C-0549/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tu.int/md/R03-WRC03-C-0410/en" TargetMode="External"/><Relationship Id="rId22" Type="http://schemas.openxmlformats.org/officeDocument/2006/relationships/hyperlink" Target="http://www.itu.int/md/R12-WRC12-C-0554/en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LCpvq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0C5F73DE08473CA2B6197F3F5A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3BCF-DD69-4FA0-ABA6-45AB182E4BE6}"/>
      </w:docPartPr>
      <w:docPartBody>
        <w:p w:rsidR="000A2739" w:rsidRDefault="000A2739">
          <w:pPr>
            <w:pStyle w:val="B10C5F73DE08473CA2B6197F3F5AA902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39"/>
    <w:rsid w:val="000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0C5F73DE08473CA2B6197F3F5AA902">
    <w:name w:val="B10C5F73DE08473CA2B6197F3F5AA9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0CD5-0604-47FD-8E0E-AB53178E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0</TotalTime>
  <Pages>3</Pages>
  <Words>875</Words>
  <Characters>5819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6681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Royer, Veronique</dc:creator>
  <cp:lastModifiedBy>Gozal, Karine</cp:lastModifiedBy>
  <cp:revision>2</cp:revision>
  <cp:lastPrinted>2015-04-17T12:39:00Z</cp:lastPrinted>
  <dcterms:created xsi:type="dcterms:W3CDTF">2015-04-17T12:39:00Z</dcterms:created>
  <dcterms:modified xsi:type="dcterms:W3CDTF">2015-04-17T12:39:00Z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