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tblLayout w:type="fixed"/>
        <w:tblLook w:val="04A0" w:firstRow="1" w:lastRow="0" w:firstColumn="1" w:lastColumn="0" w:noHBand="0" w:noVBand="1"/>
      </w:tblPr>
      <w:tblGrid>
        <w:gridCol w:w="1526"/>
        <w:gridCol w:w="5528"/>
        <w:gridCol w:w="2835"/>
      </w:tblGrid>
      <w:tr w:rsidR="00EA15B3" w:rsidRPr="007B3DB1" w:rsidTr="00EA15B3">
        <w:tc>
          <w:tcPr>
            <w:tcW w:w="9889" w:type="dxa"/>
            <w:gridSpan w:val="3"/>
            <w:shd w:val="clear" w:color="auto" w:fill="auto"/>
          </w:tcPr>
          <w:p w:rsidR="00EA15B3" w:rsidRDefault="008E38B4" w:rsidP="00117282">
            <w:pPr>
              <w:spacing w:before="0"/>
              <w:jc w:val="left"/>
              <w:rPr>
                <w:rFonts w:cstheme="minorHAnsi"/>
                <w:b/>
                <w:bCs/>
                <w:color w:val="808080"/>
                <w:sz w:val="28"/>
                <w:szCs w:val="28"/>
                <w:lang w:val="en-GB"/>
              </w:rPr>
            </w:pPr>
            <w:r>
              <w:rPr>
                <w:rFonts w:cstheme="minorHAnsi"/>
                <w:b/>
                <w:bCs/>
                <w:color w:val="808080"/>
                <w:sz w:val="28"/>
                <w:szCs w:val="28"/>
                <w:lang w:val="en-GB"/>
              </w:rPr>
              <w:t xml:space="preserve">Radiocommunication </w:t>
            </w:r>
            <w:r w:rsidR="00AF70DA" w:rsidRPr="00AF70DA">
              <w:rPr>
                <w:rFonts w:cstheme="minorHAnsi"/>
                <w:b/>
                <w:bCs/>
                <w:color w:val="808080"/>
                <w:sz w:val="28"/>
                <w:szCs w:val="28"/>
                <w:lang w:val="en-GB"/>
              </w:rPr>
              <w:t>Bureau (BR)</w:t>
            </w:r>
          </w:p>
          <w:p w:rsidR="008E38B4" w:rsidRDefault="008E38B4" w:rsidP="00117282">
            <w:pPr>
              <w:spacing w:before="0"/>
              <w:jc w:val="left"/>
              <w:rPr>
                <w:rFonts w:cstheme="minorHAnsi"/>
                <w:b/>
                <w:bCs/>
                <w:color w:val="808080"/>
                <w:sz w:val="28"/>
                <w:szCs w:val="28"/>
                <w:lang w:val="en-GB"/>
              </w:rPr>
            </w:pPr>
          </w:p>
          <w:p w:rsidR="008E38B4" w:rsidRPr="00AF70DA" w:rsidRDefault="008E38B4" w:rsidP="00117282">
            <w:pPr>
              <w:spacing w:before="0"/>
              <w:jc w:val="left"/>
              <w:rPr>
                <w:rFonts w:cs="Times New Roman Bold"/>
                <w:b/>
                <w:bCs/>
                <w:color w:val="808080"/>
                <w:sz w:val="28"/>
                <w:szCs w:val="28"/>
                <w:lang w:val="en-GB"/>
              </w:rPr>
            </w:pPr>
          </w:p>
        </w:tc>
      </w:tr>
      <w:tr w:rsidR="00651777" w:rsidRPr="00E71778" w:rsidTr="00034340">
        <w:tc>
          <w:tcPr>
            <w:tcW w:w="7054" w:type="dxa"/>
            <w:gridSpan w:val="2"/>
            <w:shd w:val="clear" w:color="auto" w:fill="auto"/>
          </w:tcPr>
          <w:p w:rsidR="00C76D7F" w:rsidRPr="00CD4E44" w:rsidRDefault="00841B33" w:rsidP="00E17344">
            <w:pPr>
              <w:spacing w:before="0"/>
              <w:jc w:val="left"/>
              <w:rPr>
                <w:szCs w:val="24"/>
                <w:lang w:val="fr-CH"/>
              </w:rPr>
            </w:pPr>
            <w:proofErr w:type="spellStart"/>
            <w:r w:rsidRPr="00F72E22">
              <w:rPr>
                <w:szCs w:val="24"/>
                <w:lang w:val="fr-CH"/>
              </w:rPr>
              <w:t>Circular</w:t>
            </w:r>
            <w:proofErr w:type="spellEnd"/>
            <w:r w:rsidRPr="00F72E22">
              <w:rPr>
                <w:szCs w:val="24"/>
                <w:lang w:val="fr-CH"/>
              </w:rPr>
              <w:t xml:space="preserve"> </w:t>
            </w:r>
            <w:proofErr w:type="spellStart"/>
            <w:r w:rsidRPr="00F72E22">
              <w:rPr>
                <w:szCs w:val="24"/>
                <w:lang w:val="fr-CH"/>
              </w:rPr>
              <w:t>Letter</w:t>
            </w:r>
            <w:proofErr w:type="spellEnd"/>
          </w:p>
          <w:p w:rsidR="00651777" w:rsidRPr="00CD4E44" w:rsidRDefault="00E17344" w:rsidP="00B951A9">
            <w:pPr>
              <w:spacing w:before="0"/>
              <w:jc w:val="left"/>
              <w:rPr>
                <w:b/>
                <w:bCs/>
                <w:szCs w:val="24"/>
                <w:lang w:val="fr-CH"/>
              </w:rPr>
            </w:pPr>
            <w:r w:rsidRPr="00CD4E44">
              <w:rPr>
                <w:b/>
                <w:bCs/>
                <w:szCs w:val="24"/>
                <w:lang w:val="fr-CH"/>
              </w:rPr>
              <w:t>C</w:t>
            </w:r>
            <w:r w:rsidR="00841B33">
              <w:rPr>
                <w:b/>
                <w:bCs/>
                <w:szCs w:val="24"/>
                <w:lang w:val="fr-CH"/>
              </w:rPr>
              <w:t>R</w:t>
            </w:r>
            <w:r w:rsidR="003836D4" w:rsidRPr="00CD4E44">
              <w:rPr>
                <w:b/>
                <w:bCs/>
                <w:szCs w:val="24"/>
                <w:lang w:val="fr-CH"/>
              </w:rPr>
              <w:t>/</w:t>
            </w:r>
            <w:r w:rsidR="00E71778">
              <w:rPr>
                <w:b/>
                <w:bCs/>
                <w:szCs w:val="24"/>
                <w:lang w:val="fr-CH"/>
              </w:rPr>
              <w:t>380</w:t>
            </w:r>
          </w:p>
        </w:tc>
        <w:tc>
          <w:tcPr>
            <w:tcW w:w="2835" w:type="dxa"/>
            <w:shd w:val="clear" w:color="auto" w:fill="auto"/>
          </w:tcPr>
          <w:p w:rsidR="00651777" w:rsidRPr="00E71778" w:rsidRDefault="00E71778" w:rsidP="007D036C">
            <w:pPr>
              <w:spacing w:before="0"/>
              <w:jc w:val="right"/>
              <w:rPr>
                <w:szCs w:val="24"/>
                <w:lang w:val="en-GB"/>
              </w:rPr>
            </w:pPr>
            <w:r w:rsidRPr="00E71778">
              <w:rPr>
                <w:szCs w:val="24"/>
                <w:lang w:val="en-GB"/>
              </w:rPr>
              <w:t>1</w:t>
            </w:r>
            <w:r w:rsidR="007D036C">
              <w:rPr>
                <w:szCs w:val="24"/>
                <w:lang w:val="en-GB"/>
              </w:rPr>
              <w:t xml:space="preserve">7 </w:t>
            </w:r>
            <w:bookmarkStart w:id="0" w:name="_GoBack"/>
            <w:bookmarkEnd w:id="0"/>
            <w:r w:rsidR="00B951A9" w:rsidRPr="00E71778">
              <w:rPr>
                <w:szCs w:val="24"/>
                <w:lang w:val="en-GB"/>
              </w:rPr>
              <w:t>April</w:t>
            </w:r>
            <w:r w:rsidR="008D47D1" w:rsidRPr="00E71778">
              <w:rPr>
                <w:szCs w:val="24"/>
                <w:lang w:val="en-GB"/>
              </w:rPr>
              <w:t xml:space="preserve"> 2015</w:t>
            </w:r>
          </w:p>
        </w:tc>
      </w:tr>
      <w:tr w:rsidR="0037309C" w:rsidRPr="00CD4E44" w:rsidTr="004D02EC">
        <w:tc>
          <w:tcPr>
            <w:tcW w:w="9889" w:type="dxa"/>
            <w:gridSpan w:val="3"/>
            <w:shd w:val="clear" w:color="auto" w:fill="auto"/>
          </w:tcPr>
          <w:p w:rsidR="0037309C" w:rsidRPr="00CD4E44" w:rsidRDefault="0037309C" w:rsidP="006047E5">
            <w:pPr>
              <w:spacing w:before="0"/>
              <w:jc w:val="left"/>
              <w:rPr>
                <w:rFonts w:cs="Arial"/>
                <w:szCs w:val="24"/>
                <w:lang w:val="en-GB"/>
              </w:rPr>
            </w:pPr>
          </w:p>
        </w:tc>
      </w:tr>
      <w:tr w:rsidR="0037309C" w:rsidRPr="00CD4E44" w:rsidTr="00D374CD">
        <w:tc>
          <w:tcPr>
            <w:tcW w:w="9889" w:type="dxa"/>
            <w:gridSpan w:val="3"/>
            <w:shd w:val="clear" w:color="auto" w:fill="auto"/>
          </w:tcPr>
          <w:p w:rsidR="0037309C" w:rsidRPr="00CD4E44" w:rsidRDefault="0037309C" w:rsidP="00D374CD">
            <w:pPr>
              <w:spacing w:before="0"/>
              <w:jc w:val="left"/>
              <w:rPr>
                <w:szCs w:val="24"/>
              </w:rPr>
            </w:pPr>
          </w:p>
        </w:tc>
      </w:tr>
      <w:tr w:rsidR="0037309C" w:rsidRPr="00CD4E44" w:rsidTr="004D02EC">
        <w:tc>
          <w:tcPr>
            <w:tcW w:w="9889" w:type="dxa"/>
            <w:gridSpan w:val="3"/>
            <w:shd w:val="clear" w:color="auto" w:fill="auto"/>
          </w:tcPr>
          <w:p w:rsidR="0037309C" w:rsidRPr="00CD4E44" w:rsidRDefault="0037309C" w:rsidP="006047E5">
            <w:pPr>
              <w:spacing w:before="0"/>
              <w:jc w:val="left"/>
              <w:rPr>
                <w:b/>
                <w:bCs/>
                <w:szCs w:val="24"/>
              </w:rPr>
            </w:pPr>
            <w:r w:rsidRPr="00CD4E44">
              <w:rPr>
                <w:b/>
                <w:bCs/>
                <w:szCs w:val="24"/>
              </w:rPr>
              <w:t>To Administrati</w:t>
            </w:r>
            <w:r w:rsidR="00BE35C0">
              <w:rPr>
                <w:b/>
                <w:bCs/>
                <w:szCs w:val="24"/>
              </w:rPr>
              <w:t>ons of Member States of the ITU</w:t>
            </w:r>
          </w:p>
          <w:p w:rsidR="00D21694" w:rsidRPr="00CD4E44" w:rsidRDefault="00D21694" w:rsidP="006047E5">
            <w:pPr>
              <w:spacing w:before="0"/>
              <w:jc w:val="left"/>
              <w:rPr>
                <w:b/>
                <w:bCs/>
                <w:szCs w:val="24"/>
              </w:rPr>
            </w:pPr>
          </w:p>
          <w:p w:rsidR="00D21694" w:rsidRPr="00CD4E44" w:rsidRDefault="00D21694" w:rsidP="006047E5">
            <w:pPr>
              <w:spacing w:before="0"/>
              <w:jc w:val="left"/>
              <w:rPr>
                <w:b/>
                <w:bCs/>
                <w:szCs w:val="24"/>
              </w:rPr>
            </w:pPr>
          </w:p>
        </w:tc>
      </w:tr>
      <w:tr w:rsidR="0037309C" w:rsidRPr="00CD4E44" w:rsidTr="004D02EC">
        <w:tc>
          <w:tcPr>
            <w:tcW w:w="9889" w:type="dxa"/>
            <w:gridSpan w:val="3"/>
            <w:shd w:val="clear" w:color="auto" w:fill="auto"/>
          </w:tcPr>
          <w:p w:rsidR="0037309C" w:rsidRPr="00CD4E44" w:rsidRDefault="0037309C" w:rsidP="006047E5">
            <w:pPr>
              <w:spacing w:before="0"/>
              <w:jc w:val="left"/>
              <w:rPr>
                <w:szCs w:val="24"/>
              </w:rPr>
            </w:pPr>
          </w:p>
        </w:tc>
      </w:tr>
      <w:tr w:rsidR="00B4054B" w:rsidRPr="00CD4E44" w:rsidTr="0037309C">
        <w:tc>
          <w:tcPr>
            <w:tcW w:w="1526" w:type="dxa"/>
            <w:shd w:val="clear" w:color="auto" w:fill="auto"/>
          </w:tcPr>
          <w:p w:rsidR="00B4054B" w:rsidRPr="00CD4E44" w:rsidRDefault="00B4054B" w:rsidP="006A0053">
            <w:pPr>
              <w:spacing w:before="0"/>
              <w:jc w:val="left"/>
              <w:rPr>
                <w:szCs w:val="24"/>
                <w:lang w:val="en-GB"/>
              </w:rPr>
            </w:pPr>
            <w:r w:rsidRPr="00CD4E44">
              <w:rPr>
                <w:szCs w:val="24"/>
              </w:rPr>
              <w:t>Subject:</w:t>
            </w:r>
          </w:p>
        </w:tc>
        <w:tc>
          <w:tcPr>
            <w:tcW w:w="8363" w:type="dxa"/>
            <w:gridSpan w:val="2"/>
            <w:vMerge w:val="restart"/>
            <w:shd w:val="clear" w:color="auto" w:fill="auto"/>
          </w:tcPr>
          <w:p w:rsidR="00B4054B" w:rsidRPr="00CD4E44" w:rsidRDefault="00B951A9" w:rsidP="00012C68">
            <w:pPr>
              <w:spacing w:before="0"/>
              <w:rPr>
                <w:b/>
                <w:bCs/>
                <w:szCs w:val="24"/>
                <w:lang w:val="en-GB"/>
              </w:rPr>
            </w:pPr>
            <w:r>
              <w:rPr>
                <w:b/>
                <w:bCs/>
                <w:szCs w:val="24"/>
                <w:lang w:val="en-GB"/>
              </w:rPr>
              <w:t>Decisions of past WRCs concerning the application of the Radio Regulations</w:t>
            </w:r>
          </w:p>
        </w:tc>
      </w:tr>
      <w:tr w:rsidR="00B4054B" w:rsidRPr="00CD4E44" w:rsidTr="006A0053">
        <w:tc>
          <w:tcPr>
            <w:tcW w:w="1526" w:type="dxa"/>
            <w:shd w:val="clear" w:color="auto" w:fill="auto"/>
          </w:tcPr>
          <w:p w:rsidR="00B4054B" w:rsidRPr="00CD4E44" w:rsidRDefault="00B4054B" w:rsidP="006A0053">
            <w:pPr>
              <w:spacing w:before="0"/>
              <w:jc w:val="left"/>
              <w:rPr>
                <w:b/>
                <w:bCs/>
                <w:szCs w:val="24"/>
                <w:lang w:val="en-GB"/>
              </w:rPr>
            </w:pPr>
          </w:p>
        </w:tc>
        <w:tc>
          <w:tcPr>
            <w:tcW w:w="8363" w:type="dxa"/>
            <w:gridSpan w:val="2"/>
            <w:vMerge/>
            <w:shd w:val="clear" w:color="auto" w:fill="auto"/>
          </w:tcPr>
          <w:p w:rsidR="00B4054B" w:rsidRPr="00CD4E44" w:rsidRDefault="00B4054B" w:rsidP="006A0053">
            <w:pPr>
              <w:spacing w:before="0"/>
              <w:rPr>
                <w:b/>
                <w:bCs/>
                <w:szCs w:val="24"/>
                <w:lang w:val="en-GB"/>
              </w:rPr>
            </w:pPr>
          </w:p>
        </w:tc>
      </w:tr>
      <w:tr w:rsidR="00B4054B" w:rsidRPr="00CD4E44" w:rsidTr="006A0053">
        <w:tc>
          <w:tcPr>
            <w:tcW w:w="1526" w:type="dxa"/>
            <w:shd w:val="clear" w:color="auto" w:fill="auto"/>
          </w:tcPr>
          <w:p w:rsidR="00B4054B" w:rsidRPr="00CD4E44" w:rsidRDefault="00B4054B" w:rsidP="006A0053">
            <w:pPr>
              <w:spacing w:before="0"/>
              <w:jc w:val="left"/>
              <w:rPr>
                <w:b/>
                <w:bCs/>
                <w:szCs w:val="24"/>
                <w:lang w:val="en-GB"/>
              </w:rPr>
            </w:pPr>
          </w:p>
        </w:tc>
        <w:tc>
          <w:tcPr>
            <w:tcW w:w="8363" w:type="dxa"/>
            <w:gridSpan w:val="2"/>
            <w:vMerge/>
            <w:shd w:val="clear" w:color="auto" w:fill="auto"/>
          </w:tcPr>
          <w:p w:rsidR="00B4054B" w:rsidRPr="00CD4E44" w:rsidRDefault="00B4054B" w:rsidP="006A0053">
            <w:pPr>
              <w:spacing w:before="0"/>
              <w:rPr>
                <w:b/>
                <w:bCs/>
                <w:szCs w:val="24"/>
                <w:lang w:val="en-GB"/>
              </w:rPr>
            </w:pPr>
          </w:p>
        </w:tc>
      </w:tr>
    </w:tbl>
    <w:p w:rsidR="004A4D70" w:rsidRDefault="004A4D70" w:rsidP="004A4D70">
      <w:pPr>
        <w:rPr>
          <w:szCs w:val="24"/>
        </w:rPr>
      </w:pPr>
      <w:r>
        <w:rPr>
          <w:szCs w:val="24"/>
        </w:rPr>
        <w:t>At its 68</w:t>
      </w:r>
      <w:r w:rsidRPr="00E46848">
        <w:rPr>
          <w:szCs w:val="24"/>
          <w:vertAlign w:val="superscript"/>
        </w:rPr>
        <w:t>th</w:t>
      </w:r>
      <w:r>
        <w:rPr>
          <w:szCs w:val="24"/>
        </w:rPr>
        <w:t xml:space="preserve"> meeting (16-20 March 2015) the Board considered </w:t>
      </w:r>
      <w:r w:rsidR="00ED37D0">
        <w:rPr>
          <w:szCs w:val="24"/>
        </w:rPr>
        <w:t xml:space="preserve">a </w:t>
      </w:r>
      <w:r w:rsidR="00FC50AB">
        <w:rPr>
          <w:szCs w:val="24"/>
        </w:rPr>
        <w:t>compendium</w:t>
      </w:r>
      <w:r w:rsidR="00ED37D0">
        <w:rPr>
          <w:szCs w:val="24"/>
        </w:rPr>
        <w:t xml:space="preserve"> of decisions of previous World Radiocommunication Conferences (WRCs) that were of a regulatory nature and for which, at the time, no corresponding provision existed in the Radio Regulations or in the Rules of Procedure</w:t>
      </w:r>
      <w:r>
        <w:rPr>
          <w:szCs w:val="24"/>
        </w:rPr>
        <w:t>.</w:t>
      </w:r>
    </w:p>
    <w:p w:rsidR="00ED37D0" w:rsidRDefault="004A4D70" w:rsidP="004A4D70">
      <w:pPr>
        <w:rPr>
          <w:szCs w:val="24"/>
        </w:rPr>
      </w:pPr>
      <w:r>
        <w:rPr>
          <w:szCs w:val="24"/>
        </w:rPr>
        <w:t xml:space="preserve">In its review (see </w:t>
      </w:r>
      <w:r w:rsidR="00ED37D0">
        <w:rPr>
          <w:szCs w:val="24"/>
        </w:rPr>
        <w:t xml:space="preserve">this </w:t>
      </w:r>
      <w:hyperlink r:id="rId8" w:history="1">
        <w:r w:rsidR="00FC50AB">
          <w:rPr>
            <w:rStyle w:val="Hyperlink"/>
            <w:szCs w:val="24"/>
          </w:rPr>
          <w:t>Compendium</w:t>
        </w:r>
      </w:hyperlink>
      <w:r w:rsidR="00C3105A" w:rsidRPr="00CF4FE5">
        <w:rPr>
          <w:rStyle w:val="FootnoteReference"/>
          <w:szCs w:val="24"/>
        </w:rPr>
        <w:footnoteReference w:id="1"/>
      </w:r>
      <w:r w:rsidRPr="00CF4FE5">
        <w:rPr>
          <w:rStyle w:val="Hyperlink"/>
          <w:color w:val="auto"/>
          <w:szCs w:val="24"/>
          <w:u w:val="none"/>
        </w:rPr>
        <w:t>),</w:t>
      </w:r>
      <w:r w:rsidRPr="004A4D70">
        <w:rPr>
          <w:rStyle w:val="Hyperlink"/>
          <w:color w:val="auto"/>
          <w:szCs w:val="24"/>
          <w:u w:val="none"/>
        </w:rPr>
        <w:t xml:space="preserve"> the </w:t>
      </w:r>
      <w:r>
        <w:rPr>
          <w:szCs w:val="24"/>
        </w:rPr>
        <w:t>Board</w:t>
      </w:r>
      <w:r w:rsidR="00FC50AB">
        <w:rPr>
          <w:szCs w:val="24"/>
        </w:rPr>
        <w:t xml:space="preserve"> identified</w:t>
      </w:r>
      <w:r w:rsidR="00ED37D0">
        <w:rPr>
          <w:szCs w:val="24"/>
        </w:rPr>
        <w:t xml:space="preserve"> </w:t>
      </w:r>
      <w:r w:rsidR="00FC50AB">
        <w:rPr>
          <w:szCs w:val="24"/>
        </w:rPr>
        <w:t>a</w:t>
      </w:r>
      <w:r w:rsidR="00ED37D0">
        <w:rPr>
          <w:szCs w:val="24"/>
        </w:rPr>
        <w:t xml:space="preserve"> number of these WRC decisions that were of an interpretative nature, but which still remain relevant. The Board requested the Director to issue this circular letter to draw the attention of the administrations to the specific identified decisions. </w:t>
      </w:r>
    </w:p>
    <w:p w:rsidR="00ED37D0" w:rsidRPr="00D005CF" w:rsidRDefault="00ED37D0" w:rsidP="00FC50AB">
      <w:pPr>
        <w:rPr>
          <w:szCs w:val="24"/>
        </w:rPr>
      </w:pPr>
      <w:r>
        <w:rPr>
          <w:szCs w:val="24"/>
        </w:rPr>
        <w:t xml:space="preserve">This </w:t>
      </w:r>
      <w:r w:rsidR="00FC50AB">
        <w:rPr>
          <w:szCs w:val="24"/>
        </w:rPr>
        <w:t>list</w:t>
      </w:r>
      <w:r>
        <w:rPr>
          <w:szCs w:val="24"/>
        </w:rPr>
        <w:t xml:space="preserve"> </w:t>
      </w:r>
      <w:r w:rsidR="00E71778">
        <w:rPr>
          <w:szCs w:val="24"/>
        </w:rPr>
        <w:t xml:space="preserve">is </w:t>
      </w:r>
      <w:r>
        <w:rPr>
          <w:szCs w:val="24"/>
        </w:rPr>
        <w:t>contained in the Annex to this letter</w:t>
      </w:r>
      <w:r w:rsidRPr="00D005CF">
        <w:rPr>
          <w:szCs w:val="24"/>
        </w:rPr>
        <w:t>.</w:t>
      </w:r>
    </w:p>
    <w:p w:rsidR="00B951A9" w:rsidRDefault="00B951A9" w:rsidP="00B951A9">
      <w:pPr>
        <w:rPr>
          <w:rFonts w:asciiTheme="minorHAnsi" w:hAnsiTheme="minorHAnsi" w:cstheme="minorHAnsi"/>
          <w:szCs w:val="24"/>
        </w:rPr>
      </w:pPr>
    </w:p>
    <w:p w:rsidR="00B951A9" w:rsidRPr="00F15D95" w:rsidRDefault="00B951A9" w:rsidP="00B951A9">
      <w:pPr>
        <w:rPr>
          <w:rFonts w:asciiTheme="minorHAnsi" w:hAnsiTheme="minorHAnsi" w:cstheme="minorHAnsi"/>
          <w:szCs w:val="24"/>
        </w:rPr>
      </w:pPr>
    </w:p>
    <w:p w:rsidR="00B951A9" w:rsidRPr="00ED37D0" w:rsidRDefault="00B951A9" w:rsidP="00B951A9">
      <w:pPr>
        <w:spacing w:before="0" w:line="240" w:lineRule="auto"/>
        <w:jc w:val="left"/>
        <w:rPr>
          <w:rFonts w:asciiTheme="minorHAnsi" w:hAnsiTheme="minorHAnsi" w:cstheme="minorHAnsi"/>
          <w:szCs w:val="24"/>
          <w:lang w:val="fr-CH"/>
        </w:rPr>
      </w:pPr>
      <w:r w:rsidRPr="00ED37D0">
        <w:rPr>
          <w:rFonts w:asciiTheme="minorHAnsi" w:hAnsiTheme="minorHAnsi" w:cstheme="minorHAnsi"/>
          <w:szCs w:val="24"/>
          <w:lang w:val="fr-CH"/>
        </w:rPr>
        <w:t>François Rancy</w:t>
      </w:r>
    </w:p>
    <w:p w:rsidR="00B951A9" w:rsidRPr="00ED37D0" w:rsidRDefault="00B951A9" w:rsidP="00B951A9">
      <w:pPr>
        <w:spacing w:before="0" w:line="240" w:lineRule="auto"/>
        <w:jc w:val="left"/>
        <w:rPr>
          <w:rFonts w:asciiTheme="minorHAnsi" w:hAnsiTheme="minorHAnsi" w:cstheme="minorHAnsi"/>
          <w:szCs w:val="24"/>
          <w:lang w:val="fr-CH"/>
        </w:rPr>
      </w:pPr>
      <w:proofErr w:type="spellStart"/>
      <w:r w:rsidRPr="00ED37D0">
        <w:rPr>
          <w:rFonts w:asciiTheme="minorHAnsi" w:hAnsiTheme="minorHAnsi" w:cstheme="minorHAnsi"/>
          <w:szCs w:val="24"/>
          <w:lang w:val="fr-CH"/>
        </w:rPr>
        <w:t>Director</w:t>
      </w:r>
      <w:proofErr w:type="spellEnd"/>
    </w:p>
    <w:p w:rsidR="00B951A9" w:rsidRPr="00ED37D0" w:rsidRDefault="00B951A9" w:rsidP="00B951A9">
      <w:pPr>
        <w:spacing w:before="0" w:line="240" w:lineRule="auto"/>
        <w:jc w:val="left"/>
        <w:rPr>
          <w:rFonts w:asciiTheme="minorHAnsi" w:hAnsiTheme="minorHAnsi" w:cstheme="minorHAnsi"/>
          <w:szCs w:val="24"/>
          <w:lang w:val="fr-CH"/>
        </w:rPr>
      </w:pPr>
    </w:p>
    <w:p w:rsidR="00B951A9" w:rsidRPr="00ED37D0" w:rsidRDefault="00B951A9" w:rsidP="00B951A9">
      <w:pPr>
        <w:spacing w:before="0" w:line="240" w:lineRule="auto"/>
        <w:jc w:val="left"/>
        <w:rPr>
          <w:rFonts w:asciiTheme="minorHAnsi" w:hAnsiTheme="minorHAnsi" w:cstheme="minorHAnsi"/>
          <w:szCs w:val="24"/>
          <w:lang w:val="fr-CH"/>
        </w:rPr>
      </w:pPr>
    </w:p>
    <w:p w:rsidR="00B951A9" w:rsidRPr="00ED37D0" w:rsidRDefault="00B951A9" w:rsidP="00B951A9">
      <w:pPr>
        <w:spacing w:before="0" w:line="240" w:lineRule="auto"/>
        <w:jc w:val="left"/>
        <w:rPr>
          <w:rFonts w:asciiTheme="minorHAnsi" w:hAnsiTheme="minorHAnsi" w:cstheme="minorHAnsi"/>
          <w:b/>
          <w:bCs/>
          <w:szCs w:val="24"/>
          <w:lang w:val="fr-CH"/>
        </w:rPr>
      </w:pPr>
      <w:proofErr w:type="spellStart"/>
      <w:r w:rsidRPr="00ED37D0">
        <w:rPr>
          <w:rFonts w:asciiTheme="minorHAnsi" w:hAnsiTheme="minorHAnsi" w:cstheme="minorHAnsi"/>
          <w:b/>
          <w:bCs/>
          <w:szCs w:val="24"/>
          <w:lang w:val="fr-CH"/>
        </w:rPr>
        <w:t>A</w:t>
      </w:r>
      <w:r w:rsidR="00D021FC" w:rsidRPr="00ED37D0">
        <w:rPr>
          <w:rFonts w:asciiTheme="minorHAnsi" w:hAnsiTheme="minorHAnsi" w:cstheme="minorHAnsi"/>
          <w:b/>
          <w:bCs/>
          <w:szCs w:val="24"/>
          <w:lang w:val="fr-CH"/>
        </w:rPr>
        <w:t>nnex</w:t>
      </w:r>
      <w:proofErr w:type="spellEnd"/>
      <w:r w:rsidR="00D021FC" w:rsidRPr="00ED37D0">
        <w:rPr>
          <w:rFonts w:asciiTheme="minorHAnsi" w:hAnsiTheme="minorHAnsi" w:cstheme="minorHAnsi"/>
          <w:b/>
          <w:bCs/>
          <w:szCs w:val="24"/>
          <w:lang w:val="fr-CH"/>
        </w:rPr>
        <w:t>.</w:t>
      </w:r>
    </w:p>
    <w:p w:rsidR="00841B33" w:rsidRPr="00ED37D0" w:rsidRDefault="00841B33" w:rsidP="00841B33">
      <w:pPr>
        <w:pStyle w:val="toc0"/>
        <w:tabs>
          <w:tab w:val="left" w:pos="794"/>
          <w:tab w:val="left" w:pos="1191"/>
          <w:tab w:val="left" w:pos="1588"/>
          <w:tab w:val="left" w:pos="1985"/>
        </w:tabs>
        <w:spacing w:before="480"/>
        <w:jc w:val="both"/>
        <w:rPr>
          <w:bCs/>
          <w:sz w:val="18"/>
          <w:szCs w:val="18"/>
          <w:u w:val="single"/>
          <w:lang w:val="fr-CH"/>
        </w:rPr>
      </w:pPr>
      <w:bookmarkStart w:id="1" w:name="ddistribution"/>
      <w:bookmarkEnd w:id="1"/>
      <w:r w:rsidRPr="00ED37D0">
        <w:rPr>
          <w:bCs/>
          <w:sz w:val="18"/>
          <w:szCs w:val="18"/>
          <w:u w:val="single"/>
          <w:lang w:val="fr-CH"/>
        </w:rPr>
        <w:t>Distribution:</w:t>
      </w:r>
    </w:p>
    <w:p w:rsidR="00841B33" w:rsidRPr="008E0564" w:rsidRDefault="00841B33" w:rsidP="00841B33">
      <w:pPr>
        <w:pStyle w:val="enumlev1"/>
        <w:tabs>
          <w:tab w:val="clear" w:pos="794"/>
          <w:tab w:val="left" w:pos="284"/>
        </w:tabs>
        <w:rPr>
          <w:sz w:val="18"/>
          <w:szCs w:val="18"/>
        </w:rPr>
      </w:pPr>
      <w:r w:rsidRPr="008E0564">
        <w:rPr>
          <w:sz w:val="18"/>
          <w:szCs w:val="18"/>
        </w:rPr>
        <w:t>–</w:t>
      </w:r>
      <w:r w:rsidRPr="008E0564">
        <w:rPr>
          <w:sz w:val="18"/>
          <w:szCs w:val="18"/>
        </w:rPr>
        <w:tab/>
        <w:t>Administrations of Member States of ITU</w:t>
      </w:r>
    </w:p>
    <w:p w:rsidR="009F725C" w:rsidRDefault="00841B33" w:rsidP="00841B33">
      <w:pPr>
        <w:pStyle w:val="enumlev1"/>
        <w:tabs>
          <w:tab w:val="clear" w:pos="794"/>
          <w:tab w:val="left" w:pos="284"/>
        </w:tabs>
        <w:spacing w:before="0"/>
        <w:rPr>
          <w:sz w:val="18"/>
          <w:szCs w:val="18"/>
        </w:rPr>
      </w:pPr>
      <w:r w:rsidRPr="008E0564">
        <w:rPr>
          <w:sz w:val="18"/>
          <w:szCs w:val="18"/>
        </w:rPr>
        <w:t>–</w:t>
      </w:r>
      <w:r w:rsidRPr="008E0564">
        <w:rPr>
          <w:sz w:val="18"/>
          <w:szCs w:val="18"/>
        </w:rPr>
        <w:tab/>
        <w:t>Members of the Radio Regulations Board</w:t>
      </w:r>
    </w:p>
    <w:p w:rsidR="00383863" w:rsidRDefault="00383863" w:rsidP="00C737AD">
      <w:pPr>
        <w:tabs>
          <w:tab w:val="clear" w:pos="794"/>
          <w:tab w:val="clear" w:pos="1191"/>
          <w:tab w:val="clear" w:pos="1588"/>
          <w:tab w:val="clear" w:pos="1985"/>
          <w:tab w:val="center" w:pos="4819"/>
        </w:tabs>
        <w:overflowPunct/>
        <w:autoSpaceDE/>
        <w:autoSpaceDN/>
        <w:adjustRightInd/>
        <w:spacing w:before="0" w:line="240" w:lineRule="auto"/>
        <w:jc w:val="left"/>
        <w:textAlignment w:val="auto"/>
        <w:rPr>
          <w:sz w:val="18"/>
          <w:szCs w:val="18"/>
        </w:rPr>
        <w:sectPr w:rsidR="00383863" w:rsidSect="00383863">
          <w:headerReference w:type="even" r:id="rId9"/>
          <w:headerReference w:type="default" r:id="rId10"/>
          <w:headerReference w:type="first" r:id="rId11"/>
          <w:footerReference w:type="first" r:id="rId12"/>
          <w:pgSz w:w="11907" w:h="16834" w:code="9"/>
          <w:pgMar w:top="1134" w:right="1134" w:bottom="993" w:left="1134" w:header="567" w:footer="397" w:gutter="0"/>
          <w:cols w:space="720"/>
          <w:titlePg/>
          <w:docGrid w:linePitch="326"/>
        </w:sectPr>
      </w:pPr>
    </w:p>
    <w:p w:rsidR="00383863" w:rsidRDefault="00383863" w:rsidP="00383863">
      <w:pPr>
        <w:jc w:val="center"/>
        <w:rPr>
          <w:rFonts w:asciiTheme="majorBidi" w:hAnsiTheme="majorBidi" w:cstheme="majorBidi"/>
          <w:b/>
          <w:bCs/>
          <w:szCs w:val="24"/>
        </w:rPr>
      </w:pPr>
      <w:r>
        <w:rPr>
          <w:rFonts w:asciiTheme="majorBidi" w:hAnsiTheme="majorBidi" w:cstheme="majorBidi"/>
          <w:b/>
          <w:bCs/>
          <w:szCs w:val="24"/>
        </w:rPr>
        <w:lastRenderedPageBreak/>
        <w:t>Annex</w:t>
      </w:r>
    </w:p>
    <w:p w:rsidR="00383863" w:rsidRPr="00494233" w:rsidRDefault="00383863" w:rsidP="00383863">
      <w:pPr>
        <w:jc w:val="center"/>
        <w:rPr>
          <w:rFonts w:asciiTheme="majorBidi" w:hAnsiTheme="majorBidi" w:cstheme="majorBidi"/>
          <w:b/>
          <w:bCs/>
          <w:szCs w:val="24"/>
        </w:rPr>
      </w:pPr>
      <w:r w:rsidRPr="00494233">
        <w:rPr>
          <w:rFonts w:asciiTheme="majorBidi" w:hAnsiTheme="majorBidi" w:cstheme="majorBidi"/>
          <w:b/>
          <w:bCs/>
          <w:szCs w:val="24"/>
        </w:rPr>
        <w:t xml:space="preserve">Compendium of </w:t>
      </w:r>
      <w:r>
        <w:rPr>
          <w:rFonts w:asciiTheme="majorBidi" w:hAnsiTheme="majorBidi" w:cstheme="majorBidi"/>
          <w:b/>
          <w:bCs/>
          <w:szCs w:val="24"/>
        </w:rPr>
        <w:t xml:space="preserve">still relevant </w:t>
      </w:r>
      <w:r w:rsidRPr="00494233">
        <w:rPr>
          <w:rFonts w:asciiTheme="majorBidi" w:hAnsiTheme="majorBidi" w:cstheme="majorBidi"/>
          <w:b/>
          <w:bCs/>
          <w:szCs w:val="24"/>
        </w:rPr>
        <w:t>WRC decisions not reflected in the Radio Regulations</w:t>
      </w:r>
    </w:p>
    <w:p w:rsidR="00383863" w:rsidRPr="00494233" w:rsidRDefault="00383863" w:rsidP="00383863">
      <w:pPr>
        <w:spacing w:before="0"/>
        <w:rPr>
          <w:rFonts w:asciiTheme="majorBidi" w:hAnsiTheme="majorBidi" w:cstheme="majorBidi"/>
          <w:szCs w:val="24"/>
        </w:rPr>
      </w:pPr>
    </w:p>
    <w:tbl>
      <w:tblPr>
        <w:tblStyle w:val="TableGrid"/>
        <w:tblW w:w="5307" w:type="pct"/>
        <w:tblInd w:w="-147" w:type="dxa"/>
        <w:tblLook w:val="0420" w:firstRow="1" w:lastRow="0" w:firstColumn="0" w:lastColumn="0" w:noHBand="0" w:noVBand="1"/>
      </w:tblPr>
      <w:tblGrid>
        <w:gridCol w:w="456"/>
        <w:gridCol w:w="1204"/>
        <w:gridCol w:w="1385"/>
        <w:gridCol w:w="10551"/>
        <w:gridCol w:w="2003"/>
      </w:tblGrid>
      <w:tr w:rsidR="00383863" w:rsidRPr="00494233" w:rsidTr="003D3B94">
        <w:trPr>
          <w:cantSplit/>
          <w:tblHeader/>
        </w:trPr>
        <w:tc>
          <w:tcPr>
            <w:tcW w:w="146" w:type="pct"/>
            <w:vAlign w:val="center"/>
          </w:tcPr>
          <w:p w:rsidR="00383863" w:rsidRPr="00494233" w:rsidRDefault="00383863" w:rsidP="00681380">
            <w:pPr>
              <w:pStyle w:val="Tablehead"/>
              <w:rPr>
                <w:rFonts w:asciiTheme="majorBidi" w:hAnsiTheme="majorBidi" w:cstheme="majorBidi"/>
                <w:b w:val="0"/>
                <w:bCs/>
                <w:sz w:val="24"/>
                <w:szCs w:val="24"/>
              </w:rPr>
            </w:pPr>
          </w:p>
        </w:tc>
        <w:tc>
          <w:tcPr>
            <w:tcW w:w="386" w:type="pct"/>
            <w:vAlign w:val="center"/>
          </w:tcPr>
          <w:p w:rsidR="00383863" w:rsidRPr="00494233" w:rsidRDefault="00383863" w:rsidP="00681380">
            <w:pPr>
              <w:pStyle w:val="Tablehead"/>
              <w:rPr>
                <w:rFonts w:asciiTheme="majorBidi" w:hAnsiTheme="majorBidi" w:cstheme="majorBidi"/>
                <w:sz w:val="24"/>
                <w:szCs w:val="24"/>
              </w:rPr>
            </w:pPr>
            <w:r w:rsidRPr="00494233">
              <w:rPr>
                <w:rFonts w:asciiTheme="majorBidi" w:hAnsiTheme="majorBidi" w:cstheme="majorBidi"/>
                <w:sz w:val="24"/>
                <w:szCs w:val="24"/>
              </w:rPr>
              <w:t>WRC</w:t>
            </w:r>
          </w:p>
        </w:tc>
        <w:tc>
          <w:tcPr>
            <w:tcW w:w="444" w:type="pct"/>
            <w:vAlign w:val="center"/>
          </w:tcPr>
          <w:p w:rsidR="00383863" w:rsidRPr="00494233" w:rsidRDefault="00383863" w:rsidP="00681380">
            <w:pPr>
              <w:pStyle w:val="Tablehead"/>
              <w:rPr>
                <w:rFonts w:asciiTheme="majorBidi" w:hAnsiTheme="majorBidi" w:cstheme="majorBidi"/>
                <w:sz w:val="24"/>
                <w:szCs w:val="24"/>
              </w:rPr>
            </w:pPr>
            <w:r w:rsidRPr="00494233">
              <w:rPr>
                <w:rFonts w:asciiTheme="majorBidi" w:hAnsiTheme="majorBidi" w:cstheme="majorBidi"/>
                <w:sz w:val="24"/>
                <w:szCs w:val="24"/>
              </w:rPr>
              <w:t>Reference</w:t>
            </w:r>
          </w:p>
        </w:tc>
        <w:tc>
          <w:tcPr>
            <w:tcW w:w="3382" w:type="pct"/>
            <w:vAlign w:val="center"/>
          </w:tcPr>
          <w:p w:rsidR="00383863" w:rsidRPr="00494233" w:rsidRDefault="00383863" w:rsidP="00681380">
            <w:pPr>
              <w:pStyle w:val="Tablehead"/>
              <w:rPr>
                <w:rFonts w:asciiTheme="majorBidi" w:hAnsiTheme="majorBidi" w:cstheme="majorBidi"/>
                <w:sz w:val="24"/>
                <w:szCs w:val="24"/>
              </w:rPr>
            </w:pPr>
            <w:r w:rsidRPr="00494233">
              <w:rPr>
                <w:rFonts w:asciiTheme="majorBidi" w:hAnsiTheme="majorBidi" w:cstheme="majorBidi"/>
                <w:sz w:val="24"/>
                <w:szCs w:val="24"/>
              </w:rPr>
              <w:t>Decision</w:t>
            </w:r>
          </w:p>
        </w:tc>
        <w:tc>
          <w:tcPr>
            <w:tcW w:w="642" w:type="pct"/>
            <w:vAlign w:val="center"/>
          </w:tcPr>
          <w:p w:rsidR="00383863" w:rsidRPr="00494233" w:rsidRDefault="00383863" w:rsidP="00681380">
            <w:pPr>
              <w:pStyle w:val="Tablehead"/>
              <w:rPr>
                <w:rFonts w:asciiTheme="majorBidi" w:hAnsiTheme="majorBidi" w:cstheme="majorBidi"/>
                <w:sz w:val="24"/>
                <w:szCs w:val="24"/>
              </w:rPr>
            </w:pPr>
            <w:r>
              <w:rPr>
                <w:rFonts w:asciiTheme="majorBidi" w:hAnsiTheme="majorBidi" w:cstheme="majorBidi"/>
                <w:sz w:val="24"/>
                <w:szCs w:val="24"/>
              </w:rPr>
              <w:t>Note</w:t>
            </w:r>
          </w:p>
        </w:tc>
      </w:tr>
      <w:tr w:rsidR="00383863" w:rsidRPr="00494233" w:rsidTr="003D3B94">
        <w:trPr>
          <w:cantSplit/>
        </w:trPr>
        <w:tc>
          <w:tcPr>
            <w:tcW w:w="146" w:type="pct"/>
            <w:tcBorders>
              <w:top w:val="single" w:sz="4" w:space="0" w:color="auto"/>
            </w:tcBorders>
          </w:tcPr>
          <w:p w:rsidR="00383863" w:rsidRPr="00494233" w:rsidRDefault="00383863" w:rsidP="00681380">
            <w:pPr>
              <w:rPr>
                <w:rFonts w:asciiTheme="majorBidi" w:hAnsiTheme="majorBidi" w:cstheme="majorBidi"/>
                <w:bCs/>
                <w:szCs w:val="24"/>
              </w:rPr>
            </w:pPr>
            <w:r w:rsidRPr="00494233">
              <w:rPr>
                <w:rFonts w:asciiTheme="majorBidi" w:hAnsiTheme="majorBidi" w:cstheme="majorBidi"/>
                <w:bCs/>
                <w:szCs w:val="24"/>
              </w:rPr>
              <w:t>16</w:t>
            </w:r>
          </w:p>
        </w:tc>
        <w:tc>
          <w:tcPr>
            <w:tcW w:w="386" w:type="pct"/>
            <w:tcBorders>
              <w:top w:val="single" w:sz="4" w:space="0" w:color="auto"/>
            </w:tcBorders>
          </w:tcPr>
          <w:p w:rsidR="00383863" w:rsidRPr="009D0D0F" w:rsidRDefault="00383863" w:rsidP="00681380">
            <w:pPr>
              <w:rPr>
                <w:rFonts w:asciiTheme="majorBidi" w:hAnsiTheme="majorBidi" w:cstheme="majorBidi"/>
                <w:bCs/>
                <w:szCs w:val="24"/>
              </w:rPr>
            </w:pPr>
            <w:r w:rsidRPr="009D0D0F">
              <w:rPr>
                <w:rFonts w:asciiTheme="majorBidi" w:hAnsiTheme="majorBidi" w:cstheme="majorBidi"/>
                <w:bCs/>
                <w:szCs w:val="24"/>
              </w:rPr>
              <w:t>WRC-03</w:t>
            </w:r>
          </w:p>
        </w:tc>
        <w:tc>
          <w:tcPr>
            <w:tcW w:w="444" w:type="pct"/>
            <w:tcBorders>
              <w:top w:val="single" w:sz="4" w:space="0" w:color="auto"/>
            </w:tcBorders>
          </w:tcPr>
          <w:p w:rsidR="00383863" w:rsidRPr="00494233" w:rsidRDefault="00383863" w:rsidP="003D3B94">
            <w:pPr>
              <w:pStyle w:val="TableText2"/>
              <w:spacing w:before="120" w:after="0"/>
              <w:rPr>
                <w:rFonts w:asciiTheme="majorBidi" w:hAnsiTheme="majorBidi" w:cstheme="majorBidi"/>
                <w:sz w:val="24"/>
                <w:szCs w:val="24"/>
              </w:rPr>
            </w:pPr>
            <w:r w:rsidRPr="00494233">
              <w:rPr>
                <w:rFonts w:asciiTheme="majorBidi" w:hAnsiTheme="majorBidi" w:cstheme="majorBidi"/>
                <w:sz w:val="24"/>
                <w:szCs w:val="24"/>
              </w:rPr>
              <w:t>14</w:t>
            </w:r>
            <w:r w:rsidRPr="00494233">
              <w:rPr>
                <w:rFonts w:asciiTheme="majorBidi" w:hAnsiTheme="majorBidi" w:cstheme="majorBidi"/>
                <w:sz w:val="24"/>
                <w:szCs w:val="24"/>
                <w:vertAlign w:val="superscript"/>
              </w:rPr>
              <w:t>th</w:t>
            </w:r>
            <w:r w:rsidRPr="00494233">
              <w:rPr>
                <w:rFonts w:asciiTheme="majorBidi" w:hAnsiTheme="majorBidi" w:cstheme="majorBidi"/>
                <w:sz w:val="24"/>
                <w:szCs w:val="24"/>
              </w:rPr>
              <w:t xml:space="preserve"> Plenary</w:t>
            </w:r>
            <w:r w:rsidR="003D3B94">
              <w:rPr>
                <w:rFonts w:asciiTheme="majorBidi" w:hAnsiTheme="majorBidi" w:cstheme="majorBidi"/>
                <w:sz w:val="24"/>
                <w:szCs w:val="24"/>
              </w:rPr>
              <w:br/>
            </w:r>
            <w:hyperlink r:id="rId13" w:history="1">
              <w:r w:rsidRPr="009B1569">
                <w:rPr>
                  <w:rStyle w:val="Hyperlink"/>
                  <w:rFonts w:asciiTheme="majorBidi" w:hAnsiTheme="majorBidi" w:cstheme="majorBidi"/>
                  <w:sz w:val="24"/>
                  <w:szCs w:val="24"/>
                </w:rPr>
                <w:t>Doc 410</w:t>
              </w:r>
            </w:hyperlink>
          </w:p>
        </w:tc>
        <w:tc>
          <w:tcPr>
            <w:tcW w:w="3382" w:type="pct"/>
            <w:tcBorders>
              <w:top w:val="single" w:sz="4" w:space="0" w:color="auto"/>
            </w:tcBorders>
          </w:tcPr>
          <w:p w:rsidR="00383863" w:rsidRPr="00494233" w:rsidRDefault="00383863" w:rsidP="00681380">
            <w:pPr>
              <w:pStyle w:val="enumlev1"/>
              <w:tabs>
                <w:tab w:val="clear" w:pos="794"/>
                <w:tab w:val="left" w:pos="987"/>
              </w:tabs>
              <w:ind w:left="0" w:firstLine="0"/>
              <w:rPr>
                <w:rFonts w:asciiTheme="majorBidi" w:hAnsiTheme="majorBidi" w:cstheme="majorBidi"/>
                <w:szCs w:val="24"/>
              </w:rPr>
            </w:pPr>
            <w:r w:rsidRPr="00494233">
              <w:rPr>
                <w:rFonts w:asciiTheme="majorBidi" w:hAnsiTheme="majorBidi" w:cstheme="majorBidi"/>
                <w:szCs w:val="24"/>
              </w:rPr>
              <w:t>In application of Resolution 539 (Rev.WRC-03) when the notifying administration is required to seek the agreement of an affected administration under the first sub</w:t>
            </w:r>
            <w:r w:rsidRPr="00494233">
              <w:rPr>
                <w:rFonts w:asciiTheme="majorBidi" w:hAnsiTheme="majorBidi" w:cstheme="majorBidi"/>
                <w:szCs w:val="24"/>
              </w:rPr>
              <w:noBreakHyphen/>
              <w:t xml:space="preserve">paragraph of </w:t>
            </w:r>
            <w:r w:rsidRPr="00494233">
              <w:rPr>
                <w:rFonts w:asciiTheme="majorBidi" w:hAnsiTheme="majorBidi" w:cstheme="majorBidi"/>
                <w:i/>
                <w:iCs/>
                <w:szCs w:val="24"/>
              </w:rPr>
              <w:t xml:space="preserve">instructs the Radiocommunication Bureau </w:t>
            </w:r>
            <w:r w:rsidRPr="00494233">
              <w:rPr>
                <w:rFonts w:asciiTheme="majorBidi" w:hAnsiTheme="majorBidi" w:cstheme="majorBidi"/>
                <w:szCs w:val="24"/>
              </w:rPr>
              <w:t>1, and the notifying administration has not received a reply to a request for agreement from an affected administration, it can request the assistance of the Bureau. If, after the Bureau’s assistance, the affected administration still fails to reply, it shall be deemed that the administration has agreed to the excess power flux-density on the territory of its country.</w:t>
            </w:r>
          </w:p>
        </w:tc>
        <w:tc>
          <w:tcPr>
            <w:tcW w:w="642" w:type="pct"/>
            <w:tcBorders>
              <w:top w:val="single" w:sz="4" w:space="0" w:color="auto"/>
            </w:tcBorders>
          </w:tcPr>
          <w:p w:rsidR="00383863" w:rsidRPr="00494233" w:rsidRDefault="00383863" w:rsidP="00681380">
            <w:pPr>
              <w:rPr>
                <w:rFonts w:asciiTheme="majorBidi" w:hAnsiTheme="majorBidi" w:cstheme="majorBidi"/>
                <w:i/>
                <w:iCs/>
                <w:szCs w:val="24"/>
              </w:rPr>
            </w:pPr>
          </w:p>
        </w:tc>
      </w:tr>
      <w:tr w:rsidR="00383863" w:rsidRPr="00494233" w:rsidTr="003D3B94">
        <w:tblPrEx>
          <w:tblLook w:val="04A0" w:firstRow="1" w:lastRow="0" w:firstColumn="1" w:lastColumn="0" w:noHBand="0" w:noVBand="1"/>
        </w:tblPrEx>
        <w:tc>
          <w:tcPr>
            <w:tcW w:w="146" w:type="pct"/>
          </w:tcPr>
          <w:p w:rsidR="00383863" w:rsidRPr="009D0D0F" w:rsidRDefault="00383863" w:rsidP="00681380">
            <w:pPr>
              <w:rPr>
                <w:rFonts w:asciiTheme="majorBidi" w:hAnsiTheme="majorBidi" w:cstheme="majorBidi"/>
                <w:bCs/>
                <w:szCs w:val="24"/>
              </w:rPr>
            </w:pPr>
            <w:r w:rsidRPr="009D0D0F">
              <w:rPr>
                <w:rFonts w:asciiTheme="majorBidi" w:hAnsiTheme="majorBidi" w:cstheme="majorBidi"/>
                <w:bCs/>
                <w:szCs w:val="24"/>
              </w:rPr>
              <w:t>17</w:t>
            </w:r>
          </w:p>
        </w:tc>
        <w:tc>
          <w:tcPr>
            <w:tcW w:w="386" w:type="pct"/>
          </w:tcPr>
          <w:p w:rsidR="00383863" w:rsidRPr="009D0D0F" w:rsidRDefault="00383863" w:rsidP="00681380">
            <w:pPr>
              <w:rPr>
                <w:rFonts w:asciiTheme="majorBidi" w:hAnsiTheme="majorBidi" w:cstheme="majorBidi"/>
                <w:bCs/>
                <w:szCs w:val="24"/>
              </w:rPr>
            </w:pPr>
            <w:r w:rsidRPr="009D0D0F">
              <w:rPr>
                <w:rFonts w:asciiTheme="majorBidi" w:hAnsiTheme="majorBidi" w:cstheme="majorBidi"/>
                <w:bCs/>
                <w:szCs w:val="24"/>
              </w:rPr>
              <w:t>WRC-03</w:t>
            </w:r>
          </w:p>
        </w:tc>
        <w:tc>
          <w:tcPr>
            <w:tcW w:w="444" w:type="pct"/>
          </w:tcPr>
          <w:p w:rsidR="00383863" w:rsidRPr="00494233" w:rsidRDefault="00383863" w:rsidP="003D3B94">
            <w:pPr>
              <w:pStyle w:val="TableText2"/>
              <w:spacing w:before="120" w:after="0"/>
              <w:rPr>
                <w:rFonts w:asciiTheme="majorBidi" w:hAnsiTheme="majorBidi" w:cstheme="majorBidi"/>
                <w:sz w:val="24"/>
                <w:szCs w:val="24"/>
              </w:rPr>
            </w:pPr>
            <w:r w:rsidRPr="00494233">
              <w:rPr>
                <w:rFonts w:asciiTheme="majorBidi" w:hAnsiTheme="majorBidi" w:cstheme="majorBidi"/>
                <w:sz w:val="24"/>
                <w:szCs w:val="24"/>
              </w:rPr>
              <w:t>14</w:t>
            </w:r>
            <w:r w:rsidRPr="00494233">
              <w:rPr>
                <w:rFonts w:asciiTheme="majorBidi" w:hAnsiTheme="majorBidi" w:cstheme="majorBidi"/>
                <w:sz w:val="24"/>
                <w:szCs w:val="24"/>
                <w:vertAlign w:val="superscript"/>
              </w:rPr>
              <w:t>th</w:t>
            </w:r>
            <w:r w:rsidRPr="00494233">
              <w:rPr>
                <w:rFonts w:asciiTheme="majorBidi" w:hAnsiTheme="majorBidi" w:cstheme="majorBidi"/>
                <w:sz w:val="24"/>
                <w:szCs w:val="24"/>
              </w:rPr>
              <w:t xml:space="preserve"> Plenary</w:t>
            </w:r>
            <w:r w:rsidR="003D3B94">
              <w:rPr>
                <w:rFonts w:asciiTheme="majorBidi" w:hAnsiTheme="majorBidi" w:cstheme="majorBidi"/>
                <w:sz w:val="24"/>
                <w:szCs w:val="24"/>
              </w:rPr>
              <w:br/>
            </w:r>
            <w:hyperlink r:id="rId14" w:history="1">
              <w:r w:rsidRPr="009B1569">
                <w:rPr>
                  <w:rStyle w:val="Hyperlink"/>
                  <w:rFonts w:asciiTheme="majorBidi" w:hAnsiTheme="majorBidi" w:cstheme="majorBidi"/>
                  <w:sz w:val="24"/>
                  <w:szCs w:val="24"/>
                </w:rPr>
                <w:t>Doc 410</w:t>
              </w:r>
            </w:hyperlink>
            <w:r w:rsidR="003D3B94">
              <w:rPr>
                <w:rStyle w:val="Hyperlink"/>
                <w:rFonts w:asciiTheme="majorBidi" w:hAnsiTheme="majorBidi" w:cstheme="majorBidi"/>
                <w:sz w:val="24"/>
                <w:szCs w:val="24"/>
              </w:rPr>
              <w:br/>
            </w:r>
            <w:hyperlink r:id="rId15" w:history="1">
              <w:r w:rsidRPr="009B1569">
                <w:rPr>
                  <w:rStyle w:val="Hyperlink"/>
                  <w:rFonts w:asciiTheme="majorBidi" w:hAnsiTheme="majorBidi" w:cstheme="majorBidi"/>
                  <w:sz w:val="24"/>
                  <w:szCs w:val="24"/>
                </w:rPr>
                <w:t>Doc 370</w:t>
              </w:r>
            </w:hyperlink>
          </w:p>
        </w:tc>
        <w:tc>
          <w:tcPr>
            <w:tcW w:w="3382" w:type="pct"/>
          </w:tcPr>
          <w:p w:rsidR="00383863" w:rsidRPr="00EE7BE9" w:rsidRDefault="00383863" w:rsidP="00383863">
            <w:pPr>
              <w:pStyle w:val="Heading1"/>
              <w:numPr>
                <w:ilvl w:val="0"/>
                <w:numId w:val="21"/>
              </w:numPr>
              <w:tabs>
                <w:tab w:val="clear" w:pos="794"/>
                <w:tab w:val="left" w:pos="418"/>
              </w:tabs>
              <w:spacing w:before="120" w:line="240" w:lineRule="auto"/>
              <w:rPr>
                <w:rFonts w:asciiTheme="majorBidi" w:hAnsiTheme="majorBidi" w:cstheme="majorBidi"/>
                <w:szCs w:val="24"/>
              </w:rPr>
            </w:pPr>
            <w:r w:rsidRPr="00546F0D">
              <w:rPr>
                <w:rFonts w:asciiTheme="majorBidi" w:hAnsiTheme="majorBidi" w:cstheme="majorBidi"/>
                <w:b w:val="0"/>
                <w:szCs w:val="24"/>
              </w:rPr>
              <w:t xml:space="preserve">In application of footnote 4bis and 8bis </w:t>
            </w:r>
            <w:r>
              <w:rPr>
                <w:rFonts w:asciiTheme="majorBidi" w:hAnsiTheme="majorBidi" w:cstheme="majorBidi"/>
                <w:b w:val="0"/>
                <w:szCs w:val="24"/>
              </w:rPr>
              <w:t xml:space="preserve">(current 5 and 14) </w:t>
            </w:r>
            <w:r w:rsidRPr="00546F0D">
              <w:rPr>
                <w:rFonts w:asciiTheme="majorBidi" w:hAnsiTheme="majorBidi" w:cstheme="majorBidi"/>
                <w:b w:val="0"/>
                <w:szCs w:val="24"/>
              </w:rPr>
              <w:t xml:space="preserve">added to § 4.1.1 and 4.2.2 of Appendix </w:t>
            </w:r>
            <w:r w:rsidRPr="009B1569">
              <w:rPr>
                <w:rFonts w:asciiTheme="majorBidi" w:hAnsiTheme="majorBidi" w:cstheme="majorBidi"/>
                <w:bCs/>
                <w:szCs w:val="24"/>
              </w:rPr>
              <w:t>30A</w:t>
            </w:r>
            <w:r w:rsidRPr="00546F0D">
              <w:rPr>
                <w:rFonts w:asciiTheme="majorBidi" w:hAnsiTheme="majorBidi" w:cstheme="majorBidi"/>
                <w:b w:val="0"/>
                <w:szCs w:val="24"/>
              </w:rPr>
              <w:t xml:space="preserve"> respectively, coordination under Nos</w:t>
            </w:r>
            <w:r w:rsidRPr="009B1569">
              <w:rPr>
                <w:rFonts w:asciiTheme="majorBidi" w:hAnsiTheme="majorBidi" w:cstheme="majorBidi"/>
                <w:b w:val="0"/>
                <w:szCs w:val="24"/>
              </w:rPr>
              <w:t>. </w:t>
            </w:r>
            <w:r w:rsidRPr="009B1569">
              <w:rPr>
                <w:rFonts w:asciiTheme="majorBidi" w:hAnsiTheme="majorBidi" w:cstheme="majorBidi"/>
                <w:bCs/>
                <w:szCs w:val="24"/>
              </w:rPr>
              <w:t>9.17</w:t>
            </w:r>
            <w:r w:rsidRPr="009B1569">
              <w:rPr>
                <w:rFonts w:asciiTheme="majorBidi" w:hAnsiTheme="majorBidi" w:cstheme="majorBidi"/>
                <w:b w:val="0"/>
                <w:szCs w:val="24"/>
              </w:rPr>
              <w:t xml:space="preserve"> and </w:t>
            </w:r>
            <w:r w:rsidRPr="009B1569">
              <w:rPr>
                <w:rFonts w:asciiTheme="majorBidi" w:hAnsiTheme="majorBidi" w:cstheme="majorBidi"/>
                <w:bCs/>
                <w:szCs w:val="24"/>
              </w:rPr>
              <w:t>9.17A</w:t>
            </w:r>
            <w:r w:rsidRPr="009B1569">
              <w:rPr>
                <w:rFonts w:asciiTheme="majorBidi" w:hAnsiTheme="majorBidi" w:cstheme="majorBidi"/>
                <w:b w:val="0"/>
                <w:szCs w:val="24"/>
              </w:rPr>
              <w:t xml:space="preserve"> is</w:t>
            </w:r>
            <w:r w:rsidRPr="00546F0D">
              <w:rPr>
                <w:rFonts w:asciiTheme="majorBidi" w:hAnsiTheme="majorBidi" w:cstheme="majorBidi"/>
                <w:b w:val="0"/>
                <w:szCs w:val="24"/>
              </w:rPr>
              <w:t xml:space="preserve"> required if the coordination area of a feeder-link earth station is beyond that of the feeder-link earth station associated with a satellite network coordinated under former §§ 4.2.1.2, 4.2.1.3, 4.2.3.2 and 4.2.3.3 of Appendix </w:t>
            </w:r>
            <w:r w:rsidRPr="009B1569">
              <w:rPr>
                <w:rFonts w:asciiTheme="majorBidi" w:hAnsiTheme="majorBidi" w:cstheme="majorBidi"/>
                <w:bCs/>
                <w:szCs w:val="24"/>
              </w:rPr>
              <w:t>30A</w:t>
            </w:r>
            <w:r w:rsidRPr="00546F0D">
              <w:rPr>
                <w:rFonts w:asciiTheme="majorBidi" w:hAnsiTheme="majorBidi" w:cstheme="majorBidi"/>
                <w:b w:val="0"/>
                <w:szCs w:val="24"/>
              </w:rPr>
              <w:t xml:space="preserve"> (WRC-97).</w:t>
            </w:r>
          </w:p>
          <w:p w:rsidR="00383863" w:rsidRPr="00494233" w:rsidRDefault="00383863" w:rsidP="00383863">
            <w:pPr>
              <w:pStyle w:val="Heading1"/>
              <w:numPr>
                <w:ilvl w:val="0"/>
                <w:numId w:val="21"/>
              </w:numPr>
              <w:tabs>
                <w:tab w:val="clear" w:pos="794"/>
                <w:tab w:val="left" w:pos="418"/>
              </w:tabs>
              <w:spacing w:before="120" w:line="240" w:lineRule="auto"/>
              <w:rPr>
                <w:rFonts w:asciiTheme="majorBidi" w:hAnsiTheme="majorBidi" w:cstheme="majorBidi"/>
                <w:szCs w:val="24"/>
              </w:rPr>
            </w:pPr>
            <w:r w:rsidRPr="00EE7BE9">
              <w:rPr>
                <w:rFonts w:asciiTheme="majorBidi" w:hAnsiTheme="majorBidi" w:cstheme="majorBidi"/>
                <w:b w:val="0"/>
                <w:szCs w:val="24"/>
              </w:rPr>
              <w:t xml:space="preserve">The methodology used for the examination with respect to the fourth and fifth indents of § 5.2.1 d) of Appendices </w:t>
            </w:r>
            <w:r w:rsidRPr="009B1569">
              <w:rPr>
                <w:rFonts w:asciiTheme="majorBidi" w:hAnsiTheme="majorBidi" w:cstheme="majorBidi"/>
                <w:bCs/>
                <w:szCs w:val="24"/>
              </w:rPr>
              <w:t>30</w:t>
            </w:r>
            <w:r w:rsidRPr="00EE7BE9">
              <w:rPr>
                <w:rFonts w:asciiTheme="majorBidi" w:hAnsiTheme="majorBidi" w:cstheme="majorBidi"/>
                <w:b w:val="0"/>
                <w:szCs w:val="24"/>
              </w:rPr>
              <w:t xml:space="preserve"> and </w:t>
            </w:r>
            <w:r w:rsidRPr="009B1569">
              <w:rPr>
                <w:rFonts w:asciiTheme="majorBidi" w:hAnsiTheme="majorBidi" w:cstheme="majorBidi"/>
                <w:bCs/>
                <w:szCs w:val="24"/>
              </w:rPr>
              <w:t>30A</w:t>
            </w:r>
            <w:r w:rsidRPr="00EE7BE9">
              <w:rPr>
                <w:rFonts w:asciiTheme="majorBidi" w:hAnsiTheme="majorBidi" w:cstheme="majorBidi"/>
                <w:b w:val="0"/>
                <w:szCs w:val="24"/>
              </w:rPr>
              <w:t>, respectively, shall be identical to that used for the BSS and its associated feeder-link assignments.</w:t>
            </w:r>
          </w:p>
        </w:tc>
        <w:tc>
          <w:tcPr>
            <w:tcW w:w="642" w:type="pct"/>
          </w:tcPr>
          <w:p w:rsidR="00383863" w:rsidRPr="00494233" w:rsidRDefault="00383863" w:rsidP="00681380">
            <w:pPr>
              <w:rPr>
                <w:rFonts w:asciiTheme="majorBidi" w:hAnsiTheme="majorBidi" w:cstheme="majorBidi"/>
                <w:b/>
                <w:bCs/>
                <w:i/>
                <w:iCs/>
                <w:szCs w:val="24"/>
              </w:rPr>
            </w:pPr>
          </w:p>
        </w:tc>
      </w:tr>
      <w:tr w:rsidR="00383863" w:rsidRPr="00494233" w:rsidTr="003D3B94">
        <w:tblPrEx>
          <w:tblLook w:val="04A0" w:firstRow="1" w:lastRow="0" w:firstColumn="1" w:lastColumn="0" w:noHBand="0" w:noVBand="1"/>
        </w:tblPrEx>
        <w:tc>
          <w:tcPr>
            <w:tcW w:w="146" w:type="pct"/>
          </w:tcPr>
          <w:p w:rsidR="00383863" w:rsidRPr="00494233" w:rsidRDefault="00383863" w:rsidP="00681380">
            <w:pPr>
              <w:rPr>
                <w:rFonts w:asciiTheme="majorBidi" w:hAnsiTheme="majorBidi" w:cstheme="majorBidi"/>
                <w:bCs/>
                <w:szCs w:val="24"/>
              </w:rPr>
            </w:pPr>
            <w:r w:rsidRPr="00494233">
              <w:rPr>
                <w:rFonts w:asciiTheme="majorBidi" w:hAnsiTheme="majorBidi" w:cstheme="majorBidi"/>
                <w:bCs/>
                <w:szCs w:val="24"/>
              </w:rPr>
              <w:t>22</w:t>
            </w:r>
          </w:p>
        </w:tc>
        <w:tc>
          <w:tcPr>
            <w:tcW w:w="386" w:type="pct"/>
          </w:tcPr>
          <w:p w:rsidR="00383863" w:rsidRPr="006A5990" w:rsidRDefault="00383863" w:rsidP="00681380">
            <w:pPr>
              <w:rPr>
                <w:rFonts w:asciiTheme="majorBidi" w:hAnsiTheme="majorBidi" w:cstheme="majorBidi"/>
                <w:bCs/>
                <w:szCs w:val="24"/>
                <w:highlight w:val="yellow"/>
              </w:rPr>
            </w:pPr>
            <w:r w:rsidRPr="006A5990">
              <w:rPr>
                <w:rFonts w:asciiTheme="majorBidi" w:hAnsiTheme="majorBidi" w:cstheme="majorBidi"/>
                <w:bCs/>
                <w:szCs w:val="24"/>
              </w:rPr>
              <w:t>WRC-07</w:t>
            </w:r>
          </w:p>
        </w:tc>
        <w:tc>
          <w:tcPr>
            <w:tcW w:w="444" w:type="pct"/>
          </w:tcPr>
          <w:p w:rsidR="00383863" w:rsidRPr="00494233" w:rsidRDefault="00383863" w:rsidP="003D3B94">
            <w:pPr>
              <w:rPr>
                <w:rFonts w:asciiTheme="majorBidi" w:hAnsiTheme="majorBidi" w:cstheme="majorBidi"/>
                <w:szCs w:val="24"/>
              </w:rPr>
            </w:pPr>
            <w:r w:rsidRPr="00494233">
              <w:rPr>
                <w:rFonts w:asciiTheme="majorBidi" w:hAnsiTheme="majorBidi" w:cstheme="majorBidi"/>
                <w:szCs w:val="24"/>
              </w:rPr>
              <w:t>10</w:t>
            </w:r>
            <w:r w:rsidRPr="00494233">
              <w:rPr>
                <w:rFonts w:asciiTheme="majorBidi" w:hAnsiTheme="majorBidi" w:cstheme="majorBidi"/>
                <w:szCs w:val="24"/>
                <w:vertAlign w:val="superscript"/>
              </w:rPr>
              <w:t>th</w:t>
            </w:r>
            <w:r w:rsidRPr="00494233">
              <w:rPr>
                <w:rFonts w:asciiTheme="majorBidi" w:hAnsiTheme="majorBidi" w:cstheme="majorBidi"/>
                <w:szCs w:val="24"/>
              </w:rPr>
              <w:t xml:space="preserve"> Plenary</w:t>
            </w:r>
            <w:r w:rsidR="003D3B94">
              <w:rPr>
                <w:rFonts w:asciiTheme="majorBidi" w:hAnsiTheme="majorBidi" w:cstheme="majorBidi"/>
                <w:szCs w:val="24"/>
              </w:rPr>
              <w:br/>
            </w:r>
            <w:hyperlink r:id="rId16" w:history="1">
              <w:r w:rsidRPr="009B1569">
                <w:rPr>
                  <w:rStyle w:val="Hyperlink"/>
                  <w:rFonts w:asciiTheme="majorBidi" w:hAnsiTheme="majorBidi" w:cstheme="majorBidi"/>
                  <w:szCs w:val="24"/>
                </w:rPr>
                <w:t>Doc 432</w:t>
              </w:r>
            </w:hyperlink>
            <w:r w:rsidR="003D3B94">
              <w:rPr>
                <w:rStyle w:val="Hyperlink"/>
                <w:rFonts w:asciiTheme="majorBidi" w:hAnsiTheme="majorBidi" w:cstheme="majorBidi"/>
                <w:szCs w:val="24"/>
              </w:rPr>
              <w:br/>
            </w:r>
            <w:hyperlink r:id="rId17" w:history="1">
              <w:r w:rsidRPr="009B1569">
                <w:rPr>
                  <w:rStyle w:val="Hyperlink"/>
                  <w:rFonts w:asciiTheme="majorBidi" w:hAnsiTheme="majorBidi" w:cstheme="majorBidi"/>
                  <w:szCs w:val="24"/>
                </w:rPr>
                <w:t>Doc 378</w:t>
              </w:r>
            </w:hyperlink>
            <w:r w:rsidR="003D3B94">
              <w:rPr>
                <w:rStyle w:val="Hyperlink"/>
                <w:rFonts w:asciiTheme="majorBidi" w:hAnsiTheme="majorBidi" w:cstheme="majorBidi"/>
                <w:szCs w:val="24"/>
              </w:rPr>
              <w:br/>
            </w:r>
            <w:hyperlink r:id="rId18" w:history="1">
              <w:r w:rsidRPr="009B1569">
                <w:rPr>
                  <w:rStyle w:val="Hyperlink"/>
                  <w:rFonts w:asciiTheme="majorBidi" w:hAnsiTheme="majorBidi" w:cstheme="majorBidi"/>
                  <w:szCs w:val="24"/>
                </w:rPr>
                <w:t>Addendum 2 to Doc 4</w:t>
              </w:r>
            </w:hyperlink>
          </w:p>
        </w:tc>
        <w:tc>
          <w:tcPr>
            <w:tcW w:w="3382" w:type="pct"/>
          </w:tcPr>
          <w:p w:rsidR="00383863" w:rsidRDefault="00383863" w:rsidP="00383863">
            <w:pPr>
              <w:pStyle w:val="Heading1"/>
              <w:numPr>
                <w:ilvl w:val="0"/>
                <w:numId w:val="22"/>
              </w:numPr>
              <w:tabs>
                <w:tab w:val="clear" w:pos="794"/>
                <w:tab w:val="left" w:pos="418"/>
              </w:tabs>
              <w:spacing w:before="120" w:line="240" w:lineRule="auto"/>
              <w:rPr>
                <w:rFonts w:asciiTheme="majorBidi" w:hAnsiTheme="majorBidi" w:cstheme="majorBidi"/>
                <w:b w:val="0"/>
                <w:szCs w:val="24"/>
              </w:rPr>
            </w:pPr>
            <w:r w:rsidRPr="00EE7BE9">
              <w:rPr>
                <w:rFonts w:asciiTheme="majorBidi" w:hAnsiTheme="majorBidi" w:cstheme="majorBidi"/>
                <w:b w:val="0"/>
                <w:szCs w:val="24"/>
              </w:rPr>
              <w:t xml:space="preserve">Nos. </w:t>
            </w:r>
            <w:r w:rsidRPr="003D3B94">
              <w:rPr>
                <w:rFonts w:asciiTheme="majorBidi" w:hAnsiTheme="majorBidi" w:cstheme="majorBidi"/>
                <w:bCs/>
                <w:szCs w:val="24"/>
              </w:rPr>
              <w:t>5.219</w:t>
            </w:r>
            <w:r w:rsidRPr="00EE7BE9">
              <w:rPr>
                <w:rFonts w:asciiTheme="majorBidi" w:hAnsiTheme="majorBidi" w:cstheme="majorBidi"/>
                <w:b w:val="0"/>
                <w:szCs w:val="24"/>
              </w:rPr>
              <w:t xml:space="preserve"> and </w:t>
            </w:r>
            <w:r w:rsidRPr="003D3B94">
              <w:rPr>
                <w:rFonts w:asciiTheme="majorBidi" w:hAnsiTheme="majorBidi" w:cstheme="majorBidi"/>
                <w:bCs/>
                <w:szCs w:val="24"/>
              </w:rPr>
              <w:t>5.220</w:t>
            </w:r>
            <w:r w:rsidRPr="00EE7BE9">
              <w:rPr>
                <w:rFonts w:asciiTheme="majorBidi" w:hAnsiTheme="majorBidi" w:cstheme="majorBidi"/>
                <w:b w:val="0"/>
                <w:szCs w:val="24"/>
              </w:rPr>
              <w:t>, the wording “… shall not constrain the development and use of …” is of an operational nature and no regulatory action is expected from the Bureau.</w:t>
            </w:r>
            <w:r>
              <w:rPr>
                <w:rFonts w:asciiTheme="majorBidi" w:hAnsiTheme="majorBidi" w:cstheme="majorBidi"/>
                <w:b w:val="0"/>
                <w:szCs w:val="24"/>
              </w:rPr>
              <w:t xml:space="preserve"> </w:t>
            </w:r>
            <w:r w:rsidRPr="00EE7BE9">
              <w:rPr>
                <w:rFonts w:asciiTheme="majorBidi" w:hAnsiTheme="majorBidi" w:cstheme="majorBidi"/>
                <w:b w:val="0"/>
                <w:szCs w:val="24"/>
              </w:rPr>
              <w:t xml:space="preserve">Nos. </w:t>
            </w:r>
            <w:r w:rsidRPr="003D3B94">
              <w:rPr>
                <w:rFonts w:asciiTheme="majorBidi" w:hAnsiTheme="majorBidi" w:cstheme="majorBidi"/>
                <w:bCs/>
                <w:szCs w:val="24"/>
              </w:rPr>
              <w:t>5.286C</w:t>
            </w:r>
            <w:r w:rsidRPr="00EE7BE9">
              <w:rPr>
                <w:rFonts w:asciiTheme="majorBidi" w:hAnsiTheme="majorBidi" w:cstheme="majorBidi"/>
                <w:b w:val="0"/>
                <w:szCs w:val="24"/>
              </w:rPr>
              <w:t xml:space="preserve">, </w:t>
            </w:r>
            <w:r w:rsidRPr="003D3B94">
              <w:rPr>
                <w:rFonts w:asciiTheme="majorBidi" w:hAnsiTheme="majorBidi" w:cstheme="majorBidi"/>
                <w:bCs/>
                <w:szCs w:val="24"/>
              </w:rPr>
              <w:t>5.392</w:t>
            </w:r>
            <w:r w:rsidRPr="00EE7BE9">
              <w:rPr>
                <w:rFonts w:asciiTheme="majorBidi" w:hAnsiTheme="majorBidi" w:cstheme="majorBidi"/>
                <w:b w:val="0"/>
                <w:szCs w:val="24"/>
              </w:rPr>
              <w:t xml:space="preserve"> and </w:t>
            </w:r>
            <w:r w:rsidRPr="003D3B94">
              <w:rPr>
                <w:rFonts w:asciiTheme="majorBidi" w:hAnsiTheme="majorBidi" w:cstheme="majorBidi"/>
                <w:bCs/>
                <w:szCs w:val="24"/>
              </w:rPr>
              <w:t>5.532</w:t>
            </w:r>
            <w:r w:rsidRPr="00EE7BE9">
              <w:rPr>
                <w:rFonts w:asciiTheme="majorBidi" w:hAnsiTheme="majorBidi" w:cstheme="majorBidi"/>
                <w:b w:val="0"/>
                <w:szCs w:val="24"/>
              </w:rPr>
              <w:t xml:space="preserve"> contain operational provisions that do not affect the regulatory status of the services mentioned in these provisions.</w:t>
            </w:r>
          </w:p>
          <w:p w:rsidR="00383863" w:rsidRPr="00494233" w:rsidRDefault="00383863" w:rsidP="00681380">
            <w:pPr>
              <w:ind w:left="1544"/>
              <w:rPr>
                <w:rFonts w:asciiTheme="majorBidi" w:hAnsiTheme="majorBidi" w:cstheme="majorBidi"/>
                <w:szCs w:val="24"/>
              </w:rPr>
            </w:pPr>
          </w:p>
        </w:tc>
        <w:tc>
          <w:tcPr>
            <w:tcW w:w="642" w:type="pct"/>
          </w:tcPr>
          <w:p w:rsidR="00383863" w:rsidRPr="00494233" w:rsidRDefault="00383863" w:rsidP="00681380">
            <w:pPr>
              <w:rPr>
                <w:rFonts w:asciiTheme="majorBidi" w:hAnsiTheme="majorBidi" w:cstheme="majorBidi"/>
                <w:b/>
                <w:bCs/>
                <w:i/>
                <w:iCs/>
                <w:szCs w:val="24"/>
              </w:rPr>
            </w:pPr>
          </w:p>
        </w:tc>
      </w:tr>
      <w:tr w:rsidR="00383863" w:rsidRPr="00494233" w:rsidTr="003D3B94">
        <w:tblPrEx>
          <w:tblLook w:val="04A0" w:firstRow="1" w:lastRow="0" w:firstColumn="1" w:lastColumn="0" w:noHBand="0" w:noVBand="1"/>
        </w:tblPrEx>
        <w:tc>
          <w:tcPr>
            <w:tcW w:w="146" w:type="pct"/>
          </w:tcPr>
          <w:p w:rsidR="00383863" w:rsidRPr="00494233" w:rsidRDefault="00383863" w:rsidP="00681380">
            <w:pPr>
              <w:rPr>
                <w:rFonts w:asciiTheme="majorBidi" w:eastAsia="Malgun Gothic" w:hAnsiTheme="majorBidi" w:cstheme="majorBidi"/>
                <w:bCs/>
                <w:szCs w:val="24"/>
                <w:lang w:eastAsia="ko-KR"/>
              </w:rPr>
            </w:pPr>
            <w:r w:rsidRPr="00494233">
              <w:rPr>
                <w:rFonts w:asciiTheme="majorBidi" w:eastAsia="Malgun Gothic" w:hAnsiTheme="majorBidi" w:cstheme="majorBidi"/>
                <w:bCs/>
                <w:szCs w:val="24"/>
                <w:lang w:eastAsia="ko-KR"/>
              </w:rPr>
              <w:t>27</w:t>
            </w:r>
          </w:p>
        </w:tc>
        <w:tc>
          <w:tcPr>
            <w:tcW w:w="386" w:type="pct"/>
          </w:tcPr>
          <w:p w:rsidR="00383863" w:rsidRPr="00494233" w:rsidRDefault="00383863" w:rsidP="00681380">
            <w:pPr>
              <w:rPr>
                <w:rFonts w:asciiTheme="majorBidi" w:eastAsia="Malgun Gothic" w:hAnsiTheme="majorBidi" w:cstheme="majorBidi"/>
                <w:szCs w:val="24"/>
                <w:lang w:eastAsia="ko-KR"/>
              </w:rPr>
            </w:pPr>
            <w:r w:rsidRPr="00494233">
              <w:rPr>
                <w:rFonts w:asciiTheme="majorBidi" w:hAnsiTheme="majorBidi" w:cstheme="majorBidi"/>
                <w:bCs/>
                <w:szCs w:val="24"/>
              </w:rPr>
              <w:t>WRC-12</w:t>
            </w:r>
          </w:p>
        </w:tc>
        <w:tc>
          <w:tcPr>
            <w:tcW w:w="444" w:type="pct"/>
          </w:tcPr>
          <w:p w:rsidR="00383863" w:rsidRPr="00494233" w:rsidRDefault="00383863" w:rsidP="003D3B94">
            <w:pPr>
              <w:rPr>
                <w:rFonts w:asciiTheme="majorBidi" w:hAnsiTheme="majorBidi" w:cstheme="majorBidi"/>
                <w:bCs/>
                <w:szCs w:val="24"/>
              </w:rPr>
            </w:pPr>
            <w:r w:rsidRPr="00494233">
              <w:rPr>
                <w:rFonts w:asciiTheme="majorBidi" w:hAnsiTheme="majorBidi" w:cstheme="majorBidi"/>
                <w:bCs/>
                <w:szCs w:val="24"/>
              </w:rPr>
              <w:t>8</w:t>
            </w:r>
            <w:r w:rsidRPr="00494233">
              <w:rPr>
                <w:rFonts w:asciiTheme="majorBidi" w:hAnsiTheme="majorBidi" w:cstheme="majorBidi"/>
                <w:bCs/>
                <w:szCs w:val="24"/>
                <w:vertAlign w:val="superscript"/>
              </w:rPr>
              <w:t>th</w:t>
            </w:r>
            <w:r w:rsidRPr="00494233">
              <w:rPr>
                <w:rFonts w:asciiTheme="majorBidi" w:hAnsiTheme="majorBidi" w:cstheme="majorBidi"/>
                <w:bCs/>
                <w:szCs w:val="24"/>
              </w:rPr>
              <w:t xml:space="preserve"> Plenary </w:t>
            </w:r>
            <w:hyperlink r:id="rId19" w:history="1">
              <w:r w:rsidRPr="009B1569">
                <w:rPr>
                  <w:rStyle w:val="Hyperlink"/>
                  <w:rFonts w:asciiTheme="majorBidi" w:hAnsiTheme="majorBidi" w:cstheme="majorBidi"/>
                  <w:bCs/>
                  <w:szCs w:val="24"/>
                </w:rPr>
                <w:t>Doc 549</w:t>
              </w:r>
            </w:hyperlink>
          </w:p>
        </w:tc>
        <w:tc>
          <w:tcPr>
            <w:tcW w:w="3382" w:type="pct"/>
          </w:tcPr>
          <w:p w:rsidR="00383863" w:rsidRPr="003156C5" w:rsidRDefault="00383863" w:rsidP="00681380">
            <w:pPr>
              <w:pStyle w:val="enumlev1"/>
              <w:tabs>
                <w:tab w:val="clear" w:pos="794"/>
              </w:tabs>
              <w:ind w:left="0" w:firstLine="16"/>
              <w:rPr>
                <w:rFonts w:asciiTheme="majorBidi" w:eastAsia="MS Mincho" w:hAnsiTheme="majorBidi" w:cstheme="majorBidi"/>
                <w:szCs w:val="24"/>
              </w:rPr>
            </w:pPr>
            <w:r w:rsidRPr="00494233">
              <w:rPr>
                <w:rFonts w:asciiTheme="majorBidi" w:eastAsia="MS Mincho" w:hAnsiTheme="majorBidi" w:cstheme="majorBidi"/>
                <w:szCs w:val="24"/>
              </w:rPr>
              <w:t xml:space="preserve">In relation to the application of No. </w:t>
            </w:r>
            <w:r w:rsidRPr="009B1569">
              <w:rPr>
                <w:rFonts w:asciiTheme="majorBidi" w:eastAsia="MS Mincho" w:hAnsiTheme="majorBidi" w:cstheme="majorBidi"/>
                <w:b/>
                <w:bCs/>
                <w:szCs w:val="24"/>
              </w:rPr>
              <w:t>9.11A</w:t>
            </w:r>
            <w:r w:rsidRPr="00494233">
              <w:rPr>
                <w:rFonts w:asciiTheme="majorBidi" w:eastAsia="MS Mincho" w:hAnsiTheme="majorBidi" w:cstheme="majorBidi"/>
                <w:szCs w:val="24"/>
              </w:rPr>
              <w:t xml:space="preserve"> in No. </w:t>
            </w:r>
            <w:r w:rsidRPr="003D3B94">
              <w:rPr>
                <w:rFonts w:asciiTheme="majorBidi" w:eastAsia="MS Mincho" w:hAnsiTheme="majorBidi" w:cstheme="majorBidi"/>
                <w:b/>
                <w:bCs/>
                <w:szCs w:val="24"/>
              </w:rPr>
              <w:t>5.D103</w:t>
            </w:r>
            <w:r w:rsidRPr="00494233">
              <w:rPr>
                <w:rFonts w:asciiTheme="majorBidi" w:eastAsia="MS Mincho" w:hAnsiTheme="majorBidi" w:cstheme="majorBidi"/>
                <w:szCs w:val="24"/>
              </w:rPr>
              <w:t xml:space="preserve"> </w:t>
            </w:r>
            <w:r>
              <w:rPr>
                <w:rFonts w:asciiTheme="majorBidi" w:eastAsia="MS Mincho" w:hAnsiTheme="majorBidi" w:cstheme="majorBidi"/>
                <w:szCs w:val="24"/>
              </w:rPr>
              <w:t xml:space="preserve">(current </w:t>
            </w:r>
            <w:r w:rsidRPr="003D3B94">
              <w:rPr>
                <w:rFonts w:asciiTheme="majorBidi" w:eastAsia="MS Mincho" w:hAnsiTheme="majorBidi" w:cstheme="majorBidi"/>
                <w:b/>
                <w:bCs/>
                <w:szCs w:val="24"/>
              </w:rPr>
              <w:t>5.433D</w:t>
            </w:r>
            <w:r>
              <w:rPr>
                <w:rFonts w:asciiTheme="majorBidi" w:eastAsia="MS Mincho" w:hAnsiTheme="majorBidi" w:cstheme="majorBidi"/>
                <w:szCs w:val="24"/>
              </w:rPr>
              <w:t xml:space="preserve">) </w:t>
            </w:r>
            <w:r w:rsidRPr="00494233">
              <w:rPr>
                <w:rFonts w:asciiTheme="majorBidi" w:eastAsia="MS Mincho" w:hAnsiTheme="majorBidi" w:cstheme="majorBidi"/>
                <w:szCs w:val="24"/>
              </w:rPr>
              <w:t xml:space="preserve">and deactivation of No. </w:t>
            </w:r>
            <w:r w:rsidRPr="009B1569">
              <w:rPr>
                <w:rFonts w:asciiTheme="majorBidi" w:eastAsia="MS Mincho" w:hAnsiTheme="majorBidi" w:cstheme="majorBidi"/>
                <w:b/>
                <w:bCs/>
                <w:szCs w:val="24"/>
              </w:rPr>
              <w:t>9.21</w:t>
            </w:r>
            <w:r w:rsidRPr="00494233">
              <w:rPr>
                <w:rFonts w:asciiTheme="majorBidi" w:eastAsia="MS Mincho" w:hAnsiTheme="majorBidi" w:cstheme="majorBidi"/>
                <w:szCs w:val="24"/>
              </w:rPr>
              <w:t xml:space="preserve"> in the band 5 030-5 091 MHz with respect to AMS(R)S, the following transitional measure shall apply. The coordination requirements of the satellite networks, for which complete coordination information is received prior to the entry into force of No. </w:t>
            </w:r>
            <w:r w:rsidRPr="003D3B94">
              <w:rPr>
                <w:rFonts w:asciiTheme="majorBidi" w:eastAsia="MS Mincho" w:hAnsiTheme="majorBidi" w:cstheme="majorBidi"/>
                <w:b/>
                <w:bCs/>
                <w:szCs w:val="24"/>
              </w:rPr>
              <w:t>5.D103</w:t>
            </w:r>
            <w:r w:rsidRPr="00494233">
              <w:rPr>
                <w:rFonts w:asciiTheme="majorBidi" w:eastAsia="MS Mincho" w:hAnsiTheme="majorBidi" w:cstheme="majorBidi"/>
                <w:szCs w:val="24"/>
              </w:rPr>
              <w:t xml:space="preserve">, are established under the provisions in force including No. </w:t>
            </w:r>
            <w:r w:rsidRPr="009B1569">
              <w:rPr>
                <w:rFonts w:asciiTheme="majorBidi" w:eastAsia="MS Mincho" w:hAnsiTheme="majorBidi" w:cstheme="majorBidi"/>
                <w:b/>
                <w:bCs/>
                <w:szCs w:val="24"/>
              </w:rPr>
              <w:t>9.21</w:t>
            </w:r>
            <w:r w:rsidRPr="00494233">
              <w:rPr>
                <w:rFonts w:asciiTheme="majorBidi" w:eastAsia="MS Mincho" w:hAnsiTheme="majorBidi" w:cstheme="majorBidi"/>
                <w:szCs w:val="24"/>
              </w:rPr>
              <w:t xml:space="preserve">. Moreover, in application of No. </w:t>
            </w:r>
            <w:r w:rsidRPr="009B1569">
              <w:rPr>
                <w:rFonts w:asciiTheme="majorBidi" w:eastAsia="MS Mincho" w:hAnsiTheme="majorBidi" w:cstheme="majorBidi"/>
                <w:b/>
                <w:bCs/>
                <w:szCs w:val="24"/>
              </w:rPr>
              <w:t>11.31</w:t>
            </w:r>
            <w:r w:rsidRPr="00494233">
              <w:rPr>
                <w:rFonts w:asciiTheme="majorBidi" w:eastAsia="MS Mincho" w:hAnsiTheme="majorBidi" w:cstheme="majorBidi"/>
                <w:szCs w:val="24"/>
              </w:rPr>
              <w:t xml:space="preserve">, the notification information of these satellite networks received after </w:t>
            </w:r>
            <w:r w:rsidRPr="00494233">
              <w:rPr>
                <w:rFonts w:asciiTheme="majorBidi" w:eastAsia="MS Mincho" w:hAnsiTheme="majorBidi" w:cstheme="majorBidi"/>
                <w:szCs w:val="24"/>
              </w:rPr>
              <w:lastRenderedPageBreak/>
              <w:t xml:space="preserve">the date of entry into force of No. </w:t>
            </w:r>
            <w:r w:rsidRPr="003D3B94">
              <w:rPr>
                <w:rFonts w:asciiTheme="majorBidi" w:eastAsia="MS Mincho" w:hAnsiTheme="majorBidi" w:cstheme="majorBidi"/>
                <w:b/>
                <w:bCs/>
                <w:szCs w:val="24"/>
              </w:rPr>
              <w:t>5.D103</w:t>
            </w:r>
            <w:r w:rsidRPr="00494233">
              <w:rPr>
                <w:rFonts w:asciiTheme="majorBidi" w:eastAsia="MS Mincho" w:hAnsiTheme="majorBidi" w:cstheme="majorBidi"/>
                <w:szCs w:val="24"/>
              </w:rPr>
              <w:t xml:space="preserve"> shall continue to be treated under No. </w:t>
            </w:r>
            <w:r w:rsidRPr="009B1569">
              <w:rPr>
                <w:rFonts w:asciiTheme="majorBidi" w:eastAsia="MS Mincho" w:hAnsiTheme="majorBidi" w:cstheme="majorBidi"/>
                <w:b/>
                <w:bCs/>
                <w:szCs w:val="24"/>
              </w:rPr>
              <w:t>9.21</w:t>
            </w:r>
            <w:r w:rsidRPr="00494233">
              <w:rPr>
                <w:rFonts w:asciiTheme="majorBidi" w:eastAsia="MS Mincho" w:hAnsiTheme="majorBidi" w:cstheme="majorBidi"/>
                <w:szCs w:val="24"/>
              </w:rPr>
              <w:t xml:space="preserve">, and No. </w:t>
            </w:r>
            <w:r w:rsidRPr="009B1569">
              <w:rPr>
                <w:rFonts w:asciiTheme="majorBidi" w:eastAsia="MS Mincho" w:hAnsiTheme="majorBidi" w:cstheme="majorBidi"/>
                <w:b/>
                <w:bCs/>
                <w:szCs w:val="24"/>
              </w:rPr>
              <w:t>9.11A</w:t>
            </w:r>
            <w:r w:rsidRPr="00494233">
              <w:rPr>
                <w:rFonts w:asciiTheme="majorBidi" w:eastAsia="MS Mincho" w:hAnsiTheme="majorBidi" w:cstheme="majorBidi"/>
                <w:szCs w:val="24"/>
              </w:rPr>
              <w:t xml:space="preserve"> shall not be appli</w:t>
            </w:r>
            <w:r>
              <w:rPr>
                <w:rFonts w:asciiTheme="majorBidi" w:eastAsia="MS Mincho" w:hAnsiTheme="majorBidi" w:cstheme="majorBidi"/>
                <w:szCs w:val="24"/>
              </w:rPr>
              <w:t xml:space="preserve">ed in application of No. </w:t>
            </w:r>
            <w:r w:rsidRPr="009B1569">
              <w:rPr>
                <w:rFonts w:asciiTheme="majorBidi" w:eastAsia="MS Mincho" w:hAnsiTheme="majorBidi" w:cstheme="majorBidi"/>
                <w:b/>
                <w:bCs/>
                <w:szCs w:val="24"/>
              </w:rPr>
              <w:t>11.32</w:t>
            </w:r>
            <w:r>
              <w:rPr>
                <w:rFonts w:asciiTheme="majorBidi" w:eastAsia="MS Mincho" w:hAnsiTheme="majorBidi" w:cstheme="majorBidi"/>
                <w:szCs w:val="24"/>
              </w:rPr>
              <w:t>.</w:t>
            </w:r>
          </w:p>
        </w:tc>
        <w:tc>
          <w:tcPr>
            <w:tcW w:w="642" w:type="pct"/>
          </w:tcPr>
          <w:p w:rsidR="00383863" w:rsidRPr="00494233" w:rsidRDefault="00383863" w:rsidP="00B81BD9">
            <w:pPr>
              <w:jc w:val="left"/>
              <w:rPr>
                <w:rFonts w:asciiTheme="majorBidi" w:hAnsiTheme="majorBidi" w:cstheme="majorBidi"/>
                <w:bCs/>
                <w:szCs w:val="24"/>
              </w:rPr>
            </w:pPr>
            <w:r w:rsidRPr="00494233">
              <w:rPr>
                <w:rFonts w:asciiTheme="majorBidi" w:hAnsiTheme="majorBidi" w:cstheme="majorBidi"/>
                <w:bCs/>
                <w:szCs w:val="24"/>
              </w:rPr>
              <w:lastRenderedPageBreak/>
              <w:t>There are 18 networks subject to these transitional arrangements</w:t>
            </w:r>
          </w:p>
        </w:tc>
      </w:tr>
      <w:tr w:rsidR="00383863" w:rsidRPr="00494233" w:rsidTr="003D3B94">
        <w:trPr>
          <w:cantSplit/>
        </w:trPr>
        <w:tc>
          <w:tcPr>
            <w:tcW w:w="146" w:type="pct"/>
          </w:tcPr>
          <w:p w:rsidR="00383863" w:rsidRPr="00494233" w:rsidRDefault="00383863" w:rsidP="00681380">
            <w:pPr>
              <w:rPr>
                <w:rFonts w:asciiTheme="majorBidi" w:eastAsia="Malgun Gothic" w:hAnsiTheme="majorBidi" w:cstheme="majorBidi"/>
                <w:bCs/>
                <w:szCs w:val="24"/>
                <w:lang w:eastAsia="ko-KR"/>
              </w:rPr>
            </w:pPr>
            <w:r w:rsidRPr="00494233">
              <w:rPr>
                <w:rFonts w:asciiTheme="majorBidi" w:eastAsia="Malgun Gothic" w:hAnsiTheme="majorBidi" w:cstheme="majorBidi"/>
                <w:bCs/>
                <w:szCs w:val="24"/>
                <w:lang w:eastAsia="ko-KR"/>
              </w:rPr>
              <w:lastRenderedPageBreak/>
              <w:t>30</w:t>
            </w:r>
          </w:p>
        </w:tc>
        <w:tc>
          <w:tcPr>
            <w:tcW w:w="386" w:type="pct"/>
          </w:tcPr>
          <w:p w:rsidR="00383863" w:rsidRPr="00494233" w:rsidRDefault="00383863" w:rsidP="00681380">
            <w:pPr>
              <w:rPr>
                <w:rFonts w:asciiTheme="majorBidi" w:eastAsia="Malgun Gothic" w:hAnsiTheme="majorBidi" w:cstheme="majorBidi"/>
                <w:szCs w:val="24"/>
                <w:lang w:eastAsia="ko-KR"/>
              </w:rPr>
            </w:pPr>
            <w:r w:rsidRPr="00494233">
              <w:rPr>
                <w:rFonts w:asciiTheme="majorBidi" w:eastAsia="Malgun Gothic" w:hAnsiTheme="majorBidi" w:cstheme="majorBidi"/>
                <w:szCs w:val="24"/>
                <w:lang w:eastAsia="ko-KR"/>
              </w:rPr>
              <w:t>WRC-12</w:t>
            </w:r>
          </w:p>
        </w:tc>
        <w:tc>
          <w:tcPr>
            <w:tcW w:w="444" w:type="pct"/>
          </w:tcPr>
          <w:p w:rsidR="00383863" w:rsidRPr="00494233" w:rsidRDefault="00383863" w:rsidP="003D3B94">
            <w:pPr>
              <w:rPr>
                <w:rFonts w:asciiTheme="majorBidi" w:hAnsiTheme="majorBidi" w:cstheme="majorBidi"/>
                <w:szCs w:val="24"/>
              </w:rPr>
            </w:pPr>
            <w:r w:rsidRPr="00494233">
              <w:rPr>
                <w:rFonts w:asciiTheme="majorBidi" w:hAnsiTheme="majorBidi" w:cstheme="majorBidi"/>
                <w:szCs w:val="24"/>
              </w:rPr>
              <w:t>9</w:t>
            </w:r>
            <w:r w:rsidRPr="00494233">
              <w:rPr>
                <w:rFonts w:asciiTheme="majorBidi" w:hAnsiTheme="majorBidi" w:cstheme="majorBidi"/>
                <w:szCs w:val="24"/>
                <w:vertAlign w:val="superscript"/>
              </w:rPr>
              <w:t>th</w:t>
            </w:r>
            <w:r w:rsidRPr="00494233">
              <w:rPr>
                <w:rFonts w:asciiTheme="majorBidi" w:hAnsiTheme="majorBidi" w:cstheme="majorBidi"/>
                <w:szCs w:val="24"/>
              </w:rPr>
              <w:t xml:space="preserve"> Plenary </w:t>
            </w:r>
            <w:hyperlink r:id="rId20" w:history="1">
              <w:r w:rsidRPr="009B1569">
                <w:rPr>
                  <w:rStyle w:val="Hyperlink"/>
                  <w:rFonts w:asciiTheme="majorBidi" w:hAnsiTheme="majorBidi" w:cstheme="majorBidi"/>
                  <w:szCs w:val="24"/>
                </w:rPr>
                <w:t>Doc 550</w:t>
              </w:r>
            </w:hyperlink>
          </w:p>
        </w:tc>
        <w:tc>
          <w:tcPr>
            <w:tcW w:w="3382" w:type="pct"/>
          </w:tcPr>
          <w:p w:rsidR="00383863" w:rsidRPr="00494233" w:rsidRDefault="00383863" w:rsidP="00681380">
            <w:pPr>
              <w:pStyle w:val="enumlev1"/>
              <w:tabs>
                <w:tab w:val="clear" w:pos="794"/>
                <w:tab w:val="left" w:pos="137"/>
              </w:tabs>
              <w:ind w:left="-5" w:firstLine="5"/>
              <w:rPr>
                <w:rFonts w:asciiTheme="majorBidi" w:hAnsiTheme="majorBidi" w:cstheme="majorBidi"/>
                <w:szCs w:val="24"/>
              </w:rPr>
            </w:pPr>
            <w:r w:rsidRPr="00494233">
              <w:rPr>
                <w:rFonts w:asciiTheme="majorBidi" w:hAnsiTheme="majorBidi" w:cstheme="majorBidi"/>
                <w:szCs w:val="24"/>
              </w:rPr>
              <w:t xml:space="preserve">In adopting the modifications to Nos. </w:t>
            </w:r>
            <w:r w:rsidRPr="009B1569">
              <w:rPr>
                <w:rFonts w:asciiTheme="majorBidi" w:hAnsiTheme="majorBidi" w:cstheme="majorBidi"/>
                <w:b/>
                <w:bCs/>
                <w:szCs w:val="24"/>
              </w:rPr>
              <w:t>11.41</w:t>
            </w:r>
            <w:r w:rsidRPr="00494233">
              <w:rPr>
                <w:rFonts w:asciiTheme="majorBidi" w:hAnsiTheme="majorBidi" w:cstheme="majorBidi"/>
                <w:szCs w:val="24"/>
              </w:rPr>
              <w:t xml:space="preserve"> and </w:t>
            </w:r>
            <w:r w:rsidRPr="009B1569">
              <w:rPr>
                <w:rFonts w:asciiTheme="majorBidi" w:hAnsiTheme="majorBidi" w:cstheme="majorBidi"/>
                <w:b/>
                <w:bCs/>
                <w:szCs w:val="24"/>
              </w:rPr>
              <w:t>11.42</w:t>
            </w:r>
            <w:r w:rsidRPr="00494233">
              <w:rPr>
                <w:rFonts w:asciiTheme="majorBidi" w:hAnsiTheme="majorBidi" w:cstheme="majorBidi"/>
                <w:szCs w:val="24"/>
              </w:rPr>
              <w:t xml:space="preserve"> as well as the addition of No. </w:t>
            </w:r>
            <w:r w:rsidRPr="009B1569">
              <w:rPr>
                <w:rFonts w:asciiTheme="majorBidi" w:hAnsiTheme="majorBidi" w:cstheme="majorBidi"/>
                <w:b/>
                <w:bCs/>
                <w:szCs w:val="24"/>
              </w:rPr>
              <w:t>11.42A</w:t>
            </w:r>
            <w:r w:rsidRPr="00494233">
              <w:rPr>
                <w:rFonts w:asciiTheme="majorBidi" w:hAnsiTheme="majorBidi" w:cstheme="majorBidi"/>
                <w:szCs w:val="24"/>
              </w:rPr>
              <w:t xml:space="preserve">, WRC-12 recognizes that, by applying No. </w:t>
            </w:r>
            <w:r w:rsidRPr="009B1569">
              <w:rPr>
                <w:rFonts w:asciiTheme="majorBidi" w:hAnsiTheme="majorBidi" w:cstheme="majorBidi"/>
                <w:b/>
                <w:bCs/>
                <w:szCs w:val="24"/>
              </w:rPr>
              <w:t>11.41</w:t>
            </w:r>
            <w:r w:rsidRPr="00494233">
              <w:rPr>
                <w:rFonts w:asciiTheme="majorBidi" w:hAnsiTheme="majorBidi" w:cstheme="majorBidi"/>
                <w:szCs w:val="24"/>
              </w:rPr>
              <w:t xml:space="preserve"> to record an assignment in the MIFR under this provision, the notifying administration commits itself that it would comply with No. </w:t>
            </w:r>
            <w:r w:rsidRPr="009B1569">
              <w:rPr>
                <w:rFonts w:asciiTheme="majorBidi" w:hAnsiTheme="majorBidi" w:cstheme="majorBidi"/>
                <w:b/>
                <w:bCs/>
                <w:szCs w:val="24"/>
              </w:rPr>
              <w:t>11.42</w:t>
            </w:r>
            <w:r w:rsidRPr="00494233">
              <w:rPr>
                <w:rFonts w:asciiTheme="majorBidi" w:hAnsiTheme="majorBidi" w:cstheme="majorBidi"/>
                <w:szCs w:val="24"/>
              </w:rPr>
              <w:t>, as modified by this conference, for frequency assignments to space and terrestrial services allocated in the same frequency band with equal rights.</w:t>
            </w:r>
          </w:p>
        </w:tc>
        <w:tc>
          <w:tcPr>
            <w:tcW w:w="642" w:type="pct"/>
          </w:tcPr>
          <w:p w:rsidR="00383863" w:rsidRPr="00494233" w:rsidRDefault="00383863" w:rsidP="00681380">
            <w:pPr>
              <w:rPr>
                <w:rFonts w:asciiTheme="majorBidi" w:hAnsiTheme="majorBidi" w:cstheme="majorBidi"/>
                <w:szCs w:val="24"/>
              </w:rPr>
            </w:pPr>
          </w:p>
        </w:tc>
      </w:tr>
      <w:tr w:rsidR="00383863" w:rsidRPr="00494233" w:rsidTr="003D3B94">
        <w:trPr>
          <w:cantSplit/>
        </w:trPr>
        <w:tc>
          <w:tcPr>
            <w:tcW w:w="146" w:type="pct"/>
          </w:tcPr>
          <w:p w:rsidR="00383863" w:rsidRPr="00494233" w:rsidRDefault="00383863" w:rsidP="00681380">
            <w:pPr>
              <w:rPr>
                <w:rFonts w:asciiTheme="majorBidi" w:eastAsia="Malgun Gothic" w:hAnsiTheme="majorBidi" w:cstheme="majorBidi"/>
                <w:bCs/>
                <w:szCs w:val="24"/>
                <w:lang w:eastAsia="ko-KR"/>
              </w:rPr>
            </w:pPr>
            <w:r w:rsidRPr="00494233">
              <w:rPr>
                <w:rFonts w:asciiTheme="majorBidi" w:eastAsia="Malgun Gothic" w:hAnsiTheme="majorBidi" w:cstheme="majorBidi"/>
                <w:bCs/>
                <w:szCs w:val="24"/>
                <w:lang w:eastAsia="ko-KR"/>
              </w:rPr>
              <w:t>34</w:t>
            </w:r>
          </w:p>
        </w:tc>
        <w:tc>
          <w:tcPr>
            <w:tcW w:w="386" w:type="pct"/>
          </w:tcPr>
          <w:p w:rsidR="00383863" w:rsidRPr="00494233" w:rsidRDefault="00383863" w:rsidP="00681380">
            <w:pPr>
              <w:rPr>
                <w:rFonts w:asciiTheme="majorBidi" w:eastAsia="Malgun Gothic" w:hAnsiTheme="majorBidi" w:cstheme="majorBidi"/>
                <w:szCs w:val="24"/>
                <w:lang w:eastAsia="ko-KR"/>
              </w:rPr>
            </w:pPr>
            <w:r w:rsidRPr="00494233">
              <w:rPr>
                <w:rFonts w:asciiTheme="majorBidi" w:eastAsia="Malgun Gothic" w:hAnsiTheme="majorBidi" w:cstheme="majorBidi"/>
                <w:szCs w:val="24"/>
                <w:lang w:eastAsia="ko-KR"/>
              </w:rPr>
              <w:t>WRC-12</w:t>
            </w:r>
          </w:p>
        </w:tc>
        <w:tc>
          <w:tcPr>
            <w:tcW w:w="444" w:type="pct"/>
          </w:tcPr>
          <w:p w:rsidR="00383863" w:rsidRPr="00494233" w:rsidRDefault="00383863" w:rsidP="003D3B94">
            <w:pPr>
              <w:rPr>
                <w:rFonts w:asciiTheme="majorBidi" w:hAnsiTheme="majorBidi" w:cstheme="majorBidi"/>
                <w:szCs w:val="24"/>
              </w:rPr>
            </w:pPr>
            <w:r w:rsidRPr="00494233">
              <w:rPr>
                <w:rFonts w:asciiTheme="majorBidi" w:hAnsiTheme="majorBidi" w:cstheme="majorBidi"/>
                <w:szCs w:val="24"/>
              </w:rPr>
              <w:t>13</w:t>
            </w:r>
            <w:r w:rsidRPr="00494233">
              <w:rPr>
                <w:rFonts w:asciiTheme="majorBidi" w:hAnsiTheme="majorBidi" w:cstheme="majorBidi"/>
                <w:szCs w:val="24"/>
                <w:vertAlign w:val="superscript"/>
              </w:rPr>
              <w:t>th</w:t>
            </w:r>
            <w:r w:rsidRPr="00494233">
              <w:rPr>
                <w:rFonts w:asciiTheme="majorBidi" w:hAnsiTheme="majorBidi" w:cstheme="majorBidi"/>
                <w:szCs w:val="24"/>
              </w:rPr>
              <w:t xml:space="preserve"> Plenary </w:t>
            </w:r>
            <w:hyperlink r:id="rId21" w:history="1">
              <w:r w:rsidRPr="009B1569">
                <w:rPr>
                  <w:rStyle w:val="Hyperlink"/>
                  <w:rFonts w:asciiTheme="majorBidi" w:hAnsiTheme="majorBidi" w:cstheme="majorBidi"/>
                  <w:szCs w:val="24"/>
                </w:rPr>
                <w:t>Doc 554</w:t>
              </w:r>
            </w:hyperlink>
          </w:p>
        </w:tc>
        <w:tc>
          <w:tcPr>
            <w:tcW w:w="3382" w:type="pct"/>
          </w:tcPr>
          <w:p w:rsidR="00383863" w:rsidRPr="00494233" w:rsidRDefault="00383863" w:rsidP="00681380">
            <w:pPr>
              <w:pStyle w:val="enumlev1"/>
              <w:tabs>
                <w:tab w:val="clear" w:pos="794"/>
                <w:tab w:val="left" w:pos="0"/>
              </w:tabs>
              <w:ind w:left="0" w:firstLine="0"/>
              <w:rPr>
                <w:rFonts w:asciiTheme="majorBidi" w:hAnsiTheme="majorBidi" w:cstheme="majorBidi"/>
                <w:szCs w:val="24"/>
              </w:rPr>
            </w:pPr>
            <w:r>
              <w:rPr>
                <w:rFonts w:asciiTheme="majorBidi" w:hAnsiTheme="majorBidi" w:cstheme="majorBidi"/>
                <w:szCs w:val="24"/>
              </w:rPr>
              <w:t>A</w:t>
            </w:r>
            <w:r w:rsidRPr="00494233">
              <w:rPr>
                <w:rFonts w:asciiTheme="majorBidi" w:hAnsiTheme="majorBidi" w:cstheme="majorBidi"/>
                <w:szCs w:val="24"/>
              </w:rPr>
              <w:t>n administration can bring into use, or continue the use of, frequency assignments for one of its satellite networks by using a space station which is under the responsibility of another administration or intergovernmental organization, provided that this latter administration or intergovernmental organization, after having been informed, does not object, within 90 days from the date of receipt of information, to the use of this space station for such purposes. This requirement shall not be applied retroactively and applies to assignments brought into use after the end of WRC-12.</w:t>
            </w:r>
          </w:p>
        </w:tc>
        <w:tc>
          <w:tcPr>
            <w:tcW w:w="642" w:type="pct"/>
          </w:tcPr>
          <w:p w:rsidR="00383863" w:rsidRPr="00494233" w:rsidRDefault="00383863" w:rsidP="00681380">
            <w:pPr>
              <w:rPr>
                <w:rFonts w:asciiTheme="majorBidi" w:hAnsiTheme="majorBidi" w:cstheme="majorBidi"/>
                <w:szCs w:val="24"/>
              </w:rPr>
            </w:pPr>
          </w:p>
        </w:tc>
      </w:tr>
      <w:tr w:rsidR="00383863" w:rsidRPr="00494233" w:rsidTr="003D3B94">
        <w:trPr>
          <w:cantSplit/>
        </w:trPr>
        <w:tc>
          <w:tcPr>
            <w:tcW w:w="146" w:type="pct"/>
          </w:tcPr>
          <w:p w:rsidR="00383863" w:rsidRPr="00494233" w:rsidRDefault="00383863" w:rsidP="00681380">
            <w:pPr>
              <w:rPr>
                <w:rFonts w:asciiTheme="majorBidi" w:eastAsia="Malgun Gothic" w:hAnsiTheme="majorBidi" w:cstheme="majorBidi"/>
                <w:bCs/>
                <w:szCs w:val="24"/>
                <w:lang w:eastAsia="ko-KR"/>
              </w:rPr>
            </w:pPr>
            <w:r w:rsidRPr="00494233">
              <w:rPr>
                <w:rFonts w:asciiTheme="majorBidi" w:eastAsia="Malgun Gothic" w:hAnsiTheme="majorBidi" w:cstheme="majorBidi"/>
                <w:bCs/>
                <w:szCs w:val="24"/>
                <w:lang w:eastAsia="ko-KR"/>
              </w:rPr>
              <w:t>36</w:t>
            </w:r>
          </w:p>
        </w:tc>
        <w:tc>
          <w:tcPr>
            <w:tcW w:w="386" w:type="pct"/>
          </w:tcPr>
          <w:p w:rsidR="00383863" w:rsidRPr="00494233" w:rsidRDefault="00383863" w:rsidP="00681380">
            <w:pPr>
              <w:rPr>
                <w:rFonts w:asciiTheme="majorBidi" w:eastAsia="Malgun Gothic" w:hAnsiTheme="majorBidi" w:cstheme="majorBidi"/>
                <w:szCs w:val="24"/>
                <w:lang w:eastAsia="ko-KR"/>
              </w:rPr>
            </w:pPr>
            <w:r w:rsidRPr="00494233">
              <w:rPr>
                <w:rFonts w:asciiTheme="majorBidi" w:eastAsia="Malgun Gothic" w:hAnsiTheme="majorBidi" w:cstheme="majorBidi"/>
                <w:szCs w:val="24"/>
                <w:lang w:eastAsia="ko-KR"/>
              </w:rPr>
              <w:t>WRC-12</w:t>
            </w:r>
          </w:p>
        </w:tc>
        <w:tc>
          <w:tcPr>
            <w:tcW w:w="444" w:type="pct"/>
          </w:tcPr>
          <w:p w:rsidR="00383863" w:rsidRPr="00494233" w:rsidRDefault="00383863" w:rsidP="003D3B94">
            <w:pPr>
              <w:rPr>
                <w:rFonts w:asciiTheme="majorBidi" w:hAnsiTheme="majorBidi" w:cstheme="majorBidi"/>
                <w:szCs w:val="24"/>
              </w:rPr>
            </w:pPr>
            <w:r w:rsidRPr="00494233">
              <w:rPr>
                <w:rFonts w:asciiTheme="majorBidi" w:hAnsiTheme="majorBidi" w:cstheme="majorBidi"/>
                <w:szCs w:val="24"/>
              </w:rPr>
              <w:t>13</w:t>
            </w:r>
            <w:r w:rsidRPr="00494233">
              <w:rPr>
                <w:rFonts w:asciiTheme="majorBidi" w:hAnsiTheme="majorBidi" w:cstheme="majorBidi"/>
                <w:szCs w:val="24"/>
                <w:vertAlign w:val="superscript"/>
              </w:rPr>
              <w:t>th</w:t>
            </w:r>
            <w:r w:rsidRPr="00494233">
              <w:rPr>
                <w:rFonts w:asciiTheme="majorBidi" w:hAnsiTheme="majorBidi" w:cstheme="majorBidi"/>
                <w:szCs w:val="24"/>
              </w:rPr>
              <w:t xml:space="preserve"> Plenary </w:t>
            </w:r>
            <w:hyperlink r:id="rId22" w:history="1">
              <w:r w:rsidRPr="009B1569">
                <w:rPr>
                  <w:rStyle w:val="Hyperlink"/>
                  <w:rFonts w:asciiTheme="majorBidi" w:hAnsiTheme="majorBidi" w:cstheme="majorBidi"/>
                  <w:szCs w:val="24"/>
                </w:rPr>
                <w:t>Doc 554</w:t>
              </w:r>
            </w:hyperlink>
          </w:p>
        </w:tc>
        <w:tc>
          <w:tcPr>
            <w:tcW w:w="3382" w:type="pct"/>
          </w:tcPr>
          <w:p w:rsidR="00383863" w:rsidRPr="003156C5" w:rsidRDefault="00383863" w:rsidP="00681380">
            <w:pPr>
              <w:pStyle w:val="enumlev1"/>
              <w:tabs>
                <w:tab w:val="clear" w:pos="794"/>
                <w:tab w:val="left" w:pos="0"/>
              </w:tabs>
              <w:ind w:left="0" w:firstLine="0"/>
              <w:rPr>
                <w:rFonts w:asciiTheme="majorBidi" w:hAnsiTheme="majorBidi" w:cstheme="majorBidi"/>
                <w:szCs w:val="24"/>
              </w:rPr>
            </w:pPr>
            <w:r>
              <w:rPr>
                <w:rFonts w:asciiTheme="majorBidi" w:hAnsiTheme="majorBidi" w:cstheme="majorBidi"/>
                <w:szCs w:val="24"/>
              </w:rPr>
              <w:t>T</w:t>
            </w:r>
            <w:r w:rsidRPr="00494233">
              <w:rPr>
                <w:rFonts w:asciiTheme="majorBidi" w:hAnsiTheme="majorBidi" w:cstheme="majorBidi"/>
                <w:szCs w:val="24"/>
              </w:rPr>
              <w:t>he Bureau, when applying No. </w:t>
            </w:r>
            <w:r w:rsidRPr="009B1569">
              <w:rPr>
                <w:rFonts w:asciiTheme="majorBidi" w:hAnsiTheme="majorBidi" w:cstheme="majorBidi"/>
                <w:b/>
                <w:szCs w:val="24"/>
              </w:rPr>
              <w:t>13.6</w:t>
            </w:r>
            <w:r w:rsidRPr="00494233">
              <w:rPr>
                <w:rFonts w:asciiTheme="majorBidi" w:hAnsiTheme="majorBidi" w:cstheme="majorBidi"/>
                <w:szCs w:val="24"/>
              </w:rPr>
              <w:t>, requests administrations to provide information about the characteristics and use of satellite networks. In response, administrations need to provide to the BR information on the actual use of the notified characteristics of commercial satellite networks.</w:t>
            </w:r>
          </w:p>
        </w:tc>
        <w:tc>
          <w:tcPr>
            <w:tcW w:w="642" w:type="pct"/>
          </w:tcPr>
          <w:p w:rsidR="00383863" w:rsidRPr="00494233" w:rsidRDefault="00383863" w:rsidP="00681380">
            <w:pPr>
              <w:rPr>
                <w:rFonts w:asciiTheme="majorBidi" w:hAnsiTheme="majorBidi" w:cstheme="majorBidi"/>
                <w:szCs w:val="24"/>
              </w:rPr>
            </w:pPr>
          </w:p>
        </w:tc>
      </w:tr>
    </w:tbl>
    <w:p w:rsidR="00383863" w:rsidRDefault="00383863" w:rsidP="00383863">
      <w:pPr>
        <w:rPr>
          <w:rFonts w:asciiTheme="majorBidi" w:hAnsiTheme="majorBidi" w:cstheme="majorBidi"/>
          <w:szCs w:val="24"/>
        </w:rPr>
      </w:pPr>
    </w:p>
    <w:p w:rsidR="00383863" w:rsidRPr="00494233" w:rsidRDefault="00383863" w:rsidP="00383863">
      <w:pPr>
        <w:jc w:val="center"/>
        <w:rPr>
          <w:rFonts w:asciiTheme="majorBidi" w:hAnsiTheme="majorBidi" w:cstheme="majorBidi"/>
          <w:szCs w:val="24"/>
        </w:rPr>
      </w:pPr>
      <w:r>
        <w:rPr>
          <w:rFonts w:asciiTheme="majorBidi" w:hAnsiTheme="majorBidi" w:cstheme="majorBidi"/>
          <w:szCs w:val="24"/>
        </w:rPr>
        <w:t>________________</w:t>
      </w:r>
    </w:p>
    <w:p w:rsidR="00383863" w:rsidRDefault="00383863">
      <w:pPr>
        <w:tabs>
          <w:tab w:val="clear" w:pos="794"/>
          <w:tab w:val="clear" w:pos="1191"/>
          <w:tab w:val="clear" w:pos="1588"/>
          <w:tab w:val="clear" w:pos="1985"/>
        </w:tabs>
        <w:overflowPunct/>
        <w:autoSpaceDE/>
        <w:autoSpaceDN/>
        <w:adjustRightInd/>
        <w:spacing w:before="0" w:line="240" w:lineRule="auto"/>
        <w:jc w:val="left"/>
        <w:textAlignment w:val="auto"/>
        <w:rPr>
          <w:sz w:val="18"/>
          <w:szCs w:val="18"/>
        </w:rPr>
      </w:pPr>
    </w:p>
    <w:p w:rsidR="009F725C" w:rsidRDefault="009F725C" w:rsidP="00383863">
      <w:pPr>
        <w:tabs>
          <w:tab w:val="clear" w:pos="794"/>
          <w:tab w:val="clear" w:pos="1191"/>
          <w:tab w:val="clear" w:pos="1588"/>
          <w:tab w:val="clear" w:pos="1985"/>
          <w:tab w:val="center" w:pos="4819"/>
        </w:tabs>
        <w:overflowPunct/>
        <w:autoSpaceDE/>
        <w:autoSpaceDN/>
        <w:adjustRightInd/>
        <w:spacing w:before="0" w:line="240" w:lineRule="auto"/>
        <w:jc w:val="left"/>
        <w:textAlignment w:val="auto"/>
        <w:rPr>
          <w:sz w:val="18"/>
          <w:szCs w:val="18"/>
        </w:rPr>
      </w:pPr>
    </w:p>
    <w:sectPr w:rsidR="009F725C" w:rsidSect="00383863">
      <w:headerReference w:type="first" r:id="rId23"/>
      <w:footerReference w:type="first" r:id="rId24"/>
      <w:pgSz w:w="16834" w:h="11907" w:orient="landscape" w:code="9"/>
      <w:pgMar w:top="1134" w:right="1134" w:bottom="1134" w:left="993" w:header="567" w:footer="39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9CF" w:rsidRDefault="007439CF">
      <w:r>
        <w:separator/>
      </w:r>
    </w:p>
  </w:endnote>
  <w:endnote w:type="continuationSeparator" w:id="0">
    <w:p w:rsidR="007439CF" w:rsidRDefault="00743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Futura Lt BT">
    <w:altName w:val="Arial"/>
    <w:charset w:val="00"/>
    <w:family w:val="swiss"/>
    <w:pitch w:val="variable"/>
    <w:sig w:usb0="00000087" w:usb1="00000000" w:usb2="00000000" w:usb3="00000000" w:csb0="0000001B"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863" w:rsidRPr="008B1693" w:rsidRDefault="00383863" w:rsidP="00383863">
    <w:pPr>
      <w:pStyle w:val="Footer"/>
      <w:jc w:val="center"/>
    </w:pPr>
    <w:r w:rsidRPr="00FB65BC">
      <w:rPr>
        <w:color w:val="3E8EDE"/>
        <w:sz w:val="18"/>
        <w:szCs w:val="18"/>
        <w:lang w:val="fr-CH"/>
      </w:rPr>
      <w:t xml:space="preserve">International </w:t>
    </w:r>
    <w:proofErr w:type="spellStart"/>
    <w:r w:rsidRPr="00FB65BC">
      <w:rPr>
        <w:color w:val="3E8EDE"/>
        <w:sz w:val="18"/>
        <w:szCs w:val="18"/>
        <w:lang w:val="fr-CH"/>
      </w:rPr>
      <w:t>Telecommunication</w:t>
    </w:r>
    <w:proofErr w:type="spellEnd"/>
    <w:r w:rsidRPr="00FB65BC">
      <w:rPr>
        <w:color w:val="3E8EDE"/>
        <w:sz w:val="18"/>
        <w:szCs w:val="18"/>
        <w:lang w:val="fr-CH"/>
      </w:rPr>
      <w:t xml:space="preserve"> Union • Place des Nations</w:t>
    </w:r>
    <w:r>
      <w:rPr>
        <w:color w:val="3E8EDE"/>
        <w:sz w:val="18"/>
        <w:szCs w:val="18"/>
        <w:lang w:val="fr-CH"/>
      </w:rPr>
      <w:t>,</w:t>
    </w:r>
    <w:r w:rsidRPr="00FB65BC">
      <w:rPr>
        <w:color w:val="3E8EDE"/>
        <w:sz w:val="18"/>
        <w:szCs w:val="18"/>
        <w:lang w:val="fr-CH"/>
      </w:rPr>
      <w:t xml:space="preserve"> CH</w:t>
    </w:r>
    <w:r w:rsidRPr="00FB65BC">
      <w:rPr>
        <w:color w:val="3E8EDE"/>
        <w:sz w:val="18"/>
        <w:szCs w:val="18"/>
        <w:lang w:val="fr-CH"/>
      </w:rPr>
      <w:noBreakHyphen/>
      <w:t>1211 Geneva 20</w:t>
    </w:r>
    <w:r>
      <w:rPr>
        <w:color w:val="3E8EDE"/>
        <w:sz w:val="18"/>
        <w:szCs w:val="18"/>
        <w:lang w:val="fr-CH"/>
      </w:rPr>
      <w:t>,</w:t>
    </w:r>
    <w:r w:rsidRPr="00FB65BC">
      <w:rPr>
        <w:color w:val="3E8EDE"/>
        <w:sz w:val="18"/>
        <w:szCs w:val="18"/>
        <w:lang w:val="fr-CH"/>
      </w:rPr>
      <w:t xml:space="preserve"> </w:t>
    </w:r>
    <w:proofErr w:type="spellStart"/>
    <w:r w:rsidRPr="00FB65BC">
      <w:rPr>
        <w:color w:val="3E8EDE"/>
        <w:sz w:val="18"/>
        <w:szCs w:val="18"/>
        <w:lang w:val="fr-CH"/>
      </w:rPr>
      <w:t>Switzerland</w:t>
    </w:r>
    <w:proofErr w:type="spellEnd"/>
    <w:r w:rsidRPr="00FB65BC">
      <w:rPr>
        <w:color w:val="3E8EDE"/>
        <w:sz w:val="18"/>
        <w:szCs w:val="18"/>
        <w:lang w:val="fr-CH"/>
      </w:rPr>
      <w:t xml:space="preserve"> </w:t>
    </w:r>
    <w:r w:rsidRPr="00FB65BC">
      <w:rPr>
        <w:color w:val="3E8EDE"/>
        <w:sz w:val="18"/>
        <w:szCs w:val="18"/>
        <w:lang w:val="fr-CH"/>
      </w:rPr>
      <w:br/>
      <w:t xml:space="preserve">Tel: +41 22 730 5111 • Fax: +41 22 733 7256 • </w:t>
    </w:r>
    <w:r>
      <w:rPr>
        <w:color w:val="3E8EDE"/>
        <w:sz w:val="18"/>
        <w:szCs w:val="18"/>
        <w:lang w:val="fr-CH"/>
      </w:rPr>
      <w:br/>
    </w:r>
    <w:r w:rsidRPr="00FB65BC">
      <w:rPr>
        <w:color w:val="3E8EDE"/>
        <w:sz w:val="18"/>
        <w:szCs w:val="18"/>
        <w:lang w:val="fr-CH"/>
      </w:rPr>
      <w:t xml:space="preserve">E-mail: </w:t>
    </w:r>
    <w:hyperlink r:id="rId1" w:history="1">
      <w:r w:rsidRPr="00A86808">
        <w:rPr>
          <w:color w:val="3E8EDE"/>
          <w:sz w:val="18"/>
          <w:szCs w:val="18"/>
          <w:lang w:val="fr-CH"/>
        </w:rPr>
        <w:t>itumail@itu.int</w:t>
      </w:r>
    </w:hyperlink>
    <w:r w:rsidRPr="00FB65BC">
      <w:rPr>
        <w:color w:val="3E8EDE"/>
        <w:sz w:val="18"/>
        <w:szCs w:val="18"/>
        <w:lang w:val="fr-CH"/>
      </w:rPr>
      <w:t xml:space="preserve"> • </w:t>
    </w:r>
    <w:hyperlink r:id="rId2" w:history="1">
      <w:r w:rsidRPr="00A86808">
        <w:rPr>
          <w:color w:val="3E8EDE"/>
          <w:sz w:val="18"/>
          <w:szCs w:val="18"/>
          <w:lang w:val="fr-CH"/>
        </w:rPr>
        <w:t>www.itu.int</w:t>
      </w:r>
    </w:hyperlink>
    <w:r>
      <w:rPr>
        <w:color w:val="3E8EDE"/>
        <w:sz w:val="18"/>
        <w:szCs w:val="18"/>
        <w:lang w:val="fr-CH"/>
      </w:rPr>
      <w:t xml:space="preserve"> </w:t>
    </w:r>
    <w:r w:rsidRPr="00FB65BC">
      <w:rPr>
        <w:color w:val="3E8EDE"/>
        <w:sz w:val="18"/>
        <w:szCs w:val="18"/>
        <w:lang w:val="fr-CH"/>
      </w:rPr>
      <w:t xml:space="preserve">• </w:t>
    </w:r>
    <w:r w:rsidRPr="005D33BF">
      <w:rPr>
        <w:color w:val="3E8EDE"/>
        <w:sz w:val="18"/>
        <w:szCs w:val="18"/>
        <w:lang w:val="fr-CH"/>
      </w:rPr>
      <w:t>www.itu150</w:t>
    </w:r>
    <w:r>
      <w:rPr>
        <w:color w:val="3E8EDE"/>
        <w:sz w:val="18"/>
        <w:szCs w:val="18"/>
        <w:lang w:val="fr-CH"/>
      </w:rPr>
      <w:t>.org</w:t>
    </w:r>
  </w:p>
  <w:p w:rsidR="00E915AF" w:rsidRPr="00383863" w:rsidRDefault="00E915AF" w:rsidP="003838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BD3" w:rsidRPr="00A24BD3" w:rsidRDefault="00A24BD3" w:rsidP="00A24B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9CF" w:rsidRDefault="007439CF">
      <w:r>
        <w:t>____________________</w:t>
      </w:r>
    </w:p>
  </w:footnote>
  <w:footnote w:type="continuationSeparator" w:id="0">
    <w:p w:rsidR="007439CF" w:rsidRDefault="007439CF">
      <w:r>
        <w:continuationSeparator/>
      </w:r>
    </w:p>
  </w:footnote>
  <w:footnote w:id="1">
    <w:p w:rsidR="00C3105A" w:rsidRDefault="00C3105A" w:rsidP="00B81BD9">
      <w:pPr>
        <w:pStyle w:val="FootnoteText"/>
        <w:tabs>
          <w:tab w:val="clear" w:pos="255"/>
        </w:tabs>
        <w:ind w:left="0" w:firstLine="0"/>
        <w:jc w:val="left"/>
      </w:pPr>
      <w:r>
        <w:rPr>
          <w:rStyle w:val="FootnoteReference"/>
        </w:rPr>
        <w:footnoteRef/>
      </w:r>
      <w:hyperlink r:id="rId1" w:history="1">
        <w:r w:rsidR="00B81BD9" w:rsidRPr="00C03B38">
          <w:rPr>
            <w:rStyle w:val="Hyperlink"/>
          </w:rPr>
          <w:t>http://goo.gl/LCpvqH</w:t>
        </w:r>
      </w:hyperlink>
      <w:r w:rsidR="00B81BD9">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5857678"/>
      <w:docPartObj>
        <w:docPartGallery w:val="Page Numbers (Top of Page)"/>
        <w:docPartUnique/>
      </w:docPartObj>
    </w:sdtPr>
    <w:sdtEndPr>
      <w:rPr>
        <w:noProof/>
        <w:sz w:val="22"/>
      </w:rPr>
    </w:sdtEndPr>
    <w:sdtContent>
      <w:p w:rsidR="0051108F" w:rsidRDefault="00294C13" w:rsidP="00294C13">
        <w:pPr>
          <w:pStyle w:val="Header"/>
          <w:jc w:val="center"/>
        </w:pPr>
        <w:r>
          <w:rPr>
            <w:sz w:val="18"/>
            <w:szCs w:val="18"/>
          </w:rPr>
          <w:t>-2-</w:t>
        </w:r>
      </w:p>
    </w:sdtContent>
  </w:sdt>
  <w:p w:rsidR="00FC6F6B" w:rsidRPr="0051108F" w:rsidRDefault="00FC6F6B" w:rsidP="0051108F">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9F725C" w:rsidRDefault="009F725C" w:rsidP="00383863">
    <w:pPr>
      <w:pStyle w:val="Header"/>
      <w:jc w:val="center"/>
      <w:rPr>
        <w:iCs/>
        <w:sz w:val="18"/>
        <w:szCs w:val="18"/>
      </w:rPr>
    </w:pPr>
    <w:r>
      <w:t>-</w:t>
    </w:r>
    <w:r w:rsidR="00E915AF" w:rsidRPr="009F725C">
      <w:rPr>
        <w:iCs/>
        <w:sz w:val="18"/>
        <w:szCs w:val="18"/>
      </w:rPr>
      <w:fldChar w:fldCharType="begin"/>
    </w:r>
    <w:r w:rsidR="00E915AF" w:rsidRPr="009F725C">
      <w:rPr>
        <w:iCs/>
        <w:sz w:val="18"/>
        <w:szCs w:val="18"/>
      </w:rPr>
      <w:instrText xml:space="preserve"> PAGE  \* MERGEFORMAT </w:instrText>
    </w:r>
    <w:r w:rsidR="00E915AF" w:rsidRPr="009F725C">
      <w:rPr>
        <w:iCs/>
        <w:sz w:val="18"/>
        <w:szCs w:val="18"/>
      </w:rPr>
      <w:fldChar w:fldCharType="separate"/>
    </w:r>
    <w:r w:rsidR="007D036C">
      <w:rPr>
        <w:iCs/>
        <w:noProof/>
        <w:sz w:val="18"/>
        <w:szCs w:val="18"/>
      </w:rPr>
      <w:t>3</w:t>
    </w:r>
    <w:r w:rsidR="00E915AF" w:rsidRPr="009F725C">
      <w:rPr>
        <w:iCs/>
        <w:sz w:val="18"/>
        <w:szCs w:val="18"/>
      </w:rPr>
      <w:fldChar w:fldCharType="end"/>
    </w:r>
    <w:r>
      <w:rPr>
        <w:iCs/>
        <w:sz w:val="18"/>
        <w:szCs w:val="1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5000"/>
    </w:tblGrid>
    <w:tr w:rsidR="00BA072F" w:rsidTr="00297D40">
      <w:tc>
        <w:tcPr>
          <w:tcW w:w="4889" w:type="dxa"/>
        </w:tcPr>
        <w:p w:rsidR="00BA072F" w:rsidRDefault="00BA072F" w:rsidP="00BA072F">
          <w:pPr>
            <w:pStyle w:val="Header"/>
            <w:tabs>
              <w:tab w:val="clear" w:pos="794"/>
              <w:tab w:val="clear" w:pos="4820"/>
            </w:tabs>
            <w:spacing w:before="120" w:line="360" w:lineRule="auto"/>
          </w:pPr>
          <w:r>
            <w:rPr>
              <w:b/>
              <w:bCs/>
              <w:noProof/>
              <w:lang w:eastAsia="zh-CN"/>
            </w:rPr>
            <w:drawing>
              <wp:inline distT="0" distB="0" distL="0" distR="0" wp14:anchorId="27F9980A" wp14:editId="2D4A8436">
                <wp:extent cx="537411" cy="609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7411" cy="609600"/>
                        </a:xfrm>
                        <a:prstGeom prst="rect">
                          <a:avLst/>
                        </a:prstGeom>
                        <a:noFill/>
                        <a:ln w="9525">
                          <a:noFill/>
                          <a:miter lim="800000"/>
                          <a:headEnd/>
                          <a:tailEnd/>
                        </a:ln>
                      </pic:spPr>
                    </pic:pic>
                  </a:graphicData>
                </a:graphic>
              </wp:inline>
            </w:drawing>
          </w:r>
        </w:p>
      </w:tc>
      <w:tc>
        <w:tcPr>
          <w:tcW w:w="5000" w:type="dxa"/>
        </w:tcPr>
        <w:p w:rsidR="00BA072F" w:rsidRDefault="00BA072F" w:rsidP="00BA072F">
          <w:pPr>
            <w:pStyle w:val="Header"/>
            <w:tabs>
              <w:tab w:val="clear" w:pos="794"/>
              <w:tab w:val="clear" w:pos="4820"/>
            </w:tabs>
            <w:spacing w:line="360" w:lineRule="auto"/>
            <w:jc w:val="right"/>
          </w:pPr>
          <w:r>
            <w:rPr>
              <w:noProof/>
              <w:lang w:eastAsia="zh-CN"/>
            </w:rPr>
            <w:drawing>
              <wp:inline distT="0" distB="0" distL="0" distR="0" wp14:anchorId="1A5EE33C" wp14:editId="45402713">
                <wp:extent cx="1117600" cy="838200"/>
                <wp:effectExtent l="0" t="0" r="6350" b="0"/>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logo-Blue02.png"/>
                        <pic:cNvPicPr/>
                      </pic:nvPicPr>
                      <pic:blipFill>
                        <a:blip r:embed="rId2">
                          <a:extLst>
                            <a:ext uri="{28A0092B-C50C-407E-A947-70E740481C1C}">
                              <a14:useLocalDpi xmlns:a14="http://schemas.microsoft.com/office/drawing/2010/main" val="0"/>
                            </a:ext>
                          </a:extLst>
                        </a:blip>
                        <a:stretch>
                          <a:fillRect/>
                        </a:stretch>
                      </pic:blipFill>
                      <pic:spPr>
                        <a:xfrm>
                          <a:off x="0" y="0"/>
                          <a:ext cx="1117600" cy="838200"/>
                        </a:xfrm>
                        <a:prstGeom prst="rect">
                          <a:avLst/>
                        </a:prstGeom>
                      </pic:spPr>
                    </pic:pic>
                  </a:graphicData>
                </a:graphic>
              </wp:inline>
            </w:drawing>
          </w:r>
        </w:p>
      </w:tc>
    </w:tr>
  </w:tbl>
  <w:p w:rsidR="00E915AF" w:rsidRPr="00BA072F" w:rsidRDefault="00E915AF" w:rsidP="00BA072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55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3"/>
    </w:tblGrid>
    <w:tr w:rsidR="00383863" w:rsidTr="00287631">
      <w:trPr>
        <w:jc w:val="center"/>
      </w:trPr>
      <w:tc>
        <w:tcPr>
          <w:tcW w:w="15593" w:type="dxa"/>
        </w:tcPr>
        <w:p w:rsidR="00383863" w:rsidRDefault="00383863" w:rsidP="00BA072F">
          <w:pPr>
            <w:pStyle w:val="Header"/>
            <w:tabs>
              <w:tab w:val="clear" w:pos="794"/>
              <w:tab w:val="clear" w:pos="4820"/>
            </w:tabs>
            <w:spacing w:line="360" w:lineRule="auto"/>
            <w:jc w:val="right"/>
          </w:pPr>
        </w:p>
      </w:tc>
    </w:tr>
  </w:tbl>
  <w:p w:rsidR="00435AEA" w:rsidRPr="009F725C" w:rsidRDefault="00435AEA" w:rsidP="00435AEA">
    <w:pPr>
      <w:pStyle w:val="Header"/>
      <w:jc w:val="center"/>
      <w:rPr>
        <w:iCs/>
        <w:sz w:val="18"/>
        <w:szCs w:val="18"/>
      </w:rPr>
    </w:pPr>
    <w:r>
      <w:rPr>
        <w:iCs/>
        <w:sz w:val="18"/>
        <w:szCs w:val="18"/>
      </w:rPr>
      <w:t>-</w:t>
    </w:r>
    <w:r w:rsidRPr="009F725C">
      <w:rPr>
        <w:iCs/>
        <w:sz w:val="18"/>
        <w:szCs w:val="18"/>
      </w:rPr>
      <w:fldChar w:fldCharType="begin"/>
    </w:r>
    <w:r w:rsidRPr="009F725C">
      <w:rPr>
        <w:iCs/>
        <w:sz w:val="18"/>
        <w:szCs w:val="18"/>
      </w:rPr>
      <w:instrText xml:space="preserve"> PAGE  \* MERGEFORMAT </w:instrText>
    </w:r>
    <w:r w:rsidRPr="009F725C">
      <w:rPr>
        <w:iCs/>
        <w:sz w:val="18"/>
        <w:szCs w:val="18"/>
      </w:rPr>
      <w:fldChar w:fldCharType="separate"/>
    </w:r>
    <w:r w:rsidR="007D036C">
      <w:rPr>
        <w:iCs/>
        <w:noProof/>
        <w:sz w:val="18"/>
        <w:szCs w:val="18"/>
      </w:rPr>
      <w:t>2</w:t>
    </w:r>
    <w:r w:rsidRPr="009F725C">
      <w:rPr>
        <w:iCs/>
        <w:sz w:val="18"/>
        <w:szCs w:val="18"/>
      </w:rPr>
      <w:fldChar w:fldCharType="end"/>
    </w:r>
    <w:r>
      <w:rPr>
        <w:iCs/>
        <w:sz w:val="18"/>
        <w:szCs w:val="18"/>
      </w:rPr>
      <w:t>-</w:t>
    </w:r>
  </w:p>
  <w:p w:rsidR="00383863" w:rsidRPr="00BA072F" w:rsidRDefault="00383863" w:rsidP="00435AE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2022389"/>
    <w:multiLevelType w:val="hybridMultilevel"/>
    <w:tmpl w:val="EF9A8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4136B2D"/>
    <w:multiLevelType w:val="hybridMultilevel"/>
    <w:tmpl w:val="876EFD0E"/>
    <w:lvl w:ilvl="0" w:tplc="8D6E41D2">
      <w:start w:val="1"/>
      <w:numFmt w:val="decimal"/>
      <w:lvlText w:val="%1."/>
      <w:lvlJc w:val="left"/>
      <w:pPr>
        <w:ind w:left="353" w:hanging="360"/>
      </w:pPr>
      <w:rPr>
        <w:rFonts w:hint="default"/>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6">
    <w:nsid w:val="05A7154E"/>
    <w:multiLevelType w:val="hybridMultilevel"/>
    <w:tmpl w:val="EC4E0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9927F1"/>
    <w:multiLevelType w:val="hybridMultilevel"/>
    <w:tmpl w:val="30BAD5CA"/>
    <w:lvl w:ilvl="0" w:tplc="A9A4A49A">
      <w:start w:val="1"/>
      <w:numFmt w:val="lowerRoman"/>
      <w:lvlText w:val="(%1)"/>
      <w:lvlJc w:val="left"/>
      <w:pPr>
        <w:ind w:left="1712"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833CFA"/>
    <w:multiLevelType w:val="hybridMultilevel"/>
    <w:tmpl w:val="1696CE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10B64CA"/>
    <w:multiLevelType w:val="hybridMultilevel"/>
    <w:tmpl w:val="C546C9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AC20F93"/>
    <w:multiLevelType w:val="hybridMultilevel"/>
    <w:tmpl w:val="348C3EB2"/>
    <w:lvl w:ilvl="0" w:tplc="0409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FBC0D38"/>
    <w:multiLevelType w:val="hybridMultilevel"/>
    <w:tmpl w:val="B00683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18B52F4"/>
    <w:multiLevelType w:val="hybridMultilevel"/>
    <w:tmpl w:val="3516DD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31FF3039"/>
    <w:multiLevelType w:val="hybridMultilevel"/>
    <w:tmpl w:val="4AF27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3A54B4A"/>
    <w:multiLevelType w:val="hybridMultilevel"/>
    <w:tmpl w:val="ACA6D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16">
    <w:nsid w:val="44B22226"/>
    <w:multiLevelType w:val="hybridMultilevel"/>
    <w:tmpl w:val="876EFD0E"/>
    <w:lvl w:ilvl="0" w:tplc="8D6E41D2">
      <w:start w:val="1"/>
      <w:numFmt w:val="decimal"/>
      <w:lvlText w:val="%1."/>
      <w:lvlJc w:val="left"/>
      <w:pPr>
        <w:ind w:left="353" w:hanging="360"/>
      </w:pPr>
      <w:rPr>
        <w:rFonts w:hint="default"/>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17">
    <w:nsid w:val="454E0710"/>
    <w:multiLevelType w:val="hybridMultilevel"/>
    <w:tmpl w:val="DB002E8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A03C07"/>
    <w:multiLevelType w:val="hybridMultilevel"/>
    <w:tmpl w:val="3B64F194"/>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19">
    <w:nsid w:val="4F066974"/>
    <w:multiLevelType w:val="hybridMultilevel"/>
    <w:tmpl w:val="9DEE4C5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0">
    <w:nsid w:val="5BF21B47"/>
    <w:multiLevelType w:val="hybridMultilevel"/>
    <w:tmpl w:val="531E2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4723CBF"/>
    <w:multiLevelType w:val="hybridMultilevel"/>
    <w:tmpl w:val="31C4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8555D0"/>
    <w:multiLevelType w:val="hybridMultilevel"/>
    <w:tmpl w:val="AE1CD802"/>
    <w:lvl w:ilvl="0" w:tplc="8918CEB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F6C5ECE"/>
    <w:multiLevelType w:val="hybridMultilevel"/>
    <w:tmpl w:val="78E0A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98F3460"/>
    <w:multiLevelType w:val="hybridMultilevel"/>
    <w:tmpl w:val="9334C67C"/>
    <w:lvl w:ilvl="0" w:tplc="877C347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EB6B16"/>
    <w:multiLevelType w:val="hybridMultilevel"/>
    <w:tmpl w:val="7D06CAF6"/>
    <w:lvl w:ilvl="0" w:tplc="77F8DB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1"/>
  </w:num>
  <w:num w:numId="4">
    <w:abstractNumId w:val="9"/>
  </w:num>
  <w:num w:numId="5">
    <w:abstractNumId w:val="21"/>
  </w:num>
  <w:num w:numId="6">
    <w:abstractNumId w:val="23"/>
  </w:num>
  <w:num w:numId="7">
    <w:abstractNumId w:val="17"/>
  </w:num>
  <w:num w:numId="8">
    <w:abstractNumId w:val="25"/>
  </w:num>
  <w:num w:numId="9">
    <w:abstractNumId w:val="7"/>
  </w:num>
  <w:num w:numId="10">
    <w:abstractNumId w:val="22"/>
  </w:num>
  <w:num w:numId="11">
    <w:abstractNumId w:val="10"/>
  </w:num>
  <w:num w:numId="12">
    <w:abstractNumId w:val="8"/>
  </w:num>
  <w:num w:numId="13">
    <w:abstractNumId w:val="24"/>
  </w:num>
  <w:num w:numId="14">
    <w:abstractNumId w:val="6"/>
  </w:num>
  <w:num w:numId="15">
    <w:abstractNumId w:val="20"/>
  </w:num>
  <w:num w:numId="16">
    <w:abstractNumId w:val="13"/>
  </w:num>
  <w:num w:numId="17">
    <w:abstractNumId w:val="14"/>
  </w:num>
  <w:num w:numId="18">
    <w:abstractNumId w:val="19"/>
  </w:num>
  <w:num w:numId="19">
    <w:abstractNumId w:val="12"/>
  </w:num>
  <w:num w:numId="20">
    <w:abstractNumId w:val="18"/>
  </w:num>
  <w:num w:numId="21">
    <w:abstractNumId w:val="5"/>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1D7459"/>
    <w:rsid w:val="00006A31"/>
    <w:rsid w:val="00006C82"/>
    <w:rsid w:val="00010E30"/>
    <w:rsid w:val="00012C68"/>
    <w:rsid w:val="00015C76"/>
    <w:rsid w:val="00026CF8"/>
    <w:rsid w:val="00030BD7"/>
    <w:rsid w:val="00031E64"/>
    <w:rsid w:val="00034340"/>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E3DEE"/>
    <w:rsid w:val="00100B72"/>
    <w:rsid w:val="00101F7D"/>
    <w:rsid w:val="00103C76"/>
    <w:rsid w:val="00104C35"/>
    <w:rsid w:val="0011265F"/>
    <w:rsid w:val="00117282"/>
    <w:rsid w:val="00117389"/>
    <w:rsid w:val="00121C2D"/>
    <w:rsid w:val="00130EDE"/>
    <w:rsid w:val="00134404"/>
    <w:rsid w:val="00144DFB"/>
    <w:rsid w:val="001516A0"/>
    <w:rsid w:val="00187CA3"/>
    <w:rsid w:val="00196710"/>
    <w:rsid w:val="00197324"/>
    <w:rsid w:val="001B351B"/>
    <w:rsid w:val="001C06DB"/>
    <w:rsid w:val="001C6971"/>
    <w:rsid w:val="001D2785"/>
    <w:rsid w:val="001D4B24"/>
    <w:rsid w:val="001D7070"/>
    <w:rsid w:val="001D7459"/>
    <w:rsid w:val="001F2170"/>
    <w:rsid w:val="001F3948"/>
    <w:rsid w:val="001F5A49"/>
    <w:rsid w:val="00201097"/>
    <w:rsid w:val="00201B6E"/>
    <w:rsid w:val="002302B3"/>
    <w:rsid w:val="00230C66"/>
    <w:rsid w:val="00235A29"/>
    <w:rsid w:val="00241526"/>
    <w:rsid w:val="002443A2"/>
    <w:rsid w:val="00266E74"/>
    <w:rsid w:val="00283C3B"/>
    <w:rsid w:val="002861E6"/>
    <w:rsid w:val="00287D18"/>
    <w:rsid w:val="00294C13"/>
    <w:rsid w:val="002A2618"/>
    <w:rsid w:val="002A5DD7"/>
    <w:rsid w:val="002B0CAC"/>
    <w:rsid w:val="002D26B5"/>
    <w:rsid w:val="002D5A15"/>
    <w:rsid w:val="002D5BDD"/>
    <w:rsid w:val="002E3D27"/>
    <w:rsid w:val="002F0890"/>
    <w:rsid w:val="002F2531"/>
    <w:rsid w:val="002F4967"/>
    <w:rsid w:val="00316935"/>
    <w:rsid w:val="003266ED"/>
    <w:rsid w:val="003370B8"/>
    <w:rsid w:val="00345D38"/>
    <w:rsid w:val="00352097"/>
    <w:rsid w:val="003666FF"/>
    <w:rsid w:val="0037309C"/>
    <w:rsid w:val="00380A6E"/>
    <w:rsid w:val="003836D4"/>
    <w:rsid w:val="00383863"/>
    <w:rsid w:val="003A1F49"/>
    <w:rsid w:val="003A5D52"/>
    <w:rsid w:val="003B2BDA"/>
    <w:rsid w:val="003B55EC"/>
    <w:rsid w:val="003C2EA7"/>
    <w:rsid w:val="003C4471"/>
    <w:rsid w:val="003C7D41"/>
    <w:rsid w:val="003D3B94"/>
    <w:rsid w:val="003D4A69"/>
    <w:rsid w:val="003E504F"/>
    <w:rsid w:val="003E765E"/>
    <w:rsid w:val="003E78D6"/>
    <w:rsid w:val="00400573"/>
    <w:rsid w:val="004007A3"/>
    <w:rsid w:val="00404150"/>
    <w:rsid w:val="00406D71"/>
    <w:rsid w:val="00425F36"/>
    <w:rsid w:val="00427852"/>
    <w:rsid w:val="004326DB"/>
    <w:rsid w:val="00435AEA"/>
    <w:rsid w:val="0043682E"/>
    <w:rsid w:val="00447ECB"/>
    <w:rsid w:val="004623F7"/>
    <w:rsid w:val="00480F51"/>
    <w:rsid w:val="00481124"/>
    <w:rsid w:val="004815EB"/>
    <w:rsid w:val="00487569"/>
    <w:rsid w:val="00490CDD"/>
    <w:rsid w:val="00496864"/>
    <w:rsid w:val="00496920"/>
    <w:rsid w:val="004A4496"/>
    <w:rsid w:val="004A4D70"/>
    <w:rsid w:val="004B11AB"/>
    <w:rsid w:val="004B7C9A"/>
    <w:rsid w:val="004C6779"/>
    <w:rsid w:val="004D733B"/>
    <w:rsid w:val="004E0DC4"/>
    <w:rsid w:val="004E0FB5"/>
    <w:rsid w:val="004E43BB"/>
    <w:rsid w:val="004E460D"/>
    <w:rsid w:val="004F178E"/>
    <w:rsid w:val="004F4543"/>
    <w:rsid w:val="004F57BB"/>
    <w:rsid w:val="00505309"/>
    <w:rsid w:val="0050789B"/>
    <w:rsid w:val="0051108F"/>
    <w:rsid w:val="005224A1"/>
    <w:rsid w:val="00534372"/>
    <w:rsid w:val="00543DF8"/>
    <w:rsid w:val="00546101"/>
    <w:rsid w:val="00553DD7"/>
    <w:rsid w:val="005638CF"/>
    <w:rsid w:val="0056741E"/>
    <w:rsid w:val="0057325A"/>
    <w:rsid w:val="0057469A"/>
    <w:rsid w:val="00580814"/>
    <w:rsid w:val="00583A0B"/>
    <w:rsid w:val="005A03A3"/>
    <w:rsid w:val="005A2B92"/>
    <w:rsid w:val="005A79E9"/>
    <w:rsid w:val="005B214C"/>
    <w:rsid w:val="005D3669"/>
    <w:rsid w:val="005E5EB3"/>
    <w:rsid w:val="005F3CB6"/>
    <w:rsid w:val="005F657C"/>
    <w:rsid w:val="00602D53"/>
    <w:rsid w:val="006047E5"/>
    <w:rsid w:val="00621096"/>
    <w:rsid w:val="00623DCD"/>
    <w:rsid w:val="00637BF2"/>
    <w:rsid w:val="0064371D"/>
    <w:rsid w:val="00650B2A"/>
    <w:rsid w:val="00651777"/>
    <w:rsid w:val="006550F8"/>
    <w:rsid w:val="00656226"/>
    <w:rsid w:val="006701B1"/>
    <w:rsid w:val="006829F3"/>
    <w:rsid w:val="006A518B"/>
    <w:rsid w:val="006B0590"/>
    <w:rsid w:val="006B49DA"/>
    <w:rsid w:val="006C53F8"/>
    <w:rsid w:val="006C7CDE"/>
    <w:rsid w:val="007234B1"/>
    <w:rsid w:val="00723D08"/>
    <w:rsid w:val="00725FDA"/>
    <w:rsid w:val="00727816"/>
    <w:rsid w:val="00730B9A"/>
    <w:rsid w:val="007439CF"/>
    <w:rsid w:val="00750CFA"/>
    <w:rsid w:val="007553DA"/>
    <w:rsid w:val="00782354"/>
    <w:rsid w:val="007921A7"/>
    <w:rsid w:val="007B3DB1"/>
    <w:rsid w:val="007C4AB2"/>
    <w:rsid w:val="007D036C"/>
    <w:rsid w:val="007D183E"/>
    <w:rsid w:val="007D43D0"/>
    <w:rsid w:val="007D4FF9"/>
    <w:rsid w:val="007E1833"/>
    <w:rsid w:val="007E3F13"/>
    <w:rsid w:val="007F751A"/>
    <w:rsid w:val="00800012"/>
    <w:rsid w:val="0080261F"/>
    <w:rsid w:val="00806160"/>
    <w:rsid w:val="008143A4"/>
    <w:rsid w:val="0081513E"/>
    <w:rsid w:val="00831466"/>
    <w:rsid w:val="00841B33"/>
    <w:rsid w:val="00854131"/>
    <w:rsid w:val="0085652D"/>
    <w:rsid w:val="0087694B"/>
    <w:rsid w:val="00880F4D"/>
    <w:rsid w:val="008B1693"/>
    <w:rsid w:val="008B35A3"/>
    <w:rsid w:val="008B37E1"/>
    <w:rsid w:val="008B45F8"/>
    <w:rsid w:val="008C2E74"/>
    <w:rsid w:val="008D47D1"/>
    <w:rsid w:val="008D5409"/>
    <w:rsid w:val="008E006D"/>
    <w:rsid w:val="008E38B4"/>
    <w:rsid w:val="008E50DE"/>
    <w:rsid w:val="008F4F21"/>
    <w:rsid w:val="00904D4A"/>
    <w:rsid w:val="009151BA"/>
    <w:rsid w:val="00925023"/>
    <w:rsid w:val="009274C5"/>
    <w:rsid w:val="009277BC"/>
    <w:rsid w:val="00927D57"/>
    <w:rsid w:val="00931A51"/>
    <w:rsid w:val="00947185"/>
    <w:rsid w:val="009518B3"/>
    <w:rsid w:val="00963D9D"/>
    <w:rsid w:val="0098013E"/>
    <w:rsid w:val="00981B54"/>
    <w:rsid w:val="009842C3"/>
    <w:rsid w:val="009A009A"/>
    <w:rsid w:val="009A6BB6"/>
    <w:rsid w:val="009B3F43"/>
    <w:rsid w:val="009B5CFA"/>
    <w:rsid w:val="009C161F"/>
    <w:rsid w:val="009C56B4"/>
    <w:rsid w:val="009D51A2"/>
    <w:rsid w:val="009E04A8"/>
    <w:rsid w:val="009E4AEC"/>
    <w:rsid w:val="009E5BD8"/>
    <w:rsid w:val="009E681E"/>
    <w:rsid w:val="009F725C"/>
    <w:rsid w:val="00A119E6"/>
    <w:rsid w:val="00A20FBC"/>
    <w:rsid w:val="00A24BD3"/>
    <w:rsid w:val="00A31370"/>
    <w:rsid w:val="00A34D6F"/>
    <w:rsid w:val="00A41F91"/>
    <w:rsid w:val="00A43326"/>
    <w:rsid w:val="00A63355"/>
    <w:rsid w:val="00A7596D"/>
    <w:rsid w:val="00A963DF"/>
    <w:rsid w:val="00AC0C22"/>
    <w:rsid w:val="00AC3896"/>
    <w:rsid w:val="00AD2CF2"/>
    <w:rsid w:val="00AE2D88"/>
    <w:rsid w:val="00AE6F6F"/>
    <w:rsid w:val="00AF3325"/>
    <w:rsid w:val="00AF34D9"/>
    <w:rsid w:val="00AF70DA"/>
    <w:rsid w:val="00B019D3"/>
    <w:rsid w:val="00B14301"/>
    <w:rsid w:val="00B34CF9"/>
    <w:rsid w:val="00B37559"/>
    <w:rsid w:val="00B4054B"/>
    <w:rsid w:val="00B579B0"/>
    <w:rsid w:val="00B57D11"/>
    <w:rsid w:val="00B6398D"/>
    <w:rsid w:val="00B649D7"/>
    <w:rsid w:val="00B81BD9"/>
    <w:rsid w:val="00B81C2F"/>
    <w:rsid w:val="00B90743"/>
    <w:rsid w:val="00B90C45"/>
    <w:rsid w:val="00B933BE"/>
    <w:rsid w:val="00B951A9"/>
    <w:rsid w:val="00BA072F"/>
    <w:rsid w:val="00BD6738"/>
    <w:rsid w:val="00BD7E5E"/>
    <w:rsid w:val="00BE35C0"/>
    <w:rsid w:val="00BE63DB"/>
    <w:rsid w:val="00BE6574"/>
    <w:rsid w:val="00BF58EA"/>
    <w:rsid w:val="00C07319"/>
    <w:rsid w:val="00C16FD2"/>
    <w:rsid w:val="00C3105A"/>
    <w:rsid w:val="00C4395E"/>
    <w:rsid w:val="00C47FFD"/>
    <w:rsid w:val="00C51E92"/>
    <w:rsid w:val="00C57E2C"/>
    <w:rsid w:val="00C608B7"/>
    <w:rsid w:val="00C66F24"/>
    <w:rsid w:val="00C737AD"/>
    <w:rsid w:val="00C76D7F"/>
    <w:rsid w:val="00C813AA"/>
    <w:rsid w:val="00C818D7"/>
    <w:rsid w:val="00C9291E"/>
    <w:rsid w:val="00CA3F44"/>
    <w:rsid w:val="00CA4E58"/>
    <w:rsid w:val="00CB3771"/>
    <w:rsid w:val="00CB44BF"/>
    <w:rsid w:val="00CB5153"/>
    <w:rsid w:val="00CB6F46"/>
    <w:rsid w:val="00CD4E44"/>
    <w:rsid w:val="00CE076A"/>
    <w:rsid w:val="00CE463D"/>
    <w:rsid w:val="00CF4FE5"/>
    <w:rsid w:val="00D021FC"/>
    <w:rsid w:val="00D10BA0"/>
    <w:rsid w:val="00D21694"/>
    <w:rsid w:val="00D24EB5"/>
    <w:rsid w:val="00D35AB9"/>
    <w:rsid w:val="00D41571"/>
    <w:rsid w:val="00D416A0"/>
    <w:rsid w:val="00D47672"/>
    <w:rsid w:val="00D5123C"/>
    <w:rsid w:val="00D55560"/>
    <w:rsid w:val="00D61C5A"/>
    <w:rsid w:val="00D6790C"/>
    <w:rsid w:val="00D73277"/>
    <w:rsid w:val="00D76586"/>
    <w:rsid w:val="00D82657"/>
    <w:rsid w:val="00D87E20"/>
    <w:rsid w:val="00DA4037"/>
    <w:rsid w:val="00DE66A5"/>
    <w:rsid w:val="00DF2B50"/>
    <w:rsid w:val="00E04C86"/>
    <w:rsid w:val="00E04EB8"/>
    <w:rsid w:val="00E17344"/>
    <w:rsid w:val="00E20F30"/>
    <w:rsid w:val="00E2189C"/>
    <w:rsid w:val="00E25BB1"/>
    <w:rsid w:val="00E27BBA"/>
    <w:rsid w:val="00E30E3F"/>
    <w:rsid w:val="00E35E8F"/>
    <w:rsid w:val="00E428AB"/>
    <w:rsid w:val="00E438E8"/>
    <w:rsid w:val="00E453A3"/>
    <w:rsid w:val="00E520E2"/>
    <w:rsid w:val="00E530C4"/>
    <w:rsid w:val="00E55996"/>
    <w:rsid w:val="00E64254"/>
    <w:rsid w:val="00E67928"/>
    <w:rsid w:val="00E70FB5"/>
    <w:rsid w:val="00E71778"/>
    <w:rsid w:val="00E915AF"/>
    <w:rsid w:val="00E96415"/>
    <w:rsid w:val="00EA15B3"/>
    <w:rsid w:val="00EB2358"/>
    <w:rsid w:val="00EB3EB8"/>
    <w:rsid w:val="00EC02FE"/>
    <w:rsid w:val="00EC4A96"/>
    <w:rsid w:val="00ED37D0"/>
    <w:rsid w:val="00EE5A42"/>
    <w:rsid w:val="00F044FA"/>
    <w:rsid w:val="00F424BF"/>
    <w:rsid w:val="00F44FC3"/>
    <w:rsid w:val="00F46107"/>
    <w:rsid w:val="00F468C5"/>
    <w:rsid w:val="00F52F39"/>
    <w:rsid w:val="00F6184F"/>
    <w:rsid w:val="00F8310E"/>
    <w:rsid w:val="00F914DD"/>
    <w:rsid w:val="00FA2358"/>
    <w:rsid w:val="00FB2592"/>
    <w:rsid w:val="00FB2810"/>
    <w:rsid w:val="00FB7A2C"/>
    <w:rsid w:val="00FC2947"/>
    <w:rsid w:val="00FC50AB"/>
    <w:rsid w:val="00FC6F6B"/>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CAC67019-4560-4631-92BE-F6A4B94D5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AB2"/>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link w:val="Heading1Char"/>
    <w:qFormat/>
    <w:rsid w:val="004326DB"/>
    <w:pPr>
      <w:keepNext/>
      <w:keepLines/>
      <w:spacing w:before="600" w:line="320" w:lineRule="exact"/>
      <w:ind w:left="794" w:hanging="794"/>
      <w:outlineLvl w:val="0"/>
    </w:pPr>
    <w:rPr>
      <w:b/>
    </w:rPr>
  </w:style>
  <w:style w:type="paragraph" w:styleId="Heading2">
    <w:name w:val="heading 2"/>
    <w:basedOn w:val="Heading1"/>
    <w:next w:val="Normal"/>
    <w:link w:val="Heading2Char"/>
    <w:qFormat/>
    <w:rsid w:val="004326DB"/>
    <w:pPr>
      <w:spacing w:before="360"/>
      <w:outlineLvl w:val="1"/>
    </w:pPr>
  </w:style>
  <w:style w:type="paragraph" w:styleId="Heading3">
    <w:name w:val="heading 3"/>
    <w:basedOn w:val="Heading1"/>
    <w:next w:val="Normal"/>
    <w:link w:val="Heading3Char"/>
    <w:qFormat/>
    <w:rsid w:val="004326DB"/>
    <w:pPr>
      <w:spacing w:before="240"/>
      <w:outlineLvl w:val="2"/>
    </w:pPr>
  </w:style>
  <w:style w:type="paragraph" w:styleId="Heading4">
    <w:name w:val="heading 4"/>
    <w:basedOn w:val="Heading3"/>
    <w:next w:val="Normal"/>
    <w:link w:val="Heading4Char"/>
    <w:qFormat/>
    <w:rsid w:val="004326DB"/>
    <w:pPr>
      <w:tabs>
        <w:tab w:val="clear" w:pos="794"/>
        <w:tab w:val="left" w:pos="1021"/>
      </w:tabs>
      <w:ind w:left="1021" w:hanging="1021"/>
      <w:outlineLvl w:val="3"/>
    </w:pPr>
  </w:style>
  <w:style w:type="paragraph" w:styleId="Heading5">
    <w:name w:val="heading 5"/>
    <w:basedOn w:val="Heading4"/>
    <w:next w:val="Normal"/>
    <w:link w:val="Heading5Char"/>
    <w:uiPriority w:val="99"/>
    <w:qFormat/>
    <w:rsid w:val="004326DB"/>
    <w:pPr>
      <w:outlineLvl w:val="4"/>
    </w:pPr>
  </w:style>
  <w:style w:type="paragraph" w:styleId="Heading6">
    <w:name w:val="heading 6"/>
    <w:basedOn w:val="Heading4"/>
    <w:next w:val="Normal"/>
    <w:link w:val="Heading6Char"/>
    <w:qFormat/>
    <w:rsid w:val="004326DB"/>
    <w:pPr>
      <w:tabs>
        <w:tab w:val="clear" w:pos="1021"/>
        <w:tab w:val="clear" w:pos="1191"/>
      </w:tabs>
      <w:ind w:left="1588" w:hanging="1588"/>
      <w:outlineLvl w:val="5"/>
    </w:pPr>
  </w:style>
  <w:style w:type="paragraph" w:styleId="Heading7">
    <w:name w:val="heading 7"/>
    <w:basedOn w:val="Heading6"/>
    <w:next w:val="Normal"/>
    <w:link w:val="Heading7Char"/>
    <w:qFormat/>
    <w:rsid w:val="004326DB"/>
    <w:pPr>
      <w:outlineLvl w:val="6"/>
    </w:pPr>
  </w:style>
  <w:style w:type="paragraph" w:styleId="Heading8">
    <w:name w:val="heading 8"/>
    <w:basedOn w:val="Heading6"/>
    <w:next w:val="Normal"/>
    <w:link w:val="Heading8Char"/>
    <w:qFormat/>
    <w:rsid w:val="004326DB"/>
    <w:pPr>
      <w:outlineLvl w:val="7"/>
    </w:pPr>
  </w:style>
  <w:style w:type="paragraph" w:styleId="Heading9">
    <w:name w:val="heading 9"/>
    <w:basedOn w:val="Heading6"/>
    <w:next w:val="Normal"/>
    <w:link w:val="Heading9Char"/>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4326DB"/>
  </w:style>
  <w:style w:type="paragraph" w:styleId="TOC4">
    <w:name w:val="toc 4"/>
    <w:basedOn w:val="TOC3"/>
    <w:rsid w:val="004326DB"/>
  </w:style>
  <w:style w:type="paragraph" w:styleId="TOC3">
    <w:name w:val="toc 3"/>
    <w:basedOn w:val="TOC2"/>
    <w:rsid w:val="004326DB"/>
  </w:style>
  <w:style w:type="paragraph" w:styleId="TOC2">
    <w:name w:val="toc 2"/>
    <w:basedOn w:val="TOC1"/>
    <w:rsid w:val="004326DB"/>
    <w:pPr>
      <w:spacing w:before="80"/>
      <w:ind w:left="1531" w:hanging="851"/>
    </w:pPr>
  </w:style>
  <w:style w:type="paragraph" w:styleId="TOC1">
    <w:name w:val="toc 1"/>
    <w:basedOn w:val="Normal"/>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rsid w:val="004326DB"/>
  </w:style>
  <w:style w:type="paragraph" w:styleId="TOC6">
    <w:name w:val="toc 6"/>
    <w:basedOn w:val="TOC4"/>
    <w:rsid w:val="004326DB"/>
  </w:style>
  <w:style w:type="paragraph" w:styleId="TOC5">
    <w:name w:val="toc 5"/>
    <w:basedOn w:val="TOC4"/>
    <w:rsid w:val="004326DB"/>
  </w:style>
  <w:style w:type="paragraph" w:styleId="Footer">
    <w:name w:val="footer"/>
    <w:aliases w:val="pie de página"/>
    <w:basedOn w:val="Normal"/>
    <w:link w:val="FooterChar"/>
    <w:uiPriority w:val="99"/>
    <w:rsid w:val="004326DB"/>
    <w:pPr>
      <w:tabs>
        <w:tab w:val="clear" w:pos="794"/>
        <w:tab w:val="clear" w:pos="1191"/>
        <w:tab w:val="clear" w:pos="1588"/>
        <w:tab w:val="clear" w:pos="1985"/>
        <w:tab w:val="center" w:pos="4320"/>
        <w:tab w:val="right" w:pos="8640"/>
      </w:tabs>
    </w:pPr>
  </w:style>
  <w:style w:type="paragraph" w:styleId="Header">
    <w:name w:val="header"/>
    <w:aliases w:val="encabezado"/>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
    <w:basedOn w:val="DefaultParagraphFont"/>
    <w:rsid w:val="004326DB"/>
    <w:rPr>
      <w:position w:val="6"/>
      <w:sz w:val="18"/>
    </w:rPr>
  </w:style>
  <w:style w:type="paragraph" w:styleId="FootnoteText">
    <w:name w:val="footnote text"/>
    <w:basedOn w:val="Note"/>
    <w:link w:val="FootnoteTextChar"/>
    <w:rsid w:val="004326DB"/>
    <w:pPr>
      <w:keepLines/>
      <w:tabs>
        <w:tab w:val="left" w:pos="255"/>
      </w:tabs>
      <w:ind w:left="255" w:hanging="255"/>
    </w:pPr>
  </w:style>
  <w:style w:type="paragraph" w:customStyle="1" w:styleId="Note">
    <w:name w:val="Note"/>
    <w:basedOn w:val="Normal"/>
    <w:link w:val="NoteChar"/>
    <w:rsid w:val="004326DB"/>
    <w:pPr>
      <w:spacing w:before="80" w:line="240" w:lineRule="exact"/>
    </w:pPr>
    <w:rPr>
      <w:sz w:val="20"/>
    </w:r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rsid w:val="004326DB"/>
    <w:pPr>
      <w:ind w:left="284"/>
      <w:jc w:val="left"/>
    </w:pPr>
  </w:style>
  <w:style w:type="paragraph" w:styleId="Index3">
    <w:name w:val="index 3"/>
    <w:basedOn w:val="Normal"/>
    <w:next w:val="Normal"/>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uiPriority w:val="59"/>
    <w:rsid w:val="00BA0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encabezado Char"/>
    <w:basedOn w:val="DefaultParagraphFont"/>
    <w:link w:val="Header"/>
    <w:uiPriority w:val="99"/>
    <w:rsid w:val="0051108F"/>
    <w:rPr>
      <w:sz w:val="24"/>
      <w:szCs w:val="22"/>
      <w:lang w:val="en-US" w:eastAsia="en-US"/>
    </w:rPr>
  </w:style>
  <w:style w:type="paragraph" w:customStyle="1" w:styleId="FigureNotitle0">
    <w:name w:val="Figure_No &amp; title"/>
    <w:basedOn w:val="Normal"/>
    <w:next w:val="Normalaftertitle"/>
    <w:rsid w:val="009F725C"/>
    <w:pPr>
      <w:keepLines/>
      <w:spacing w:before="240" w:after="120" w:line="240" w:lineRule="auto"/>
      <w:jc w:val="center"/>
    </w:pPr>
    <w:rPr>
      <w:rFonts w:ascii="Times New Roman" w:hAnsi="Times New Roman" w:cs="Times New Roman"/>
      <w:b/>
      <w:szCs w:val="20"/>
      <w:lang w:val="en-GB"/>
    </w:rPr>
  </w:style>
  <w:style w:type="paragraph" w:customStyle="1" w:styleId="TabletitleBR">
    <w:name w:val="Table_title_BR"/>
    <w:basedOn w:val="Normal"/>
    <w:next w:val="Tablehead"/>
    <w:rsid w:val="009F725C"/>
    <w:pPr>
      <w:keepNext/>
      <w:keepLines/>
      <w:spacing w:before="0" w:after="120" w:line="240" w:lineRule="auto"/>
      <w:jc w:val="center"/>
    </w:pPr>
    <w:rPr>
      <w:rFonts w:ascii="Times New Roman" w:hAnsi="Times New Roman" w:cs="Times New Roman"/>
      <w:b/>
      <w:szCs w:val="20"/>
      <w:lang w:val="en-GB"/>
    </w:rPr>
  </w:style>
  <w:style w:type="paragraph" w:customStyle="1" w:styleId="AnnexNotitle0">
    <w:name w:val="Annex_No &amp; title"/>
    <w:basedOn w:val="Normal"/>
    <w:next w:val="Normalaftertitle"/>
    <w:rsid w:val="009F725C"/>
    <w:pPr>
      <w:keepNext/>
      <w:keepLines/>
      <w:spacing w:before="480" w:line="240" w:lineRule="auto"/>
      <w:jc w:val="center"/>
    </w:pPr>
    <w:rPr>
      <w:rFonts w:ascii="Times New Roman" w:hAnsi="Times New Roman" w:cs="Times New Roman"/>
      <w:b/>
      <w:sz w:val="28"/>
      <w:szCs w:val="20"/>
      <w:lang w:val="en-GB"/>
    </w:rPr>
  </w:style>
  <w:style w:type="character" w:customStyle="1" w:styleId="Appdef">
    <w:name w:val="App_def"/>
    <w:basedOn w:val="DefaultParagraphFont"/>
    <w:rsid w:val="009F725C"/>
    <w:rPr>
      <w:rFonts w:ascii="Times New Roman" w:hAnsi="Times New Roman"/>
      <w:b/>
    </w:rPr>
  </w:style>
  <w:style w:type="character" w:customStyle="1" w:styleId="Appref">
    <w:name w:val="App_ref"/>
    <w:basedOn w:val="DefaultParagraphFont"/>
    <w:rsid w:val="009F725C"/>
  </w:style>
  <w:style w:type="paragraph" w:customStyle="1" w:styleId="AppendixNotitle0">
    <w:name w:val="Appendix_No &amp; title"/>
    <w:basedOn w:val="AnnexNotitle0"/>
    <w:next w:val="Normalaftertitle"/>
    <w:rsid w:val="009F725C"/>
  </w:style>
  <w:style w:type="character" w:customStyle="1" w:styleId="Artdef">
    <w:name w:val="Art_def"/>
    <w:basedOn w:val="DefaultParagraphFont"/>
    <w:rsid w:val="009F725C"/>
    <w:rPr>
      <w:rFonts w:ascii="Times New Roman" w:hAnsi="Times New Roman"/>
      <w:b/>
    </w:rPr>
  </w:style>
  <w:style w:type="character" w:customStyle="1" w:styleId="Artref">
    <w:name w:val="Art_ref"/>
    <w:basedOn w:val="DefaultParagraphFont"/>
    <w:rsid w:val="009F725C"/>
  </w:style>
  <w:style w:type="paragraph" w:customStyle="1" w:styleId="RecNoBR">
    <w:name w:val="Rec_No_BR"/>
    <w:basedOn w:val="Normal"/>
    <w:next w:val="Rectitle"/>
    <w:rsid w:val="009F725C"/>
    <w:pPr>
      <w:keepNext/>
      <w:keepLines/>
      <w:spacing w:before="480" w:line="240" w:lineRule="auto"/>
      <w:jc w:val="center"/>
    </w:pPr>
    <w:rPr>
      <w:rFonts w:ascii="Times New Roman" w:hAnsi="Times New Roman" w:cs="Times New Roman"/>
      <w:caps/>
      <w:sz w:val="28"/>
      <w:szCs w:val="20"/>
      <w:lang w:val="en-GB"/>
    </w:rPr>
  </w:style>
  <w:style w:type="character" w:styleId="EndnoteReference">
    <w:name w:val="endnote reference"/>
    <w:basedOn w:val="DefaultParagraphFont"/>
    <w:rsid w:val="009F725C"/>
    <w:rPr>
      <w:vertAlign w:val="superscript"/>
    </w:rPr>
  </w:style>
  <w:style w:type="paragraph" w:customStyle="1" w:styleId="QuestionNoBR">
    <w:name w:val="Question_No_BR"/>
    <w:basedOn w:val="RecNoBR"/>
    <w:next w:val="Questiontitle"/>
    <w:rsid w:val="009F725C"/>
  </w:style>
  <w:style w:type="paragraph" w:customStyle="1" w:styleId="RepNoBR">
    <w:name w:val="Rep_No_BR"/>
    <w:basedOn w:val="RecNoBR"/>
    <w:next w:val="Reptitle"/>
    <w:rsid w:val="009F725C"/>
  </w:style>
  <w:style w:type="paragraph" w:customStyle="1" w:styleId="ResNoBR">
    <w:name w:val="Res_No_BR"/>
    <w:basedOn w:val="RecNoBR"/>
    <w:next w:val="Restitle"/>
    <w:rsid w:val="009F725C"/>
  </w:style>
  <w:style w:type="paragraph" w:customStyle="1" w:styleId="TableNotitle0">
    <w:name w:val="Table_No &amp; title"/>
    <w:basedOn w:val="Normal"/>
    <w:next w:val="Tablehead"/>
    <w:rsid w:val="009F725C"/>
    <w:pPr>
      <w:keepNext/>
      <w:keepLines/>
      <w:spacing w:before="360" w:after="120" w:line="240" w:lineRule="auto"/>
      <w:jc w:val="center"/>
    </w:pPr>
    <w:rPr>
      <w:rFonts w:ascii="Times New Roman" w:hAnsi="Times New Roman" w:cs="Times New Roman"/>
      <w:b/>
      <w:szCs w:val="20"/>
      <w:lang w:val="en-GB"/>
    </w:rPr>
  </w:style>
  <w:style w:type="paragraph" w:customStyle="1" w:styleId="TableNoBR">
    <w:name w:val="Table_No_BR"/>
    <w:basedOn w:val="Normal"/>
    <w:next w:val="TabletitleBR"/>
    <w:rsid w:val="009F725C"/>
    <w:pPr>
      <w:keepNext/>
      <w:spacing w:before="560" w:after="120" w:line="240" w:lineRule="auto"/>
      <w:jc w:val="center"/>
    </w:pPr>
    <w:rPr>
      <w:rFonts w:ascii="Times New Roman" w:hAnsi="Times New Roman" w:cs="Times New Roman"/>
      <w:caps/>
      <w:szCs w:val="20"/>
      <w:lang w:val="en-GB"/>
    </w:rPr>
  </w:style>
  <w:style w:type="character" w:customStyle="1" w:styleId="Recdef">
    <w:name w:val="Rec_def"/>
    <w:basedOn w:val="DefaultParagraphFont"/>
    <w:rsid w:val="009F725C"/>
    <w:rPr>
      <w:b/>
    </w:rPr>
  </w:style>
  <w:style w:type="character" w:customStyle="1" w:styleId="Resdef">
    <w:name w:val="Res_def"/>
    <w:basedOn w:val="DefaultParagraphFont"/>
    <w:rsid w:val="009F725C"/>
    <w:rPr>
      <w:rFonts w:ascii="Times New Roman" w:hAnsi="Times New Roman"/>
      <w:b/>
    </w:rPr>
  </w:style>
  <w:style w:type="character" w:customStyle="1" w:styleId="Tablefreq">
    <w:name w:val="Table_freq"/>
    <w:basedOn w:val="DefaultParagraphFont"/>
    <w:rsid w:val="009F725C"/>
    <w:rPr>
      <w:b/>
      <w:color w:val="auto"/>
    </w:rPr>
  </w:style>
  <w:style w:type="paragraph" w:customStyle="1" w:styleId="Tableref">
    <w:name w:val="Table_ref"/>
    <w:basedOn w:val="Normal"/>
    <w:next w:val="TabletitleBR"/>
    <w:rsid w:val="009F725C"/>
    <w:pPr>
      <w:keepNext/>
      <w:spacing w:before="0" w:after="120" w:line="240" w:lineRule="auto"/>
      <w:jc w:val="center"/>
    </w:pPr>
    <w:rPr>
      <w:rFonts w:ascii="Times New Roman" w:hAnsi="Times New Roman" w:cs="Times New Roman"/>
      <w:szCs w:val="20"/>
      <w:lang w:val="en-GB"/>
    </w:rPr>
  </w:style>
  <w:style w:type="paragraph" w:customStyle="1" w:styleId="FiguretitleBR">
    <w:name w:val="Figure_title_BR"/>
    <w:basedOn w:val="TabletitleBR"/>
    <w:next w:val="Figurewithouttitle"/>
    <w:rsid w:val="009F725C"/>
    <w:pPr>
      <w:keepNext w:val="0"/>
      <w:spacing w:after="480"/>
    </w:pPr>
  </w:style>
  <w:style w:type="paragraph" w:customStyle="1" w:styleId="FigureNoBR">
    <w:name w:val="Figure_No_BR"/>
    <w:basedOn w:val="Normal"/>
    <w:next w:val="FiguretitleBR"/>
    <w:rsid w:val="009F725C"/>
    <w:pPr>
      <w:keepNext/>
      <w:keepLines/>
      <w:spacing w:before="480" w:after="120" w:line="240" w:lineRule="auto"/>
      <w:jc w:val="center"/>
    </w:pPr>
    <w:rPr>
      <w:rFonts w:ascii="Times New Roman" w:hAnsi="Times New Roman" w:cs="Times New Roman"/>
      <w:caps/>
      <w:szCs w:val="20"/>
      <w:lang w:val="en-GB"/>
    </w:rPr>
  </w:style>
  <w:style w:type="character" w:customStyle="1" w:styleId="FooterChar">
    <w:name w:val="Footer Char"/>
    <w:aliases w:val="pie de página Char"/>
    <w:basedOn w:val="DefaultParagraphFont"/>
    <w:link w:val="Footer"/>
    <w:uiPriority w:val="99"/>
    <w:locked/>
    <w:rsid w:val="009F725C"/>
    <w:rPr>
      <w:sz w:val="24"/>
      <w:szCs w:val="22"/>
      <w:lang w:val="en-US" w:eastAsia="en-US"/>
    </w:rPr>
  </w:style>
  <w:style w:type="character" w:customStyle="1" w:styleId="TabletextChar">
    <w:name w:val="Table_text Char"/>
    <w:basedOn w:val="DefaultParagraphFont"/>
    <w:link w:val="Tabletext"/>
    <w:locked/>
    <w:rsid w:val="009F725C"/>
    <w:rPr>
      <w:szCs w:val="22"/>
      <w:lang w:val="en-US" w:eastAsia="en-US"/>
    </w:rPr>
  </w:style>
  <w:style w:type="paragraph" w:customStyle="1" w:styleId="tabletext0">
    <w:name w:val="tabletext0"/>
    <w:basedOn w:val="Normal"/>
    <w:uiPriority w:val="99"/>
    <w:rsid w:val="009F725C"/>
    <w:pPr>
      <w:tabs>
        <w:tab w:val="clear" w:pos="794"/>
        <w:tab w:val="clear" w:pos="1191"/>
        <w:tab w:val="clear" w:pos="1588"/>
        <w:tab w:val="clear" w:pos="1985"/>
      </w:tabs>
      <w:adjustRightInd/>
      <w:spacing w:before="40" w:after="40" w:line="240" w:lineRule="auto"/>
      <w:jc w:val="left"/>
      <w:textAlignment w:val="auto"/>
    </w:pPr>
    <w:rPr>
      <w:rFonts w:ascii="Times New Roman" w:eastAsia="SimSun" w:hAnsi="Times New Roman" w:cs="Times New Roman"/>
      <w:sz w:val="22"/>
      <w:lang w:val="en-GB" w:eastAsia="zh-CN"/>
    </w:rPr>
  </w:style>
  <w:style w:type="character" w:customStyle="1" w:styleId="Heading5Char">
    <w:name w:val="Heading 5 Char"/>
    <w:basedOn w:val="DefaultParagraphFont"/>
    <w:link w:val="Heading5"/>
    <w:uiPriority w:val="99"/>
    <w:locked/>
    <w:rsid w:val="009F725C"/>
    <w:rPr>
      <w:b/>
      <w:sz w:val="24"/>
      <w:szCs w:val="22"/>
      <w:lang w:val="en-US" w:eastAsia="en-US"/>
    </w:rPr>
  </w:style>
  <w:style w:type="paragraph" w:styleId="ListParagraph">
    <w:name w:val="List Paragraph"/>
    <w:basedOn w:val="Normal"/>
    <w:uiPriority w:val="34"/>
    <w:qFormat/>
    <w:rsid w:val="009F725C"/>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Theme="minorHAnsi" w:eastAsiaTheme="minorEastAsia" w:hAnsiTheme="minorHAnsi" w:cstheme="minorBidi"/>
      <w:sz w:val="22"/>
      <w:lang w:eastAsia="zh-CN"/>
    </w:rPr>
  </w:style>
  <w:style w:type="character" w:customStyle="1" w:styleId="apple-style-span">
    <w:name w:val="apple-style-span"/>
    <w:basedOn w:val="DefaultParagraphFont"/>
    <w:rsid w:val="009F725C"/>
  </w:style>
  <w:style w:type="paragraph" w:customStyle="1" w:styleId="tabletext1">
    <w:name w:val="tabletext"/>
    <w:basedOn w:val="Normal"/>
    <w:rsid w:val="009F725C"/>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Theme="minorEastAsia" w:hAnsi="Times New Roman" w:cs="Times New Roman"/>
      <w:szCs w:val="24"/>
      <w:lang w:eastAsia="zh-CN"/>
    </w:rPr>
  </w:style>
  <w:style w:type="character" w:customStyle="1" w:styleId="FootnoteTextChar">
    <w:name w:val="Footnote Text Char"/>
    <w:basedOn w:val="DefaultParagraphFont"/>
    <w:link w:val="FootnoteText"/>
    <w:rsid w:val="009F725C"/>
    <w:rPr>
      <w:szCs w:val="22"/>
      <w:lang w:val="en-US" w:eastAsia="en-US"/>
    </w:rPr>
  </w:style>
  <w:style w:type="paragraph" w:customStyle="1" w:styleId="Tabletitle">
    <w:name w:val="Table_title"/>
    <w:basedOn w:val="Normal"/>
    <w:next w:val="Tablehead"/>
    <w:rsid w:val="009F725C"/>
    <w:pPr>
      <w:keepNext/>
      <w:spacing w:before="0" w:after="120" w:line="240" w:lineRule="auto"/>
      <w:jc w:val="center"/>
    </w:pPr>
    <w:rPr>
      <w:rFonts w:ascii="Times New Roman" w:hAnsi="Times New Roman" w:cs="Times New Roman"/>
      <w:b/>
      <w:szCs w:val="20"/>
      <w:lang w:val="fr-FR"/>
    </w:rPr>
  </w:style>
  <w:style w:type="paragraph" w:customStyle="1" w:styleId="ecxmsonormal">
    <w:name w:val="ecxmsonormal"/>
    <w:basedOn w:val="Normal"/>
    <w:rsid w:val="009F725C"/>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hAnsi="Times New Roman" w:cs="Times New Roman"/>
      <w:szCs w:val="24"/>
      <w:lang w:eastAsia="zh-CN"/>
    </w:rPr>
  </w:style>
  <w:style w:type="paragraph" w:customStyle="1" w:styleId="Proposal">
    <w:name w:val="Proposal"/>
    <w:basedOn w:val="Normal"/>
    <w:next w:val="Normal"/>
    <w:rsid w:val="009F725C"/>
    <w:pPr>
      <w:keepNext/>
      <w:tabs>
        <w:tab w:val="clear" w:pos="794"/>
        <w:tab w:val="clear" w:pos="1191"/>
        <w:tab w:val="clear" w:pos="1588"/>
        <w:tab w:val="clear" w:pos="1985"/>
        <w:tab w:val="left" w:pos="1134"/>
        <w:tab w:val="left" w:pos="1871"/>
        <w:tab w:val="left" w:pos="2268"/>
      </w:tabs>
      <w:spacing w:before="240" w:line="240" w:lineRule="auto"/>
      <w:jc w:val="left"/>
    </w:pPr>
    <w:rPr>
      <w:rFonts w:ascii="Times New Roman" w:hAnsi="Times New Roman Bold" w:cs="Times New Roman"/>
      <w:szCs w:val="20"/>
      <w:lang w:val="en-GB"/>
    </w:rPr>
  </w:style>
  <w:style w:type="character" w:customStyle="1" w:styleId="href2">
    <w:name w:val="href2"/>
    <w:basedOn w:val="href"/>
    <w:rsid w:val="009F725C"/>
    <w:rPr>
      <w:rFonts w:cs="Times New Roman"/>
    </w:rPr>
  </w:style>
  <w:style w:type="paragraph" w:customStyle="1" w:styleId="AnnexNo">
    <w:name w:val="Annex_No"/>
    <w:basedOn w:val="Normal"/>
    <w:next w:val="Normal"/>
    <w:rsid w:val="009F725C"/>
    <w:pPr>
      <w:keepNext/>
      <w:keepLines/>
      <w:tabs>
        <w:tab w:val="clear" w:pos="794"/>
        <w:tab w:val="clear" w:pos="1191"/>
        <w:tab w:val="clear" w:pos="1588"/>
        <w:tab w:val="clear" w:pos="1985"/>
        <w:tab w:val="left" w:pos="1134"/>
        <w:tab w:val="left" w:pos="1871"/>
        <w:tab w:val="left" w:pos="2268"/>
      </w:tabs>
      <w:spacing w:before="480" w:after="80" w:line="240" w:lineRule="auto"/>
      <w:jc w:val="center"/>
    </w:pPr>
    <w:rPr>
      <w:rFonts w:ascii="Times New Roman" w:hAnsi="Times New Roman" w:cs="Times New Roman"/>
      <w:caps/>
      <w:sz w:val="28"/>
      <w:szCs w:val="20"/>
      <w:lang w:val="en-GB"/>
    </w:rPr>
  </w:style>
  <w:style w:type="paragraph" w:customStyle="1" w:styleId="Reasons">
    <w:name w:val="Reasons"/>
    <w:basedOn w:val="Normal"/>
    <w:rsid w:val="009F725C"/>
    <w:pPr>
      <w:tabs>
        <w:tab w:val="clear" w:pos="794"/>
        <w:tab w:val="clear" w:pos="1191"/>
        <w:tab w:val="left" w:pos="1134"/>
      </w:tabs>
      <w:spacing w:before="120" w:line="240" w:lineRule="auto"/>
      <w:jc w:val="left"/>
    </w:pPr>
    <w:rPr>
      <w:rFonts w:ascii="Times New Roman" w:hAnsi="Times New Roman" w:cs="Times New Roman"/>
      <w:szCs w:val="20"/>
      <w:lang w:val="en-GB"/>
    </w:rPr>
  </w:style>
  <w:style w:type="paragraph" w:customStyle="1" w:styleId="Headingi0">
    <w:name w:val="Heading i"/>
    <w:basedOn w:val="Headingb0"/>
    <w:rsid w:val="009F725C"/>
    <w:rPr>
      <w:b w:val="0"/>
      <w:i/>
    </w:rPr>
  </w:style>
  <w:style w:type="paragraph" w:customStyle="1" w:styleId="Headingb0">
    <w:name w:val="Heading b"/>
    <w:basedOn w:val="Heading3"/>
    <w:rsid w:val="009F725C"/>
    <w:pPr>
      <w:tabs>
        <w:tab w:val="clear" w:pos="794"/>
        <w:tab w:val="clear" w:pos="1191"/>
        <w:tab w:val="clear" w:pos="1588"/>
        <w:tab w:val="clear" w:pos="1985"/>
        <w:tab w:val="left" w:pos="1134"/>
        <w:tab w:val="left" w:pos="1871"/>
      </w:tabs>
      <w:spacing w:before="400" w:line="240" w:lineRule="auto"/>
      <w:ind w:left="0" w:firstLine="0"/>
      <w:outlineLvl w:val="9"/>
    </w:pPr>
    <w:rPr>
      <w:rFonts w:ascii="Times New Roman" w:hAnsi="Times New Roman" w:cs="Times New Roman"/>
      <w:szCs w:val="20"/>
      <w:lang w:val="en-GB"/>
    </w:rPr>
  </w:style>
  <w:style w:type="paragraph" w:customStyle="1" w:styleId="Default">
    <w:name w:val="Default"/>
    <w:rsid w:val="009F725C"/>
    <w:pPr>
      <w:autoSpaceDE w:val="0"/>
      <w:autoSpaceDN w:val="0"/>
      <w:adjustRightInd w:val="0"/>
    </w:pPr>
    <w:rPr>
      <w:rFonts w:ascii="Arial" w:hAnsi="Arial" w:cs="Arial"/>
      <w:color w:val="000000"/>
      <w:sz w:val="24"/>
      <w:szCs w:val="24"/>
      <w:lang w:val="en-US"/>
    </w:rPr>
  </w:style>
  <w:style w:type="character" w:styleId="FollowedHyperlink">
    <w:name w:val="FollowedHyperlink"/>
    <w:basedOn w:val="DefaultParagraphFont"/>
    <w:rsid w:val="009F725C"/>
    <w:rPr>
      <w:color w:val="800080" w:themeColor="followedHyperlink"/>
      <w:u w:val="single"/>
    </w:rPr>
  </w:style>
  <w:style w:type="paragraph" w:styleId="NormalWeb">
    <w:name w:val="Normal (Web)"/>
    <w:basedOn w:val="Normal"/>
    <w:uiPriority w:val="99"/>
    <w:unhideWhenUsed/>
    <w:rsid w:val="009F725C"/>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hAnsi="Times New Roman" w:cs="Times New Roman"/>
      <w:szCs w:val="24"/>
    </w:rPr>
  </w:style>
  <w:style w:type="character" w:customStyle="1" w:styleId="Heading1Char">
    <w:name w:val="Heading 1 Char"/>
    <w:link w:val="Heading1"/>
    <w:rsid w:val="009F725C"/>
    <w:rPr>
      <w:b/>
      <w:sz w:val="24"/>
      <w:szCs w:val="22"/>
      <w:lang w:val="en-US" w:eastAsia="en-US"/>
    </w:rPr>
  </w:style>
  <w:style w:type="character" w:customStyle="1" w:styleId="Heading2Char">
    <w:name w:val="Heading 2 Char"/>
    <w:link w:val="Heading2"/>
    <w:rsid w:val="009F725C"/>
    <w:rPr>
      <w:b/>
      <w:sz w:val="24"/>
      <w:szCs w:val="22"/>
      <w:lang w:val="en-US" w:eastAsia="en-US"/>
    </w:rPr>
  </w:style>
  <w:style w:type="character" w:customStyle="1" w:styleId="Heading3Char">
    <w:name w:val="Heading 3 Char"/>
    <w:link w:val="Heading3"/>
    <w:rsid w:val="009F725C"/>
    <w:rPr>
      <w:b/>
      <w:sz w:val="24"/>
      <w:szCs w:val="22"/>
      <w:lang w:val="en-US" w:eastAsia="en-US"/>
    </w:rPr>
  </w:style>
  <w:style w:type="character" w:customStyle="1" w:styleId="Heading4Char">
    <w:name w:val="Heading 4 Char"/>
    <w:link w:val="Heading4"/>
    <w:rsid w:val="009F725C"/>
    <w:rPr>
      <w:b/>
      <w:sz w:val="24"/>
      <w:szCs w:val="22"/>
      <w:lang w:val="en-US" w:eastAsia="en-US"/>
    </w:rPr>
  </w:style>
  <w:style w:type="character" w:customStyle="1" w:styleId="Heading6Char">
    <w:name w:val="Heading 6 Char"/>
    <w:link w:val="Heading6"/>
    <w:rsid w:val="009F725C"/>
    <w:rPr>
      <w:b/>
      <w:sz w:val="24"/>
      <w:szCs w:val="22"/>
      <w:lang w:val="en-US" w:eastAsia="en-US"/>
    </w:rPr>
  </w:style>
  <w:style w:type="character" w:customStyle="1" w:styleId="Heading7Char">
    <w:name w:val="Heading 7 Char"/>
    <w:link w:val="Heading7"/>
    <w:rsid w:val="009F725C"/>
    <w:rPr>
      <w:b/>
      <w:sz w:val="24"/>
      <w:szCs w:val="22"/>
      <w:lang w:val="en-US" w:eastAsia="en-US"/>
    </w:rPr>
  </w:style>
  <w:style w:type="character" w:customStyle="1" w:styleId="Heading8Char">
    <w:name w:val="Heading 8 Char"/>
    <w:link w:val="Heading8"/>
    <w:rsid w:val="009F725C"/>
    <w:rPr>
      <w:b/>
      <w:sz w:val="24"/>
      <w:szCs w:val="22"/>
      <w:lang w:val="en-US" w:eastAsia="en-US"/>
    </w:rPr>
  </w:style>
  <w:style w:type="character" w:customStyle="1" w:styleId="Heading9Char">
    <w:name w:val="Heading 9 Char"/>
    <w:link w:val="Heading9"/>
    <w:rsid w:val="009F725C"/>
    <w:rPr>
      <w:b/>
      <w:sz w:val="24"/>
      <w:szCs w:val="22"/>
      <w:lang w:val="en-US" w:eastAsia="en-US"/>
    </w:rPr>
  </w:style>
  <w:style w:type="paragraph" w:customStyle="1" w:styleId="Infodoc">
    <w:name w:val="Infodoc"/>
    <w:basedOn w:val="Normal"/>
    <w:rsid w:val="009F725C"/>
    <w:pPr>
      <w:tabs>
        <w:tab w:val="clear" w:pos="794"/>
        <w:tab w:val="clear" w:pos="1191"/>
        <w:tab w:val="clear" w:pos="1588"/>
        <w:tab w:val="clear" w:pos="1985"/>
        <w:tab w:val="left" w:pos="1418"/>
      </w:tabs>
      <w:spacing w:before="0" w:line="240" w:lineRule="auto"/>
      <w:ind w:left="1418" w:hanging="1418"/>
      <w:jc w:val="left"/>
    </w:pPr>
    <w:rPr>
      <w:rFonts w:ascii="Times New Roman" w:hAnsi="Times New Roman" w:cs="Times New Roman"/>
      <w:szCs w:val="20"/>
      <w:lang w:val="en-GB"/>
    </w:rPr>
  </w:style>
  <w:style w:type="paragraph" w:customStyle="1" w:styleId="Address">
    <w:name w:val="Address"/>
    <w:basedOn w:val="Normal"/>
    <w:rsid w:val="009F725C"/>
    <w:pPr>
      <w:tabs>
        <w:tab w:val="clear" w:pos="794"/>
        <w:tab w:val="clear" w:pos="1191"/>
        <w:tab w:val="clear" w:pos="1588"/>
        <w:tab w:val="clear" w:pos="1985"/>
        <w:tab w:val="left" w:pos="4820"/>
        <w:tab w:val="left" w:pos="5529"/>
      </w:tabs>
      <w:spacing w:before="120" w:line="240" w:lineRule="auto"/>
      <w:ind w:left="794"/>
      <w:jc w:val="left"/>
    </w:pPr>
    <w:rPr>
      <w:rFonts w:ascii="Times New Roman" w:hAnsi="Times New Roman" w:cs="Times New Roman"/>
      <w:szCs w:val="20"/>
      <w:lang w:val="en-GB"/>
    </w:rPr>
  </w:style>
  <w:style w:type="paragraph" w:customStyle="1" w:styleId="itu">
    <w:name w:val="itu"/>
    <w:basedOn w:val="Normal"/>
    <w:rsid w:val="009F725C"/>
    <w:pPr>
      <w:tabs>
        <w:tab w:val="clear" w:pos="794"/>
        <w:tab w:val="clear" w:pos="1191"/>
        <w:tab w:val="clear" w:pos="1588"/>
        <w:tab w:val="clear" w:pos="1985"/>
        <w:tab w:val="left" w:pos="709"/>
        <w:tab w:val="left" w:pos="1134"/>
      </w:tabs>
      <w:spacing w:before="0" w:line="240" w:lineRule="auto"/>
      <w:jc w:val="left"/>
    </w:pPr>
    <w:rPr>
      <w:rFonts w:ascii="Futura Lt BT" w:hAnsi="Futura Lt BT" w:cs="Times New Roman"/>
      <w:sz w:val="18"/>
      <w:szCs w:val="20"/>
      <w:lang w:val="en-GB"/>
    </w:rPr>
  </w:style>
  <w:style w:type="paragraph" w:customStyle="1" w:styleId="Annexref">
    <w:name w:val="Annex_ref"/>
    <w:basedOn w:val="Normal"/>
    <w:next w:val="Annextitle"/>
    <w:rsid w:val="009F725C"/>
    <w:pPr>
      <w:keepNext/>
      <w:keepLines/>
      <w:tabs>
        <w:tab w:val="clear" w:pos="794"/>
        <w:tab w:val="clear" w:pos="1191"/>
        <w:tab w:val="clear" w:pos="1588"/>
        <w:tab w:val="clear" w:pos="1985"/>
        <w:tab w:val="left" w:pos="1134"/>
        <w:tab w:val="left" w:pos="1871"/>
        <w:tab w:val="left" w:pos="2268"/>
      </w:tabs>
      <w:spacing w:before="120" w:after="280" w:line="240" w:lineRule="auto"/>
      <w:jc w:val="center"/>
    </w:pPr>
    <w:rPr>
      <w:rFonts w:ascii="Times New Roman" w:hAnsi="Times New Roman" w:cs="Times New Roman"/>
      <w:szCs w:val="20"/>
      <w:lang w:val="en-GB"/>
    </w:rPr>
  </w:style>
  <w:style w:type="paragraph" w:customStyle="1" w:styleId="Annextitle">
    <w:name w:val="Annex_title"/>
    <w:basedOn w:val="Normal"/>
    <w:next w:val="Normalaftertitle0"/>
    <w:rsid w:val="009F725C"/>
    <w:pPr>
      <w:keepNext/>
      <w:keepLines/>
      <w:tabs>
        <w:tab w:val="clear" w:pos="794"/>
        <w:tab w:val="clear" w:pos="1191"/>
        <w:tab w:val="clear" w:pos="1588"/>
        <w:tab w:val="clear" w:pos="1985"/>
        <w:tab w:val="left" w:pos="1134"/>
        <w:tab w:val="left" w:pos="1871"/>
        <w:tab w:val="left" w:pos="2268"/>
      </w:tabs>
      <w:spacing w:before="240" w:after="280" w:line="240" w:lineRule="auto"/>
      <w:jc w:val="center"/>
    </w:pPr>
    <w:rPr>
      <w:rFonts w:ascii="Times New Roman Bold" w:hAnsi="Times New Roman Bold" w:cs="Times New Roman"/>
      <w:b/>
      <w:sz w:val="28"/>
      <w:szCs w:val="20"/>
      <w:lang w:val="en-GB"/>
    </w:rPr>
  </w:style>
  <w:style w:type="paragraph" w:customStyle="1" w:styleId="Normalaftertitle0">
    <w:name w:val="Normal after title"/>
    <w:basedOn w:val="Normal"/>
    <w:next w:val="Normal"/>
    <w:rsid w:val="009F725C"/>
    <w:pPr>
      <w:tabs>
        <w:tab w:val="clear" w:pos="794"/>
        <w:tab w:val="clear" w:pos="1191"/>
        <w:tab w:val="clear" w:pos="1588"/>
        <w:tab w:val="clear" w:pos="1985"/>
        <w:tab w:val="left" w:pos="1134"/>
        <w:tab w:val="left" w:pos="1871"/>
        <w:tab w:val="left" w:pos="2268"/>
      </w:tabs>
      <w:spacing w:before="280" w:line="240" w:lineRule="auto"/>
      <w:jc w:val="left"/>
    </w:pPr>
    <w:rPr>
      <w:rFonts w:ascii="Times New Roman" w:hAnsi="Times New Roman" w:cs="Times New Roman"/>
      <w:szCs w:val="20"/>
      <w:lang w:val="en-GB"/>
    </w:rPr>
  </w:style>
  <w:style w:type="paragraph" w:customStyle="1" w:styleId="AppendixNo">
    <w:name w:val="Appendix_No"/>
    <w:basedOn w:val="AnnexNo"/>
    <w:next w:val="Annexref"/>
    <w:rsid w:val="009F725C"/>
  </w:style>
  <w:style w:type="paragraph" w:customStyle="1" w:styleId="Appendixref">
    <w:name w:val="Appendix_ref"/>
    <w:basedOn w:val="Annexref"/>
    <w:next w:val="Annextitle"/>
    <w:rsid w:val="009F725C"/>
  </w:style>
  <w:style w:type="paragraph" w:customStyle="1" w:styleId="Appendixtitle">
    <w:name w:val="Appendix_title"/>
    <w:basedOn w:val="Annextitle"/>
    <w:next w:val="Normalaftertitle0"/>
    <w:rsid w:val="009F725C"/>
  </w:style>
  <w:style w:type="paragraph" w:customStyle="1" w:styleId="Border">
    <w:name w:val="Border"/>
    <w:basedOn w:val="Tabletext"/>
    <w:rsid w:val="009F725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ascii="Times New Roman" w:hAnsi="Times New Roman" w:cs="Times New Roman"/>
      <w:b/>
      <w:noProof/>
      <w:szCs w:val="20"/>
      <w:lang w:val="en-GB"/>
    </w:rPr>
  </w:style>
  <w:style w:type="paragraph" w:customStyle="1" w:styleId="TableTextS5">
    <w:name w:val="Table_TextS5"/>
    <w:basedOn w:val="Normal"/>
    <w:rsid w:val="009F725C"/>
    <w:pPr>
      <w:tabs>
        <w:tab w:val="clear" w:pos="794"/>
        <w:tab w:val="clear" w:pos="1191"/>
        <w:tab w:val="clear" w:pos="1588"/>
        <w:tab w:val="clear" w:pos="1985"/>
        <w:tab w:val="left" w:pos="170"/>
        <w:tab w:val="left" w:pos="567"/>
        <w:tab w:val="left" w:pos="737"/>
        <w:tab w:val="left" w:pos="2977"/>
        <w:tab w:val="left" w:pos="3266"/>
      </w:tabs>
      <w:spacing w:before="40" w:after="40" w:line="240" w:lineRule="auto"/>
      <w:jc w:val="left"/>
    </w:pPr>
    <w:rPr>
      <w:rFonts w:ascii="Times New Roman" w:hAnsi="Times New Roman" w:cs="Times New Roman"/>
      <w:sz w:val="20"/>
      <w:szCs w:val="20"/>
      <w:lang w:val="en-GB"/>
    </w:rPr>
  </w:style>
  <w:style w:type="paragraph" w:styleId="NormalIndent0">
    <w:name w:val="Normal Indent"/>
    <w:basedOn w:val="Normal"/>
    <w:rsid w:val="009F725C"/>
    <w:pPr>
      <w:tabs>
        <w:tab w:val="clear" w:pos="794"/>
        <w:tab w:val="clear" w:pos="1191"/>
        <w:tab w:val="clear" w:pos="1588"/>
        <w:tab w:val="clear" w:pos="1985"/>
        <w:tab w:val="left" w:pos="1134"/>
        <w:tab w:val="left" w:pos="1871"/>
        <w:tab w:val="left" w:pos="2268"/>
      </w:tabs>
      <w:spacing w:before="120" w:line="240" w:lineRule="auto"/>
      <w:ind w:left="1134"/>
      <w:jc w:val="left"/>
    </w:pPr>
    <w:rPr>
      <w:rFonts w:ascii="Times New Roman" w:hAnsi="Times New Roman" w:cs="Times New Roman"/>
      <w:szCs w:val="20"/>
      <w:lang w:val="en-GB"/>
    </w:rPr>
  </w:style>
  <w:style w:type="paragraph" w:customStyle="1" w:styleId="FigureNo">
    <w:name w:val="Figure_No"/>
    <w:basedOn w:val="Normal"/>
    <w:next w:val="Figuretitle"/>
    <w:rsid w:val="009F725C"/>
    <w:pPr>
      <w:keepNext/>
      <w:keepLines/>
      <w:tabs>
        <w:tab w:val="clear" w:pos="794"/>
        <w:tab w:val="clear" w:pos="1191"/>
        <w:tab w:val="clear" w:pos="1588"/>
        <w:tab w:val="clear" w:pos="1985"/>
        <w:tab w:val="left" w:pos="1134"/>
        <w:tab w:val="left" w:pos="1871"/>
        <w:tab w:val="left" w:pos="2268"/>
      </w:tabs>
      <w:spacing w:before="480" w:after="120" w:line="240" w:lineRule="auto"/>
      <w:jc w:val="center"/>
    </w:pPr>
    <w:rPr>
      <w:rFonts w:ascii="Times New Roman" w:hAnsi="Times New Roman" w:cs="Times New Roman"/>
      <w:caps/>
      <w:sz w:val="20"/>
      <w:szCs w:val="20"/>
      <w:lang w:val="en-GB"/>
    </w:rPr>
  </w:style>
  <w:style w:type="paragraph" w:customStyle="1" w:styleId="Figuretitle">
    <w:name w:val="Figure_title"/>
    <w:basedOn w:val="Tabletitle"/>
    <w:next w:val="Normal"/>
    <w:rsid w:val="009F725C"/>
    <w:pPr>
      <w:keepLines/>
      <w:tabs>
        <w:tab w:val="clear" w:pos="794"/>
        <w:tab w:val="clear" w:pos="1191"/>
        <w:tab w:val="clear" w:pos="1588"/>
        <w:tab w:val="clear" w:pos="1985"/>
        <w:tab w:val="left" w:pos="1134"/>
        <w:tab w:val="left" w:pos="1871"/>
        <w:tab w:val="left" w:pos="2268"/>
      </w:tabs>
      <w:spacing w:after="480"/>
    </w:pPr>
    <w:rPr>
      <w:rFonts w:ascii="Times New Roman Bold" w:hAnsi="Times New Roman Bold"/>
      <w:sz w:val="20"/>
      <w:lang w:val="en-GB"/>
    </w:rPr>
  </w:style>
  <w:style w:type="character" w:styleId="LineNumber">
    <w:name w:val="line number"/>
    <w:basedOn w:val="DefaultParagraphFont"/>
    <w:rsid w:val="009F725C"/>
  </w:style>
  <w:style w:type="paragraph" w:customStyle="1" w:styleId="TableNo">
    <w:name w:val="Table_No"/>
    <w:basedOn w:val="Normal"/>
    <w:next w:val="Tabletitle"/>
    <w:rsid w:val="009F725C"/>
    <w:pPr>
      <w:keepNext/>
      <w:tabs>
        <w:tab w:val="clear" w:pos="794"/>
        <w:tab w:val="clear" w:pos="1191"/>
        <w:tab w:val="clear" w:pos="1588"/>
        <w:tab w:val="clear" w:pos="1985"/>
        <w:tab w:val="left" w:pos="1134"/>
        <w:tab w:val="left" w:pos="1871"/>
        <w:tab w:val="left" w:pos="2268"/>
      </w:tabs>
      <w:spacing w:before="560" w:after="120" w:line="240" w:lineRule="auto"/>
      <w:jc w:val="center"/>
    </w:pPr>
    <w:rPr>
      <w:rFonts w:ascii="Times New Roman" w:hAnsi="Times New Roman" w:cs="Times New Roman"/>
      <w:caps/>
      <w:sz w:val="20"/>
      <w:szCs w:val="20"/>
      <w:lang w:val="en-GB"/>
    </w:rPr>
  </w:style>
  <w:style w:type="paragraph" w:customStyle="1" w:styleId="Section3">
    <w:name w:val="Section_3"/>
    <w:basedOn w:val="Section1"/>
    <w:rsid w:val="009F725C"/>
    <w:pPr>
      <w:tabs>
        <w:tab w:val="center" w:pos="4820"/>
      </w:tabs>
      <w:spacing w:before="360" w:line="240" w:lineRule="auto"/>
    </w:pPr>
    <w:rPr>
      <w:rFonts w:ascii="Times New Roman" w:hAnsi="Times New Roman" w:cs="Times New Roman"/>
      <w:b w:val="0"/>
      <w:szCs w:val="20"/>
      <w:lang w:val="en-GB"/>
    </w:rPr>
  </w:style>
  <w:style w:type="paragraph" w:customStyle="1" w:styleId="Annex">
    <w:name w:val="Annex_#"/>
    <w:basedOn w:val="Normal"/>
    <w:next w:val="AnnexRef0"/>
    <w:rsid w:val="009F725C"/>
    <w:pPr>
      <w:keepNext/>
      <w:keepLines/>
      <w:spacing w:before="480" w:after="80" w:line="240" w:lineRule="auto"/>
      <w:jc w:val="center"/>
    </w:pPr>
    <w:rPr>
      <w:rFonts w:ascii="Times New Roman" w:hAnsi="Times New Roman" w:cs="Times New Roman"/>
      <w:caps/>
      <w:szCs w:val="20"/>
      <w:lang w:val="en-GB"/>
    </w:rPr>
  </w:style>
  <w:style w:type="paragraph" w:customStyle="1" w:styleId="AnnexRef0">
    <w:name w:val="Annex_Ref"/>
    <w:basedOn w:val="Normal"/>
    <w:next w:val="AnnexTitle0"/>
    <w:rsid w:val="009F725C"/>
    <w:pPr>
      <w:keepNext/>
      <w:keepLines/>
      <w:spacing w:before="120" w:line="240" w:lineRule="auto"/>
      <w:jc w:val="center"/>
    </w:pPr>
    <w:rPr>
      <w:rFonts w:ascii="Times New Roman" w:hAnsi="Times New Roman" w:cs="Times New Roman"/>
      <w:szCs w:val="20"/>
      <w:lang w:val="en-GB"/>
    </w:rPr>
  </w:style>
  <w:style w:type="paragraph" w:customStyle="1" w:styleId="AnnexTitle0">
    <w:name w:val="Annex_Title"/>
    <w:basedOn w:val="Normal"/>
    <w:next w:val="Normalaftertitle0"/>
    <w:rsid w:val="009F725C"/>
    <w:pPr>
      <w:keepNext/>
      <w:keepLines/>
      <w:spacing w:before="240" w:after="280" w:line="240" w:lineRule="auto"/>
      <w:jc w:val="center"/>
    </w:pPr>
    <w:rPr>
      <w:rFonts w:ascii="Times New Roman" w:hAnsi="Times New Roman" w:cs="Times New Roman"/>
      <w:b/>
      <w:szCs w:val="20"/>
      <w:lang w:val="en-GB"/>
    </w:rPr>
  </w:style>
  <w:style w:type="character" w:customStyle="1" w:styleId="Artref0">
    <w:name w:val="Art#_ref"/>
    <w:rsid w:val="009F725C"/>
    <w:rPr>
      <w:rFonts w:cs="Times New Roman"/>
      <w:sz w:val="20"/>
    </w:rPr>
  </w:style>
  <w:style w:type="character" w:customStyle="1" w:styleId="Appref0">
    <w:name w:val="App#_ref"/>
    <w:rsid w:val="009F725C"/>
    <w:rPr>
      <w:rFonts w:cs="Times New Roman"/>
    </w:rPr>
  </w:style>
  <w:style w:type="paragraph" w:customStyle="1" w:styleId="headingi1">
    <w:name w:val="heading_i"/>
    <w:basedOn w:val="Heading3"/>
    <w:next w:val="Normal"/>
    <w:rsid w:val="009F725C"/>
    <w:pPr>
      <w:tabs>
        <w:tab w:val="clear" w:pos="1191"/>
        <w:tab w:val="clear" w:pos="1588"/>
        <w:tab w:val="clear" w:pos="1985"/>
        <w:tab w:val="left" w:pos="2127"/>
        <w:tab w:val="left" w:pos="2410"/>
        <w:tab w:val="left" w:pos="2921"/>
        <w:tab w:val="left" w:pos="3261"/>
      </w:tabs>
      <w:spacing w:before="160" w:line="240" w:lineRule="auto"/>
      <w:ind w:left="0" w:firstLine="0"/>
      <w:jc w:val="left"/>
      <w:outlineLvl w:val="9"/>
    </w:pPr>
    <w:rPr>
      <w:rFonts w:ascii="CG Times" w:hAnsi="CG Times" w:cs="Times New Roman"/>
      <w:b w:val="0"/>
      <w:i/>
      <w:szCs w:val="20"/>
      <w:lang w:val="en-GB"/>
    </w:rPr>
  </w:style>
  <w:style w:type="paragraph" w:customStyle="1" w:styleId="TableTitle0">
    <w:name w:val="Table_Title"/>
    <w:basedOn w:val="Table"/>
    <w:next w:val="TableText2"/>
    <w:rsid w:val="009F725C"/>
    <w:pPr>
      <w:keepLines/>
      <w:spacing w:before="0"/>
    </w:pPr>
    <w:rPr>
      <w:b/>
      <w:caps w:val="0"/>
    </w:rPr>
  </w:style>
  <w:style w:type="paragraph" w:customStyle="1" w:styleId="Table">
    <w:name w:val="Table_#"/>
    <w:basedOn w:val="Normal"/>
    <w:next w:val="TableTitle0"/>
    <w:rsid w:val="009F725C"/>
    <w:pPr>
      <w:keepNext/>
      <w:spacing w:before="560" w:after="120" w:line="240" w:lineRule="auto"/>
      <w:jc w:val="center"/>
    </w:pPr>
    <w:rPr>
      <w:rFonts w:ascii="Times New Roman" w:hAnsi="Times New Roman" w:cs="Times New Roman"/>
      <w:caps/>
      <w:szCs w:val="20"/>
      <w:lang w:val="en-GB"/>
    </w:rPr>
  </w:style>
  <w:style w:type="paragraph" w:customStyle="1" w:styleId="TableText2">
    <w:name w:val="Table_Text"/>
    <w:basedOn w:val="Normal"/>
    <w:rsid w:val="009F725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rFonts w:ascii="Times New Roman" w:hAnsi="Times New Roman" w:cs="Times New Roman"/>
      <w:sz w:val="22"/>
      <w:szCs w:val="20"/>
      <w:lang w:val="en-GB"/>
    </w:rPr>
  </w:style>
  <w:style w:type="paragraph" w:customStyle="1" w:styleId="TableHead0">
    <w:name w:val="Table_Head"/>
    <w:basedOn w:val="TableText2"/>
    <w:rsid w:val="009F725C"/>
    <w:pPr>
      <w:keepNext/>
      <w:spacing w:before="80" w:after="80"/>
      <w:jc w:val="center"/>
    </w:pPr>
    <w:rPr>
      <w:b/>
    </w:rPr>
  </w:style>
  <w:style w:type="paragraph" w:customStyle="1" w:styleId="TableFin">
    <w:name w:val="Table_Fin"/>
    <w:basedOn w:val="Normal"/>
    <w:rsid w:val="009F725C"/>
    <w:pPr>
      <w:tabs>
        <w:tab w:val="clear" w:pos="794"/>
        <w:tab w:val="clear" w:pos="1191"/>
        <w:tab w:val="clear" w:pos="1588"/>
        <w:tab w:val="clear" w:pos="1985"/>
        <w:tab w:val="left" w:pos="1871"/>
        <w:tab w:val="left" w:pos="2268"/>
      </w:tabs>
      <w:spacing w:before="0" w:line="240" w:lineRule="auto"/>
    </w:pPr>
    <w:rPr>
      <w:rFonts w:ascii="Times New Roman" w:hAnsi="Times New Roman" w:cs="Times New Roman"/>
      <w:sz w:val="12"/>
      <w:szCs w:val="20"/>
      <w:lang w:val="en-GB"/>
    </w:rPr>
  </w:style>
  <w:style w:type="paragraph" w:styleId="BodyText">
    <w:name w:val="Body Text"/>
    <w:basedOn w:val="Normal"/>
    <w:link w:val="BodyTextChar"/>
    <w:rsid w:val="009F725C"/>
    <w:pPr>
      <w:tabs>
        <w:tab w:val="clear" w:pos="794"/>
        <w:tab w:val="clear" w:pos="1191"/>
        <w:tab w:val="clear" w:pos="1588"/>
        <w:tab w:val="clear" w:pos="1985"/>
      </w:tabs>
      <w:overflowPunct/>
      <w:autoSpaceDE/>
      <w:autoSpaceDN/>
      <w:adjustRightInd/>
      <w:spacing w:before="60" w:line="240" w:lineRule="auto"/>
      <w:jc w:val="left"/>
      <w:textAlignment w:val="auto"/>
    </w:pPr>
    <w:rPr>
      <w:rFonts w:ascii="CG Times" w:hAnsi="CG Times" w:cs="Times New Roman"/>
      <w:szCs w:val="20"/>
    </w:rPr>
  </w:style>
  <w:style w:type="character" w:customStyle="1" w:styleId="BodyTextChar">
    <w:name w:val="Body Text Char"/>
    <w:basedOn w:val="DefaultParagraphFont"/>
    <w:link w:val="BodyText"/>
    <w:rsid w:val="009F725C"/>
    <w:rPr>
      <w:rFonts w:ascii="CG Times" w:hAnsi="CG Times" w:cs="Times New Roman"/>
      <w:sz w:val="24"/>
      <w:lang w:val="en-US" w:eastAsia="en-US"/>
    </w:rPr>
  </w:style>
  <w:style w:type="paragraph" w:styleId="BodyText3">
    <w:name w:val="Body Text 3"/>
    <w:basedOn w:val="Normal"/>
    <w:link w:val="BodyText3Char"/>
    <w:rsid w:val="009F725C"/>
    <w:pPr>
      <w:tabs>
        <w:tab w:val="clear" w:pos="794"/>
        <w:tab w:val="clear" w:pos="1191"/>
        <w:tab w:val="clear" w:pos="1588"/>
        <w:tab w:val="clear" w:pos="1985"/>
      </w:tabs>
      <w:spacing w:before="0" w:line="240" w:lineRule="auto"/>
    </w:pPr>
    <w:rPr>
      <w:rFonts w:ascii="Arial" w:eastAsia="Batang" w:hAnsi="Arial" w:cs="Times New Roman"/>
      <w:b/>
      <w:bCs/>
      <w:color w:val="0000FF"/>
      <w:sz w:val="22"/>
      <w:lang w:val="en-GB"/>
    </w:rPr>
  </w:style>
  <w:style w:type="character" w:customStyle="1" w:styleId="BodyText3Char">
    <w:name w:val="Body Text 3 Char"/>
    <w:basedOn w:val="DefaultParagraphFont"/>
    <w:link w:val="BodyText3"/>
    <w:rsid w:val="009F725C"/>
    <w:rPr>
      <w:rFonts w:ascii="Arial" w:eastAsia="Batang" w:hAnsi="Arial" w:cs="Times New Roman"/>
      <w:b/>
      <w:bCs/>
      <w:color w:val="0000FF"/>
      <w:sz w:val="22"/>
      <w:szCs w:val="22"/>
      <w:lang w:val="en-GB" w:eastAsia="en-US"/>
    </w:rPr>
  </w:style>
  <w:style w:type="character" w:customStyle="1" w:styleId="Artdef0">
    <w:name w:val="Art#_def"/>
    <w:rsid w:val="009F725C"/>
    <w:rPr>
      <w:rFonts w:ascii="Times New Roman" w:hAnsi="Times New Roman" w:cs="Times New Roman"/>
      <w:b/>
    </w:rPr>
  </w:style>
  <w:style w:type="character" w:customStyle="1" w:styleId="Resref0">
    <w:name w:val="Res#_ref"/>
    <w:rsid w:val="009F725C"/>
    <w:rPr>
      <w:rFonts w:cs="Times New Roman"/>
    </w:rPr>
  </w:style>
  <w:style w:type="paragraph" w:styleId="BodyTextIndent3">
    <w:name w:val="Body Text Indent 3"/>
    <w:basedOn w:val="Normal"/>
    <w:link w:val="BodyTextIndent3Char"/>
    <w:rsid w:val="009F725C"/>
    <w:pPr>
      <w:spacing w:before="120" w:after="120" w:line="240" w:lineRule="auto"/>
      <w:ind w:left="283"/>
      <w:jc w:val="left"/>
    </w:pPr>
    <w:rPr>
      <w:rFonts w:ascii="CG Times" w:hAnsi="CG Times" w:cs="Times New Roman"/>
      <w:sz w:val="16"/>
      <w:szCs w:val="16"/>
      <w:lang w:val="en-GB"/>
    </w:rPr>
  </w:style>
  <w:style w:type="character" w:customStyle="1" w:styleId="BodyTextIndent3Char">
    <w:name w:val="Body Text Indent 3 Char"/>
    <w:basedOn w:val="DefaultParagraphFont"/>
    <w:link w:val="BodyTextIndent3"/>
    <w:rsid w:val="009F725C"/>
    <w:rPr>
      <w:rFonts w:ascii="CG Times" w:hAnsi="CG Times" w:cs="Times New Roman"/>
      <w:sz w:val="16"/>
      <w:szCs w:val="16"/>
      <w:lang w:val="en-GB" w:eastAsia="en-US"/>
    </w:rPr>
  </w:style>
  <w:style w:type="paragraph" w:customStyle="1" w:styleId="Char">
    <w:name w:val="Char"/>
    <w:basedOn w:val="Normal"/>
    <w:rsid w:val="009F725C"/>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hAnsi="Arial" w:cs="Times New Roman"/>
      <w:noProof/>
      <w:sz w:val="20"/>
      <w:szCs w:val="20"/>
      <w:lang w:val="fr-FR" w:eastAsia="zh-CN"/>
    </w:rPr>
  </w:style>
  <w:style w:type="paragraph" w:styleId="BodyTextIndent2">
    <w:name w:val="Body Text Indent 2"/>
    <w:basedOn w:val="Normal"/>
    <w:link w:val="BodyTextIndent2Char"/>
    <w:rsid w:val="009F725C"/>
    <w:pPr>
      <w:tabs>
        <w:tab w:val="clear" w:pos="794"/>
        <w:tab w:val="clear" w:pos="1191"/>
        <w:tab w:val="clear" w:pos="1588"/>
        <w:tab w:val="clear" w:pos="1985"/>
        <w:tab w:val="left" w:pos="1134"/>
        <w:tab w:val="left" w:pos="1871"/>
        <w:tab w:val="left" w:pos="2268"/>
      </w:tabs>
      <w:spacing w:before="200" w:after="120" w:line="480" w:lineRule="auto"/>
      <w:ind w:left="283"/>
    </w:pPr>
    <w:rPr>
      <w:rFonts w:ascii="CG Times" w:hAnsi="CG Times" w:cs="Times New Roman"/>
      <w:szCs w:val="20"/>
      <w:lang w:val="en-GB"/>
    </w:rPr>
  </w:style>
  <w:style w:type="character" w:customStyle="1" w:styleId="BodyTextIndent2Char">
    <w:name w:val="Body Text Indent 2 Char"/>
    <w:basedOn w:val="DefaultParagraphFont"/>
    <w:link w:val="BodyTextIndent2"/>
    <w:rsid w:val="009F725C"/>
    <w:rPr>
      <w:rFonts w:ascii="CG Times" w:hAnsi="CG Times" w:cs="Times New Roman"/>
      <w:sz w:val="24"/>
      <w:lang w:val="en-GB" w:eastAsia="en-US"/>
    </w:rPr>
  </w:style>
  <w:style w:type="paragraph" w:styleId="TableofFigures">
    <w:name w:val="table of figures"/>
    <w:basedOn w:val="Normal"/>
    <w:next w:val="Normal"/>
    <w:rsid w:val="009F725C"/>
    <w:pPr>
      <w:tabs>
        <w:tab w:val="clear" w:pos="794"/>
        <w:tab w:val="clear" w:pos="1191"/>
        <w:tab w:val="clear" w:pos="1588"/>
        <w:tab w:val="clear" w:pos="1985"/>
        <w:tab w:val="right" w:leader="dot" w:pos="10773"/>
      </w:tabs>
      <w:spacing w:before="0" w:line="240" w:lineRule="auto"/>
      <w:jc w:val="left"/>
    </w:pPr>
    <w:rPr>
      <w:rFonts w:ascii="Arial" w:hAnsi="Arial" w:cs="Times New Roman"/>
      <w:sz w:val="16"/>
      <w:szCs w:val="20"/>
    </w:rPr>
  </w:style>
  <w:style w:type="paragraph" w:customStyle="1" w:styleId="MEP">
    <w:name w:val="MEP"/>
    <w:basedOn w:val="Normal"/>
    <w:rsid w:val="009F725C"/>
    <w:pPr>
      <w:tabs>
        <w:tab w:val="clear" w:pos="794"/>
        <w:tab w:val="clear" w:pos="1191"/>
        <w:tab w:val="clear" w:pos="1588"/>
        <w:tab w:val="clear" w:pos="1985"/>
        <w:tab w:val="left" w:pos="1134"/>
        <w:tab w:val="left" w:pos="1871"/>
        <w:tab w:val="left" w:pos="2268"/>
      </w:tabs>
      <w:spacing w:before="200" w:line="240" w:lineRule="auto"/>
    </w:pPr>
    <w:rPr>
      <w:rFonts w:ascii="Times New Roman" w:hAnsi="Times New Roman" w:cs="Times New Roman"/>
      <w:szCs w:val="20"/>
      <w:lang w:val="en-GB"/>
    </w:rPr>
  </w:style>
  <w:style w:type="paragraph" w:customStyle="1" w:styleId="HeaderRegProc">
    <w:name w:val="Header_RegProc"/>
    <w:basedOn w:val="Normal"/>
    <w:rsid w:val="009F725C"/>
    <w:pPr>
      <w:tabs>
        <w:tab w:val="clear" w:pos="794"/>
        <w:tab w:val="clear" w:pos="1191"/>
        <w:tab w:val="clear" w:pos="1588"/>
        <w:tab w:val="clear" w:pos="1985"/>
        <w:tab w:val="center" w:pos="4678"/>
        <w:tab w:val="right" w:pos="9356"/>
      </w:tabs>
      <w:spacing w:before="4" w:line="240" w:lineRule="auto"/>
      <w:ind w:left="142"/>
    </w:pPr>
    <w:rPr>
      <w:rFonts w:ascii="Arial" w:hAnsi="Arial" w:cs="Arial"/>
      <w:bCs/>
      <w:sz w:val="20"/>
      <w:szCs w:val="20"/>
      <w:lang w:val="es-ES"/>
    </w:rPr>
  </w:style>
  <w:style w:type="paragraph" w:customStyle="1" w:styleId="CharChar">
    <w:name w:val="Char Char"/>
    <w:basedOn w:val="Normal"/>
    <w:rsid w:val="009F725C"/>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hAnsi="Arial" w:cs="Times New Roman"/>
      <w:kern w:val="16"/>
      <w:sz w:val="20"/>
      <w:szCs w:val="20"/>
      <w:lang w:val="tr-TR"/>
    </w:rPr>
  </w:style>
  <w:style w:type="paragraph" w:customStyle="1" w:styleId="headfoot">
    <w:name w:val="head_foot"/>
    <w:basedOn w:val="Normal"/>
    <w:next w:val="Normalaftertitle0"/>
    <w:rsid w:val="009F725C"/>
    <w:pPr>
      <w:tabs>
        <w:tab w:val="clear" w:pos="794"/>
        <w:tab w:val="clear" w:pos="1191"/>
        <w:tab w:val="clear" w:pos="1588"/>
        <w:tab w:val="clear" w:pos="1985"/>
        <w:tab w:val="left" w:pos="1134"/>
        <w:tab w:val="left" w:pos="1871"/>
        <w:tab w:val="left" w:pos="2268"/>
      </w:tabs>
      <w:spacing w:before="0" w:line="240" w:lineRule="auto"/>
    </w:pPr>
    <w:rPr>
      <w:rFonts w:ascii="Times New Roman" w:hAnsi="Times New Roman" w:cs="Times New Roman"/>
      <w:color w:val="0000FF"/>
      <w:sz w:val="20"/>
      <w:szCs w:val="20"/>
      <w:lang w:val="en-GB"/>
    </w:rPr>
  </w:style>
  <w:style w:type="paragraph" w:customStyle="1" w:styleId="TableLegend0">
    <w:name w:val="Table_Legend"/>
    <w:basedOn w:val="TableText2"/>
    <w:next w:val="Normal"/>
    <w:rsid w:val="009F725C"/>
    <w:pPr>
      <w:keepNext/>
      <w:tabs>
        <w:tab w:val="clear" w:pos="1418"/>
        <w:tab w:val="clear" w:pos="1701"/>
        <w:tab w:val="clear" w:pos="1985"/>
        <w:tab w:val="clear" w:pos="2268"/>
        <w:tab w:val="clear" w:pos="2552"/>
        <w:tab w:val="clear" w:pos="2835"/>
        <w:tab w:val="clear" w:pos="3119"/>
        <w:tab w:val="clear" w:pos="3402"/>
        <w:tab w:val="clear" w:pos="3686"/>
        <w:tab w:val="clear" w:pos="3969"/>
      </w:tabs>
      <w:spacing w:before="120" w:after="0"/>
      <w:jc w:val="both"/>
    </w:pPr>
    <w:rPr>
      <w:sz w:val="20"/>
    </w:rPr>
  </w:style>
  <w:style w:type="paragraph" w:customStyle="1" w:styleId="CharCharCharCharCharChar">
    <w:name w:val="Char Char Char Char Char Char"/>
    <w:basedOn w:val="Normal"/>
    <w:rsid w:val="009F725C"/>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cs="Times New Roman"/>
      <w:szCs w:val="20"/>
    </w:rPr>
  </w:style>
  <w:style w:type="character" w:customStyle="1" w:styleId="NoteChar">
    <w:name w:val="Note Char"/>
    <w:link w:val="Note"/>
    <w:rsid w:val="009F725C"/>
    <w:rPr>
      <w:szCs w:val="22"/>
      <w:lang w:val="en-US" w:eastAsia="en-US"/>
    </w:rPr>
  </w:style>
  <w:style w:type="character" w:styleId="Emphasis">
    <w:name w:val="Emphasis"/>
    <w:basedOn w:val="DefaultParagraphFont"/>
    <w:uiPriority w:val="20"/>
    <w:qFormat/>
    <w:rsid w:val="009F725C"/>
    <w:rPr>
      <w:i/>
      <w:iCs/>
    </w:rPr>
  </w:style>
  <w:style w:type="character" w:customStyle="1" w:styleId="hps">
    <w:name w:val="hps"/>
    <w:basedOn w:val="DefaultParagraphFont"/>
    <w:rsid w:val="009F725C"/>
  </w:style>
  <w:style w:type="character" w:customStyle="1" w:styleId="atn">
    <w:name w:val="atn"/>
    <w:basedOn w:val="DefaultParagraphFont"/>
    <w:rsid w:val="009F725C"/>
  </w:style>
  <w:style w:type="character" w:customStyle="1" w:styleId="enumlev1Char">
    <w:name w:val="enumlev1 Char"/>
    <w:basedOn w:val="DefaultParagraphFont"/>
    <w:link w:val="enumlev1"/>
    <w:rsid w:val="009F725C"/>
    <w:rPr>
      <w:sz w:val="24"/>
      <w:szCs w:val="22"/>
      <w:lang w:val="en-US" w:eastAsia="en-US"/>
    </w:rPr>
  </w:style>
  <w:style w:type="table" w:customStyle="1" w:styleId="TableGrid1">
    <w:name w:val="Table Grid1"/>
    <w:basedOn w:val="TableNormal"/>
    <w:next w:val="TableGrid"/>
    <w:uiPriority w:val="59"/>
    <w:rsid w:val="009F725C"/>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F725C"/>
    <w:rPr>
      <w:color w:val="808080"/>
    </w:rPr>
  </w:style>
  <w:style w:type="paragraph" w:customStyle="1" w:styleId="Body">
    <w:name w:val="Body"/>
    <w:rsid w:val="009F725C"/>
    <w:rPr>
      <w:rFonts w:ascii="Helvetica" w:eastAsia="ヒラギノ角ゴ Pro W3" w:hAnsi="Helvetica" w:cs="Times New Roman"/>
      <w:color w:val="000000"/>
      <w:sz w:val="24"/>
      <w:lang w:val="en-US"/>
    </w:rPr>
  </w:style>
  <w:style w:type="paragraph" w:styleId="Revision">
    <w:name w:val="Revision"/>
    <w:hidden/>
    <w:uiPriority w:val="99"/>
    <w:semiHidden/>
    <w:rsid w:val="009F725C"/>
    <w:rPr>
      <w:rFonts w:ascii="Times New Roman" w:hAnsi="Times New Roman" w:cs="Times New Roman"/>
      <w:sz w:val="24"/>
      <w:lang w:val="en-GB" w:eastAsia="en-US"/>
    </w:rPr>
  </w:style>
  <w:style w:type="paragraph" w:styleId="EndnoteText">
    <w:name w:val="endnote text"/>
    <w:basedOn w:val="Normal"/>
    <w:link w:val="EndnoteTextChar"/>
    <w:semiHidden/>
    <w:unhideWhenUsed/>
    <w:rsid w:val="00E04EB8"/>
    <w:pPr>
      <w:spacing w:before="0" w:line="240" w:lineRule="auto"/>
    </w:pPr>
    <w:rPr>
      <w:sz w:val="20"/>
      <w:szCs w:val="20"/>
    </w:rPr>
  </w:style>
  <w:style w:type="character" w:customStyle="1" w:styleId="EndnoteTextChar">
    <w:name w:val="Endnote Text Char"/>
    <w:basedOn w:val="DefaultParagraphFont"/>
    <w:link w:val="EndnoteText"/>
    <w:semiHidden/>
    <w:rsid w:val="00E04EB8"/>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en/ITU-R/conferences/RRB/Documents/ai%204_1_compendium%20to%20be%20published%20as%20special%20topics_English.docx" TargetMode="External"/><Relationship Id="rId13" Type="http://schemas.openxmlformats.org/officeDocument/2006/relationships/hyperlink" Target="http://www.itu.int/md/R03-WRC03-C-0410/en" TargetMode="External"/><Relationship Id="rId18" Type="http://schemas.openxmlformats.org/officeDocument/2006/relationships/hyperlink" Target="http://www.itu.int/md/R07-WRC07-C-0004/e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itu.int/md/R12-WRC12-C-0554/en"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itu.int/md/R07-WRC07-C-0378/e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tu.int/md/R07-WRC07-C-0432/en" TargetMode="External"/><Relationship Id="rId20" Type="http://schemas.openxmlformats.org/officeDocument/2006/relationships/hyperlink" Target="http://www.itu.int/md/R12-WRC12-C-0550/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tu.int/md/R03-WRC03-C-0370/en" TargetMode="External"/><Relationship Id="rId23"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www.itu.int/md/R12-WRC12-C-0549/e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itu.int/md/R03-WRC03-C-0410/en" TargetMode="External"/><Relationship Id="rId22" Type="http://schemas.openxmlformats.org/officeDocument/2006/relationships/hyperlink" Target="http://www.itu.int/md/R12-WRC12-C-0554/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goo.gl/LCpvqH"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urrie\AppData\Roaming\Microsoft\Templates\POOL%20E%20-%20ITU\PE_New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3A5D3-021F-448E-BB55-6639DD299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PE_NewBRcirc.dotx</Template>
  <TotalTime>65</TotalTime>
  <Pages>3</Pages>
  <Words>853</Words>
  <Characters>4865</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5707</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Currie, Jane</dc:creator>
  <cp:lastModifiedBy>Gozal, Karine</cp:lastModifiedBy>
  <cp:revision>18</cp:revision>
  <cp:lastPrinted>2015-04-16T09:38:00Z</cp:lastPrinted>
  <dcterms:created xsi:type="dcterms:W3CDTF">2015-03-23T15:13:00Z</dcterms:created>
  <dcterms:modified xsi:type="dcterms:W3CDTF">2015-04-16T09:40:00Z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