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5821B3" w:rsidTr="00034340">
        <w:tc>
          <w:tcPr>
            <w:tcW w:w="7054" w:type="dxa"/>
            <w:gridSpan w:val="2"/>
            <w:shd w:val="clear" w:color="auto" w:fill="auto"/>
          </w:tcPr>
          <w:p w:rsidR="00C76D7F" w:rsidRPr="005821B3" w:rsidRDefault="00D21694" w:rsidP="00E17344">
            <w:pPr>
              <w:spacing w:before="0"/>
              <w:jc w:val="left"/>
              <w:rPr>
                <w:rFonts w:asciiTheme="minorHAnsi" w:hAnsiTheme="minorHAnsi"/>
                <w:sz w:val="24"/>
                <w:szCs w:val="24"/>
                <w:lang w:val="fr-CH"/>
              </w:rPr>
            </w:pPr>
            <w:r w:rsidRPr="005821B3">
              <w:rPr>
                <w:rFonts w:asciiTheme="minorHAnsi" w:hAnsiTheme="minorHAnsi"/>
                <w:sz w:val="24"/>
                <w:szCs w:val="24"/>
                <w:lang w:val="fr-CH"/>
              </w:rPr>
              <w:t xml:space="preserve">Administrative </w:t>
            </w:r>
            <w:proofErr w:type="spellStart"/>
            <w:r w:rsidR="008B35A3" w:rsidRPr="005821B3">
              <w:rPr>
                <w:rFonts w:asciiTheme="minorHAnsi" w:hAnsiTheme="minorHAnsi"/>
                <w:sz w:val="24"/>
                <w:szCs w:val="24"/>
                <w:lang w:val="fr-CH"/>
              </w:rPr>
              <w:t>C</w:t>
            </w:r>
            <w:r w:rsidR="00C76D7F" w:rsidRPr="005821B3">
              <w:rPr>
                <w:rFonts w:asciiTheme="minorHAnsi" w:hAnsiTheme="minorHAnsi"/>
                <w:sz w:val="24"/>
                <w:szCs w:val="24"/>
                <w:lang w:val="fr-CH"/>
              </w:rPr>
              <w:t>ircular</w:t>
            </w:r>
            <w:proofErr w:type="spellEnd"/>
          </w:p>
          <w:p w:rsidR="00651777" w:rsidRPr="005821B3" w:rsidRDefault="00E17344" w:rsidP="00E916C3">
            <w:pPr>
              <w:spacing w:before="0"/>
              <w:jc w:val="left"/>
              <w:rPr>
                <w:rFonts w:asciiTheme="minorHAnsi" w:hAnsiTheme="minorHAnsi"/>
                <w:b/>
                <w:bCs/>
                <w:sz w:val="24"/>
                <w:szCs w:val="24"/>
                <w:lang w:val="fr-CH"/>
              </w:rPr>
            </w:pPr>
            <w:r w:rsidRPr="005821B3">
              <w:rPr>
                <w:rFonts w:asciiTheme="minorHAnsi" w:hAnsiTheme="minorHAnsi"/>
                <w:b/>
                <w:bCs/>
                <w:sz w:val="24"/>
                <w:szCs w:val="24"/>
                <w:lang w:val="fr-CH"/>
              </w:rPr>
              <w:t>C</w:t>
            </w:r>
            <w:r w:rsidR="00E916C3">
              <w:rPr>
                <w:rFonts w:asciiTheme="minorHAnsi" w:hAnsiTheme="minorHAnsi"/>
                <w:b/>
                <w:bCs/>
                <w:sz w:val="24"/>
                <w:szCs w:val="24"/>
                <w:lang w:val="fr-CH"/>
              </w:rPr>
              <w:t>R</w:t>
            </w:r>
            <w:r w:rsidR="003836D4" w:rsidRPr="005821B3">
              <w:rPr>
                <w:rFonts w:asciiTheme="minorHAnsi" w:hAnsiTheme="minorHAnsi"/>
                <w:b/>
                <w:bCs/>
                <w:sz w:val="24"/>
                <w:szCs w:val="24"/>
                <w:lang w:val="fr-CH"/>
              </w:rPr>
              <w:t>/</w:t>
            </w:r>
            <w:r w:rsidR="00E916C3">
              <w:rPr>
                <w:rFonts w:asciiTheme="minorHAnsi" w:hAnsiTheme="minorHAnsi"/>
                <w:b/>
                <w:bCs/>
                <w:sz w:val="24"/>
                <w:szCs w:val="24"/>
                <w:lang w:val="fr-CH"/>
              </w:rPr>
              <w:t>375</w:t>
            </w:r>
          </w:p>
        </w:tc>
        <w:tc>
          <w:tcPr>
            <w:tcW w:w="2835" w:type="dxa"/>
            <w:shd w:val="clear" w:color="auto" w:fill="auto"/>
          </w:tcPr>
          <w:p w:rsidR="00651777" w:rsidRPr="005821B3" w:rsidRDefault="003D5E8F" w:rsidP="00202C00">
            <w:pPr>
              <w:spacing w:before="0"/>
              <w:jc w:val="right"/>
              <w:rPr>
                <w:rFonts w:asciiTheme="minorHAnsi" w:hAnsiTheme="minorHAnsi"/>
                <w:sz w:val="24"/>
                <w:szCs w:val="24"/>
                <w:lang w:val="en-GB"/>
              </w:rPr>
            </w:pPr>
            <w:r>
              <w:rPr>
                <w:rFonts w:asciiTheme="minorHAnsi" w:hAnsiTheme="minorHAnsi"/>
                <w:sz w:val="24"/>
                <w:szCs w:val="24"/>
                <w:lang w:val="en-GB"/>
              </w:rPr>
              <w:t>1</w:t>
            </w:r>
            <w:r w:rsidR="00202C00">
              <w:rPr>
                <w:rFonts w:asciiTheme="minorHAnsi" w:hAnsiTheme="minorHAnsi"/>
                <w:sz w:val="24"/>
                <w:szCs w:val="24"/>
                <w:lang w:val="en-GB"/>
              </w:rPr>
              <w:t>9</w:t>
            </w:r>
            <w:r w:rsidR="001A038D" w:rsidRPr="005821B3">
              <w:rPr>
                <w:rFonts w:asciiTheme="minorHAnsi" w:hAnsiTheme="minorHAnsi"/>
                <w:sz w:val="24"/>
                <w:szCs w:val="24"/>
                <w:lang w:val="en-GB"/>
              </w:rPr>
              <w:t xml:space="preserve"> </w:t>
            </w:r>
            <w:r>
              <w:rPr>
                <w:rFonts w:asciiTheme="minorHAnsi" w:hAnsiTheme="minorHAnsi"/>
                <w:sz w:val="24"/>
                <w:szCs w:val="24"/>
                <w:lang w:val="en-GB"/>
              </w:rPr>
              <w:t>December</w:t>
            </w:r>
            <w:r w:rsidR="006639A1" w:rsidRPr="005821B3">
              <w:rPr>
                <w:rFonts w:asciiTheme="minorHAnsi" w:hAnsiTheme="minorHAnsi"/>
                <w:sz w:val="24"/>
                <w:szCs w:val="24"/>
                <w:lang w:val="en-GB"/>
              </w:rPr>
              <w:t xml:space="preserve"> </w:t>
            </w:r>
            <w:r w:rsidR="001A038D" w:rsidRPr="005821B3">
              <w:rPr>
                <w:rFonts w:asciiTheme="minorHAnsi" w:hAnsiTheme="minorHAnsi"/>
                <w:sz w:val="24"/>
                <w:szCs w:val="24"/>
                <w:lang w:val="en-GB"/>
              </w:rPr>
              <w:t>2014</w:t>
            </w:r>
          </w:p>
        </w:tc>
      </w:tr>
      <w:tr w:rsidR="0037309C" w:rsidRPr="005821B3" w:rsidTr="00E673C6">
        <w:tc>
          <w:tcPr>
            <w:tcW w:w="9889" w:type="dxa"/>
            <w:gridSpan w:val="3"/>
            <w:shd w:val="clear" w:color="auto" w:fill="auto"/>
          </w:tcPr>
          <w:p w:rsidR="0037309C" w:rsidRPr="005821B3" w:rsidRDefault="0037309C" w:rsidP="006047E5">
            <w:pPr>
              <w:spacing w:before="0"/>
              <w:jc w:val="left"/>
              <w:rPr>
                <w:rFonts w:asciiTheme="minorHAnsi" w:hAnsiTheme="minorHAnsi" w:cs="Arial"/>
                <w:sz w:val="24"/>
                <w:szCs w:val="24"/>
                <w:lang w:val="en-GB"/>
              </w:rPr>
            </w:pPr>
          </w:p>
        </w:tc>
      </w:tr>
      <w:tr w:rsidR="0037309C" w:rsidRPr="005821B3" w:rsidTr="00E673C6">
        <w:tc>
          <w:tcPr>
            <w:tcW w:w="9889" w:type="dxa"/>
            <w:gridSpan w:val="3"/>
            <w:shd w:val="clear" w:color="auto" w:fill="auto"/>
          </w:tcPr>
          <w:p w:rsidR="0037309C" w:rsidRPr="005821B3" w:rsidRDefault="0037309C" w:rsidP="00E673C6">
            <w:pPr>
              <w:spacing w:before="0"/>
              <w:jc w:val="left"/>
              <w:rPr>
                <w:rFonts w:asciiTheme="minorHAnsi" w:hAnsiTheme="minorHAnsi"/>
                <w:sz w:val="24"/>
                <w:szCs w:val="24"/>
              </w:rPr>
            </w:pPr>
          </w:p>
        </w:tc>
      </w:tr>
      <w:tr w:rsidR="0037309C" w:rsidRPr="005821B3" w:rsidTr="00E673C6">
        <w:tc>
          <w:tcPr>
            <w:tcW w:w="9889" w:type="dxa"/>
            <w:gridSpan w:val="3"/>
            <w:shd w:val="clear" w:color="auto" w:fill="auto"/>
          </w:tcPr>
          <w:p w:rsidR="00D21694" w:rsidRPr="005821B3" w:rsidRDefault="0037309C" w:rsidP="005A6EDE">
            <w:pPr>
              <w:spacing w:before="0"/>
              <w:jc w:val="left"/>
              <w:rPr>
                <w:rFonts w:asciiTheme="minorHAnsi" w:hAnsiTheme="minorHAnsi"/>
                <w:b/>
                <w:bCs/>
                <w:sz w:val="24"/>
                <w:szCs w:val="24"/>
              </w:rPr>
            </w:pPr>
            <w:r w:rsidRPr="005821B3">
              <w:rPr>
                <w:rFonts w:asciiTheme="minorHAnsi" w:hAnsiTheme="minorHAnsi"/>
                <w:b/>
                <w:bCs/>
                <w:sz w:val="24"/>
                <w:szCs w:val="24"/>
              </w:rPr>
              <w:t>To Administrations of Member States of the ITU</w:t>
            </w:r>
            <w:r w:rsidR="009F4187">
              <w:rPr>
                <w:rStyle w:val="FootnoteReference"/>
                <w:b/>
              </w:rPr>
              <w:footnoteReference w:id="1"/>
            </w:r>
          </w:p>
          <w:p w:rsidR="00D21694" w:rsidRPr="005821B3" w:rsidRDefault="00D21694" w:rsidP="006047E5">
            <w:pPr>
              <w:spacing w:before="0"/>
              <w:jc w:val="left"/>
              <w:rPr>
                <w:rFonts w:asciiTheme="minorHAnsi" w:hAnsiTheme="minorHAnsi"/>
                <w:b/>
                <w:bCs/>
                <w:sz w:val="24"/>
                <w:szCs w:val="24"/>
              </w:rPr>
            </w:pPr>
          </w:p>
        </w:tc>
      </w:tr>
      <w:tr w:rsidR="0037309C" w:rsidRPr="005821B3" w:rsidTr="00E673C6">
        <w:tc>
          <w:tcPr>
            <w:tcW w:w="9889" w:type="dxa"/>
            <w:gridSpan w:val="3"/>
            <w:shd w:val="clear" w:color="auto" w:fill="auto"/>
          </w:tcPr>
          <w:p w:rsidR="0037309C" w:rsidRPr="005821B3" w:rsidRDefault="0037309C" w:rsidP="006047E5">
            <w:pPr>
              <w:spacing w:before="0"/>
              <w:jc w:val="left"/>
              <w:rPr>
                <w:rFonts w:asciiTheme="minorHAnsi" w:hAnsiTheme="minorHAnsi"/>
                <w:sz w:val="24"/>
                <w:szCs w:val="24"/>
              </w:rPr>
            </w:pPr>
          </w:p>
        </w:tc>
      </w:tr>
      <w:tr w:rsidR="0037309C" w:rsidRPr="005821B3" w:rsidTr="00E673C6">
        <w:tc>
          <w:tcPr>
            <w:tcW w:w="9889" w:type="dxa"/>
            <w:gridSpan w:val="3"/>
            <w:shd w:val="clear" w:color="auto" w:fill="auto"/>
          </w:tcPr>
          <w:p w:rsidR="0037309C" w:rsidRPr="005821B3" w:rsidRDefault="0037309C" w:rsidP="006047E5">
            <w:pPr>
              <w:spacing w:before="0"/>
              <w:jc w:val="left"/>
              <w:rPr>
                <w:rFonts w:asciiTheme="minorHAnsi" w:hAnsiTheme="minorHAnsi"/>
                <w:sz w:val="24"/>
                <w:szCs w:val="24"/>
              </w:rPr>
            </w:pPr>
          </w:p>
        </w:tc>
      </w:tr>
      <w:tr w:rsidR="00B4054B" w:rsidRPr="005821B3" w:rsidTr="0037309C">
        <w:tc>
          <w:tcPr>
            <w:tcW w:w="1526" w:type="dxa"/>
            <w:shd w:val="clear" w:color="auto" w:fill="auto"/>
          </w:tcPr>
          <w:p w:rsidR="00B4054B" w:rsidRPr="005821B3" w:rsidRDefault="00B4054B" w:rsidP="00E673C6">
            <w:pPr>
              <w:spacing w:before="0"/>
              <w:jc w:val="left"/>
              <w:rPr>
                <w:rFonts w:asciiTheme="minorHAnsi" w:hAnsiTheme="minorHAnsi"/>
                <w:sz w:val="24"/>
                <w:szCs w:val="24"/>
                <w:lang w:val="en-GB"/>
              </w:rPr>
            </w:pPr>
            <w:r w:rsidRPr="005821B3">
              <w:rPr>
                <w:rFonts w:asciiTheme="minorHAnsi" w:hAnsiTheme="minorHAnsi"/>
                <w:sz w:val="24"/>
                <w:szCs w:val="24"/>
              </w:rPr>
              <w:t>Subject:</w:t>
            </w:r>
          </w:p>
        </w:tc>
        <w:tc>
          <w:tcPr>
            <w:tcW w:w="8363" w:type="dxa"/>
            <w:gridSpan w:val="2"/>
            <w:vMerge w:val="restart"/>
            <w:shd w:val="clear" w:color="auto" w:fill="auto"/>
          </w:tcPr>
          <w:p w:rsidR="003D5E8F" w:rsidRPr="00DD2284" w:rsidRDefault="003D5E8F" w:rsidP="00DD2284">
            <w:pPr>
              <w:spacing w:before="0"/>
              <w:jc w:val="left"/>
              <w:rPr>
                <w:b/>
                <w:bCs/>
              </w:rPr>
            </w:pPr>
            <w:r w:rsidRPr="00DD2284">
              <w:rPr>
                <w:rFonts w:cs="Times New Roman"/>
                <w:b/>
                <w:bCs/>
                <w:color w:val="000000"/>
              </w:rPr>
              <w:t xml:space="preserve">End of the transition period </w:t>
            </w:r>
            <w:r w:rsidR="00300D1C">
              <w:rPr>
                <w:rFonts w:cs="Times New Roman"/>
                <w:b/>
                <w:bCs/>
                <w:color w:val="000000"/>
              </w:rPr>
              <w:t xml:space="preserve">to digital broadcasting </w:t>
            </w:r>
            <w:r w:rsidRPr="00DD2284">
              <w:rPr>
                <w:rFonts w:cs="Times New Roman"/>
                <w:b/>
                <w:bCs/>
                <w:color w:val="000000"/>
              </w:rPr>
              <w:t>set forth by the GE06 Agreement</w:t>
            </w:r>
            <w:r w:rsidRPr="00DD2284">
              <w:rPr>
                <w:rFonts w:cs="Times New Roman"/>
                <w:b/>
                <w:bCs/>
                <w:color w:val="000000"/>
              </w:rPr>
              <w:br/>
            </w:r>
            <w:r w:rsidRPr="00DD2284">
              <w:rPr>
                <w:b/>
                <w:bCs/>
              </w:rPr>
              <w:br/>
              <w:t xml:space="preserve">Regional Agreement, Geneva 2006 for the planning of the digital terrestrial </w:t>
            </w:r>
            <w:r w:rsidR="00DD2284">
              <w:rPr>
                <w:b/>
                <w:bCs/>
              </w:rPr>
              <w:br/>
            </w:r>
            <w:r w:rsidRPr="00DD2284">
              <w:rPr>
                <w:b/>
                <w:bCs/>
              </w:rPr>
              <w:t>broadcasting service in parts of Regions 1 and 3, in the frequency ba</w:t>
            </w:r>
            <w:r w:rsidR="00DD2284" w:rsidRPr="00DD2284">
              <w:rPr>
                <w:b/>
                <w:bCs/>
              </w:rPr>
              <w:t>nds 174-230 MHz and</w:t>
            </w:r>
            <w:r w:rsidR="00DD2284">
              <w:rPr>
                <w:b/>
                <w:bCs/>
              </w:rPr>
              <w:t xml:space="preserve"> </w:t>
            </w:r>
            <w:r w:rsidR="00DD2284" w:rsidRPr="00DD2284">
              <w:rPr>
                <w:b/>
                <w:bCs/>
              </w:rPr>
              <w:t>470-862 MHz</w:t>
            </w:r>
          </w:p>
          <w:p w:rsidR="003D5E8F" w:rsidRPr="003D5E8F" w:rsidRDefault="003D5E8F">
            <w:pPr>
              <w:spacing w:before="0"/>
              <w:jc w:val="left"/>
              <w:rPr>
                <w:rFonts w:asciiTheme="minorHAnsi" w:hAnsiTheme="minorHAnsi"/>
                <w:b/>
                <w:bCs/>
                <w:sz w:val="24"/>
                <w:szCs w:val="24"/>
              </w:rPr>
            </w:pPr>
          </w:p>
        </w:tc>
      </w:tr>
      <w:tr w:rsidR="00B4054B" w:rsidRPr="005821B3" w:rsidTr="00E673C6">
        <w:tc>
          <w:tcPr>
            <w:tcW w:w="1526" w:type="dxa"/>
            <w:shd w:val="clear" w:color="auto" w:fill="auto"/>
          </w:tcPr>
          <w:p w:rsidR="00B4054B" w:rsidRPr="005821B3" w:rsidRDefault="00B4054B" w:rsidP="00E673C6">
            <w:pPr>
              <w:spacing w:before="0"/>
              <w:jc w:val="left"/>
              <w:rPr>
                <w:rFonts w:asciiTheme="minorHAnsi" w:hAnsiTheme="minorHAnsi"/>
                <w:b/>
                <w:bCs/>
                <w:sz w:val="24"/>
                <w:szCs w:val="24"/>
                <w:lang w:val="en-GB"/>
              </w:rPr>
            </w:pPr>
          </w:p>
        </w:tc>
        <w:tc>
          <w:tcPr>
            <w:tcW w:w="8363" w:type="dxa"/>
            <w:gridSpan w:val="2"/>
            <w:vMerge/>
            <w:shd w:val="clear" w:color="auto" w:fill="auto"/>
          </w:tcPr>
          <w:p w:rsidR="00B4054B" w:rsidRPr="005821B3" w:rsidRDefault="00B4054B" w:rsidP="00E673C6">
            <w:pPr>
              <w:spacing w:before="0"/>
              <w:rPr>
                <w:rFonts w:asciiTheme="minorHAnsi" w:hAnsiTheme="minorHAnsi"/>
                <w:b/>
                <w:bCs/>
                <w:sz w:val="24"/>
                <w:szCs w:val="24"/>
                <w:lang w:val="en-GB"/>
              </w:rPr>
            </w:pPr>
          </w:p>
        </w:tc>
      </w:tr>
      <w:tr w:rsidR="00B4054B" w:rsidRPr="005821B3" w:rsidTr="00E673C6">
        <w:tc>
          <w:tcPr>
            <w:tcW w:w="1526" w:type="dxa"/>
            <w:shd w:val="clear" w:color="auto" w:fill="auto"/>
          </w:tcPr>
          <w:p w:rsidR="00B4054B" w:rsidRPr="003D5E8F" w:rsidRDefault="003D5E8F" w:rsidP="00E673C6">
            <w:pPr>
              <w:spacing w:before="0"/>
              <w:jc w:val="left"/>
              <w:rPr>
                <w:rFonts w:asciiTheme="minorHAnsi" w:hAnsiTheme="minorHAnsi"/>
                <w:sz w:val="24"/>
                <w:szCs w:val="24"/>
              </w:rPr>
            </w:pPr>
            <w:r w:rsidRPr="003D5E8F">
              <w:rPr>
                <w:rFonts w:asciiTheme="minorHAnsi" w:hAnsiTheme="minorHAnsi"/>
                <w:sz w:val="24"/>
                <w:szCs w:val="24"/>
              </w:rPr>
              <w:t>Reference:</w:t>
            </w:r>
          </w:p>
        </w:tc>
        <w:tc>
          <w:tcPr>
            <w:tcW w:w="8363" w:type="dxa"/>
            <w:gridSpan w:val="2"/>
            <w:vMerge/>
            <w:shd w:val="clear" w:color="auto" w:fill="auto"/>
          </w:tcPr>
          <w:p w:rsidR="00B4054B" w:rsidRPr="005821B3" w:rsidRDefault="00B4054B" w:rsidP="00E673C6">
            <w:pPr>
              <w:spacing w:before="0"/>
              <w:rPr>
                <w:rFonts w:asciiTheme="minorHAnsi" w:hAnsiTheme="minorHAnsi"/>
                <w:b/>
                <w:bCs/>
                <w:sz w:val="24"/>
                <w:szCs w:val="24"/>
                <w:lang w:val="en-GB"/>
              </w:rPr>
            </w:pPr>
          </w:p>
        </w:tc>
      </w:tr>
    </w:tbl>
    <w:p w:rsidR="00C40A7B" w:rsidRDefault="003D5E8F" w:rsidP="00C40A7B">
      <w:pPr>
        <w:spacing w:before="136"/>
      </w:pPr>
      <w:r>
        <w:t>The transition period</w:t>
      </w:r>
      <w:r w:rsidR="00300D1C">
        <w:t xml:space="preserve"> from analogue to digital television broadcasting</w:t>
      </w:r>
      <w:r>
        <w:t>, as defined in the GE06 Agreement, is due to end on 17 June 2015 at 0001</w:t>
      </w:r>
      <w:r w:rsidRPr="00EE7789">
        <w:t xml:space="preserve"> </w:t>
      </w:r>
      <w:r>
        <w:t xml:space="preserve">hours UTC. However, </w:t>
      </w:r>
      <w:r w:rsidRPr="00085D65">
        <w:t>for the countries</w:t>
      </w:r>
      <w:r w:rsidR="00C40A7B">
        <w:t xml:space="preserve"> and frequency bands indicated in the table below, the transition </w:t>
      </w:r>
      <w:r w:rsidR="00C40A7B" w:rsidRPr="0056792E">
        <w:t>period</w:t>
      </w:r>
      <w:r w:rsidR="00C40A7B" w:rsidRPr="00085D65">
        <w:t xml:space="preserve"> </w:t>
      </w:r>
      <w:r w:rsidR="00C40A7B">
        <w:t>shall end on 17 June 2020 at 0001</w:t>
      </w:r>
      <w:r w:rsidR="00C40A7B" w:rsidRPr="00EE7789">
        <w:t xml:space="preserve"> </w:t>
      </w:r>
      <w:r w:rsidR="00C40A7B">
        <w:t>hours UTC.</w:t>
      </w:r>
    </w:p>
    <w:p w:rsidR="00C40A7B" w:rsidRDefault="00C40A7B" w:rsidP="00C40A7B">
      <w:pPr>
        <w:spacing w:before="136"/>
      </w:pPr>
    </w:p>
    <w:tbl>
      <w:tblPr>
        <w:tblStyle w:val="TableGrid"/>
        <w:tblW w:w="0" w:type="auto"/>
        <w:jc w:val="center"/>
        <w:tblLayout w:type="fixed"/>
        <w:tblLook w:val="04A0" w:firstRow="1" w:lastRow="0" w:firstColumn="1" w:lastColumn="0" w:noHBand="0" w:noVBand="1"/>
      </w:tblPr>
      <w:tblGrid>
        <w:gridCol w:w="1701"/>
        <w:gridCol w:w="7792"/>
      </w:tblGrid>
      <w:tr w:rsidR="00C40A7B" w:rsidTr="00C40A7B">
        <w:trPr>
          <w:jc w:val="center"/>
        </w:trPr>
        <w:tc>
          <w:tcPr>
            <w:tcW w:w="1701" w:type="dxa"/>
          </w:tcPr>
          <w:p w:rsidR="00C40A7B" w:rsidRDefault="00C40A7B" w:rsidP="00C40A7B">
            <w:pPr>
              <w:spacing w:before="80" w:after="80"/>
              <w:jc w:val="center"/>
            </w:pPr>
            <w:r>
              <w:t>Band</w:t>
            </w:r>
          </w:p>
        </w:tc>
        <w:tc>
          <w:tcPr>
            <w:tcW w:w="7792" w:type="dxa"/>
          </w:tcPr>
          <w:p w:rsidR="00C40A7B" w:rsidRDefault="00C40A7B" w:rsidP="00C40A7B">
            <w:pPr>
              <w:spacing w:before="80" w:after="80"/>
              <w:jc w:val="center"/>
            </w:pPr>
            <w:r>
              <w:t>Countries</w:t>
            </w:r>
          </w:p>
        </w:tc>
      </w:tr>
      <w:tr w:rsidR="00C40A7B" w:rsidTr="00C40A7B">
        <w:trPr>
          <w:jc w:val="center"/>
        </w:trPr>
        <w:tc>
          <w:tcPr>
            <w:tcW w:w="1701" w:type="dxa"/>
          </w:tcPr>
          <w:p w:rsidR="00C40A7B" w:rsidRDefault="00C40A7B" w:rsidP="00C40A7B">
            <w:pPr>
              <w:spacing w:before="136"/>
            </w:pPr>
            <w:r>
              <w:t>174-230 MHz</w:t>
            </w:r>
          </w:p>
        </w:tc>
        <w:tc>
          <w:tcPr>
            <w:tcW w:w="7792" w:type="dxa"/>
          </w:tcPr>
          <w:p w:rsidR="00300D1C" w:rsidRDefault="00300D1C" w:rsidP="00300D1C">
            <w:pPr>
              <w:spacing w:before="80" w:line="240" w:lineRule="auto"/>
              <w:jc w:val="left"/>
              <w:rPr>
                <w:rFonts w:asciiTheme="minorHAnsi" w:hAnsiTheme="minorHAnsi"/>
              </w:rPr>
            </w:pPr>
            <w:r>
              <w:rPr>
                <w:rFonts w:asciiTheme="minorHAnsi" w:hAnsiTheme="minorHAnsi"/>
              </w:rPr>
              <w:t>(Administrations present at RRC-06)</w:t>
            </w:r>
            <w:r w:rsidR="00202C00">
              <w:rPr>
                <w:rFonts w:asciiTheme="minorHAnsi" w:hAnsiTheme="minorHAnsi"/>
              </w:rPr>
              <w:t>:</w:t>
            </w:r>
          </w:p>
          <w:p w:rsidR="00C40A7B" w:rsidRPr="00C40A7B" w:rsidRDefault="00C40A7B" w:rsidP="00300D1C">
            <w:pPr>
              <w:spacing w:before="0" w:after="80" w:line="240" w:lineRule="auto"/>
              <w:rPr>
                <w:rFonts w:asciiTheme="minorHAnsi" w:hAnsiTheme="minorHAnsi"/>
              </w:rPr>
            </w:pPr>
            <w:r w:rsidRPr="00C40A7B">
              <w:rPr>
                <w:rFonts w:asciiTheme="minorHAnsi" w:hAnsiTheme="minorHAnsi"/>
              </w:rPr>
              <w:t xml:space="preserve">Algeria (People's Democratic Republic of), Burkina Faso, Cameroon (Republic of), Congo (Republic of the), Côte d'Ivoire (Republic of), Egypt (Arab Republic of), Gabonese Republic, Ghana, Guinea (Republic of), Iran (Islamic Republic of), Jordan (Hashemite Kingdom of), </w:t>
            </w:r>
            <w:proofErr w:type="spellStart"/>
            <w:r w:rsidRPr="00C40A7B">
              <w:rPr>
                <w:rFonts w:asciiTheme="minorHAnsi" w:hAnsiTheme="minorHAnsi"/>
              </w:rPr>
              <w:t>Mali</w:t>
            </w:r>
            <w:proofErr w:type="spellEnd"/>
            <w:r w:rsidRPr="00C40A7B">
              <w:rPr>
                <w:rFonts w:asciiTheme="minorHAnsi" w:hAnsiTheme="minorHAnsi"/>
              </w:rPr>
              <w:t xml:space="preserve"> (Republic of), Morocco (Kingdom of), Mauritania (Islamic Republic of), Nigeria (Federal Republic of), Syrian Arab Republic, Sudan (Republic of the), Chad (Republic of), Togolese Republic, Tunisia, Yemen (Republic of)</w:t>
            </w:r>
            <w:r w:rsidR="00202C00">
              <w:rPr>
                <w:rFonts w:asciiTheme="minorHAnsi" w:hAnsiTheme="minorHAnsi"/>
              </w:rPr>
              <w:t>.</w:t>
            </w:r>
            <w:r w:rsidRPr="00C40A7B">
              <w:rPr>
                <w:rFonts w:asciiTheme="minorHAnsi" w:hAnsiTheme="minorHAnsi"/>
              </w:rPr>
              <w:br/>
            </w:r>
          </w:p>
          <w:p w:rsidR="00300D1C" w:rsidRDefault="00300D1C" w:rsidP="00300D1C">
            <w:pPr>
              <w:pStyle w:val="FootnoteText"/>
              <w:tabs>
                <w:tab w:val="clear" w:pos="255"/>
              </w:tabs>
              <w:spacing w:line="240" w:lineRule="auto"/>
              <w:ind w:left="28" w:firstLine="0"/>
              <w:rPr>
                <w:rFonts w:asciiTheme="minorHAnsi" w:hAnsiTheme="minorHAnsi"/>
                <w:sz w:val="22"/>
              </w:rPr>
            </w:pPr>
            <w:r>
              <w:rPr>
                <w:rFonts w:asciiTheme="minorHAnsi" w:hAnsiTheme="minorHAnsi"/>
                <w:sz w:val="22"/>
              </w:rPr>
              <w:t>(Administrations not present at RRC-06)</w:t>
            </w:r>
            <w:r w:rsidR="00202C00">
              <w:rPr>
                <w:rFonts w:asciiTheme="minorHAnsi" w:hAnsiTheme="minorHAnsi"/>
                <w:sz w:val="22"/>
              </w:rPr>
              <w:t>:</w:t>
            </w:r>
          </w:p>
          <w:p w:rsidR="00C40A7B" w:rsidRPr="00C40A7B" w:rsidRDefault="00C40A7B" w:rsidP="00202C00">
            <w:pPr>
              <w:pStyle w:val="FootnoteText"/>
              <w:tabs>
                <w:tab w:val="clear" w:pos="255"/>
              </w:tabs>
              <w:spacing w:before="0" w:after="80" w:line="240" w:lineRule="auto"/>
              <w:ind w:left="28" w:firstLine="0"/>
              <w:rPr>
                <w:rFonts w:asciiTheme="minorHAnsi" w:hAnsiTheme="minorHAnsi"/>
              </w:rPr>
            </w:pPr>
            <w:r w:rsidRPr="00C40A7B">
              <w:rPr>
                <w:rFonts w:asciiTheme="minorHAnsi" w:hAnsiTheme="minorHAnsi"/>
                <w:sz w:val="22"/>
              </w:rPr>
              <w:t>Benin (Republic of), Central African Republic, Eritrea, Ethiopia (Federal Democratic Republic of), Guinea-Bissau (Republic of), Equatorial Guinea (Republic of), Liberia (Republic of), Madagascar (Republic of), Niger (Republic of the), Democratic Republic of the Congo, Sao Tome and Principe (Democratic Republic of), Sierra Leone and Somali Democratic Republic.</w:t>
            </w:r>
          </w:p>
        </w:tc>
      </w:tr>
      <w:tr w:rsidR="00C40A7B" w:rsidTr="00C40A7B">
        <w:trPr>
          <w:jc w:val="center"/>
        </w:trPr>
        <w:tc>
          <w:tcPr>
            <w:tcW w:w="1701" w:type="dxa"/>
          </w:tcPr>
          <w:p w:rsidR="00C40A7B" w:rsidRDefault="00C40A7B" w:rsidP="00C40A7B">
            <w:pPr>
              <w:spacing w:before="80" w:after="80"/>
            </w:pPr>
            <w:r>
              <w:t>170-230 MHz</w:t>
            </w:r>
          </w:p>
        </w:tc>
        <w:tc>
          <w:tcPr>
            <w:tcW w:w="7792" w:type="dxa"/>
          </w:tcPr>
          <w:p w:rsidR="00C40A7B" w:rsidRDefault="00C40A7B" w:rsidP="00C40A7B">
            <w:pPr>
              <w:spacing w:before="80" w:after="80"/>
            </w:pPr>
            <w:r>
              <w:t>Morocco</w:t>
            </w:r>
          </w:p>
        </w:tc>
      </w:tr>
    </w:tbl>
    <w:p w:rsidR="003D5E8F" w:rsidRDefault="00C40A7B" w:rsidP="00300D1C">
      <w:pPr>
        <w:spacing w:before="136"/>
      </w:pPr>
      <w:r>
        <w:br/>
      </w:r>
      <w:r w:rsidR="003D5E8F">
        <w:t xml:space="preserve">During the transition period, which started on 17 June 2006 at 0001 hours UTC, the analogue assignments recorded in the GE06 analogue Plan </w:t>
      </w:r>
      <w:r w:rsidR="00300D1C">
        <w:t>continue</w:t>
      </w:r>
      <w:r w:rsidR="003D5E8F">
        <w:t xml:space="preserve"> to be protected.</w:t>
      </w:r>
    </w:p>
    <w:p w:rsidR="003D5E8F" w:rsidRPr="003B6A0C" w:rsidRDefault="003D5E8F" w:rsidP="003D5E8F">
      <w:pPr>
        <w:spacing w:before="136"/>
        <w:rPr>
          <w:b/>
          <w:bCs/>
        </w:rPr>
      </w:pPr>
      <w:r>
        <w:lastRenderedPageBreak/>
        <w:t xml:space="preserve">After the end of the transition period, the Bureau will carry out the following actions with respect to the entries in the analogue Plan according to provision No. </w:t>
      </w:r>
      <w:r w:rsidRPr="003B6A0C">
        <w:t>12.6</w:t>
      </w:r>
      <w:r>
        <w:t xml:space="preserve"> of the GE06 Agreement</w:t>
      </w:r>
      <w:r w:rsidRPr="003B6A0C">
        <w:t>:</w:t>
      </w:r>
      <w:r>
        <w:rPr>
          <w:b/>
          <w:bCs/>
        </w:rPr>
        <w:t xml:space="preserve"> </w:t>
      </w:r>
    </w:p>
    <w:p w:rsidR="003D5E8F" w:rsidRDefault="00277CE3" w:rsidP="00277CE3">
      <w:pPr>
        <w:tabs>
          <w:tab w:val="left" w:pos="851"/>
          <w:tab w:val="left" w:pos="993"/>
        </w:tabs>
        <w:spacing w:before="80"/>
        <w:ind w:left="794" w:hanging="794"/>
      </w:pPr>
      <w:r w:rsidRPr="00277CE3">
        <w:t>–</w:t>
      </w:r>
      <w:r w:rsidR="00DA2443">
        <w:tab/>
      </w:r>
      <w:r w:rsidR="003D5E8F">
        <w:t xml:space="preserve">The analogue Plan entries shall be canceled. </w:t>
      </w:r>
    </w:p>
    <w:p w:rsidR="003D5E8F" w:rsidRDefault="00277CE3" w:rsidP="00277CE3">
      <w:pPr>
        <w:tabs>
          <w:tab w:val="left" w:pos="851"/>
          <w:tab w:val="left" w:pos="993"/>
        </w:tabs>
        <w:spacing w:before="80"/>
        <w:ind w:left="794" w:hanging="794"/>
      </w:pPr>
      <w:r w:rsidRPr="00277CE3">
        <w:t>–</w:t>
      </w:r>
      <w:r w:rsidR="00DA2443">
        <w:tab/>
      </w:r>
      <w:r w:rsidR="003D5E8F">
        <w:t>Provision No. 4.1 of Article 4, referring to the modification of t</w:t>
      </w:r>
      <w:r w:rsidR="00DA2443">
        <w:t>he analogue Plan, will cease to</w:t>
      </w:r>
      <w:r w:rsidR="00DA2443">
        <w:br/>
      </w:r>
      <w:r w:rsidR="003D5E8F">
        <w:t>apply.</w:t>
      </w:r>
    </w:p>
    <w:p w:rsidR="003D5E8F" w:rsidRDefault="00277CE3" w:rsidP="00277CE3">
      <w:pPr>
        <w:tabs>
          <w:tab w:val="left" w:pos="851"/>
          <w:tab w:val="left" w:pos="993"/>
        </w:tabs>
        <w:spacing w:before="80"/>
        <w:ind w:left="794" w:hanging="794"/>
      </w:pPr>
      <w:r w:rsidRPr="00277CE3">
        <w:t>–</w:t>
      </w:r>
      <w:r w:rsidR="00DA2443">
        <w:tab/>
      </w:r>
      <w:r w:rsidR="003D5E8F">
        <w:t>The Plan remarks with respect to analogue assignments will be deleted.</w:t>
      </w:r>
    </w:p>
    <w:p w:rsidR="003D5E8F" w:rsidRDefault="003D5E8F" w:rsidP="00277CE3">
      <w:pPr>
        <w:tabs>
          <w:tab w:val="left" w:pos="851"/>
          <w:tab w:val="left" w:pos="993"/>
        </w:tabs>
      </w:pPr>
      <w:r>
        <w:t xml:space="preserve">After the end of the transition period and in accordance with § 12.7 of the GE06 Agreement, the Bureau </w:t>
      </w:r>
      <w:r w:rsidR="00644878">
        <w:t>wi</w:t>
      </w:r>
      <w:r>
        <w:t xml:space="preserve">ll prepare a list for each Administration with the entries in the </w:t>
      </w:r>
      <w:r w:rsidR="00644878">
        <w:t>Master International Frequency Register (</w:t>
      </w:r>
      <w:r>
        <w:t>MIFR</w:t>
      </w:r>
      <w:r w:rsidR="00644878">
        <w:t>)</w:t>
      </w:r>
      <w:r>
        <w:t xml:space="preserve"> that need to be removed. Following the response from the Administration:</w:t>
      </w:r>
    </w:p>
    <w:p w:rsidR="003D5E8F" w:rsidRDefault="00277CE3" w:rsidP="00277CE3">
      <w:pPr>
        <w:tabs>
          <w:tab w:val="left" w:pos="851"/>
          <w:tab w:val="left" w:pos="993"/>
        </w:tabs>
      </w:pPr>
      <w:r w:rsidRPr="00277CE3">
        <w:t>–</w:t>
      </w:r>
      <w:r w:rsidR="00DA2443">
        <w:tab/>
      </w:r>
      <w:r w:rsidR="003D5E8F">
        <w:t>The Bureau will cancel the relevant entries in the MIFR, if the Administration requests so.</w:t>
      </w:r>
    </w:p>
    <w:p w:rsidR="003D5E8F" w:rsidRDefault="00277CE3" w:rsidP="00277CE3">
      <w:pPr>
        <w:spacing w:before="80"/>
        <w:ind w:left="794" w:hanging="794"/>
        <w:jc w:val="left"/>
      </w:pPr>
      <w:r w:rsidRPr="00277CE3">
        <w:t>–</w:t>
      </w:r>
      <w:r w:rsidR="00DA2443">
        <w:tab/>
      </w:r>
      <w:r w:rsidR="00A75DAA">
        <w:t>If the a</w:t>
      </w:r>
      <w:r w:rsidR="003D5E8F">
        <w:t xml:space="preserve">dministration decides to </w:t>
      </w:r>
      <w:r w:rsidR="00300D1C">
        <w:t>maintain assignments</w:t>
      </w:r>
      <w:r w:rsidR="003D5E8F">
        <w:t xml:space="preserve"> recorded in the MIFR</w:t>
      </w:r>
      <w:r w:rsidR="00CF79D9">
        <w:t>,</w:t>
      </w:r>
      <w:r w:rsidR="00A75DAA">
        <w:t xml:space="preserve"> </w:t>
      </w:r>
      <w:r w:rsidR="00A75DAA">
        <w:rPr>
          <w:iCs/>
        </w:rPr>
        <w:t>t</w:t>
      </w:r>
      <w:r w:rsidR="00A75DAA" w:rsidRPr="00085D65">
        <w:rPr>
          <w:iCs/>
        </w:rPr>
        <w:t xml:space="preserve">he </w:t>
      </w:r>
      <w:r w:rsidR="00A75DAA" w:rsidRPr="003302BD">
        <w:rPr>
          <w:iCs/>
        </w:rPr>
        <w:t>Bureau</w:t>
      </w:r>
      <w:r w:rsidR="00A75DAA">
        <w:rPr>
          <w:iCs/>
        </w:rPr>
        <w:t xml:space="preserve"> will</w:t>
      </w:r>
      <w:r w:rsidR="00A75DAA" w:rsidRPr="00085D65">
        <w:rPr>
          <w:iCs/>
        </w:rPr>
        <w:t xml:space="preserve"> update</w:t>
      </w:r>
      <w:r w:rsidR="00A75DAA">
        <w:rPr>
          <w:iCs/>
        </w:rPr>
        <w:t xml:space="preserve"> </w:t>
      </w:r>
      <w:r w:rsidR="002047C8">
        <w:rPr>
          <w:iCs/>
        </w:rPr>
        <w:t>those assignments</w:t>
      </w:r>
      <w:r w:rsidR="00A75DAA">
        <w:rPr>
          <w:iCs/>
        </w:rPr>
        <w:t xml:space="preserve"> </w:t>
      </w:r>
      <w:r w:rsidR="00A75DAA" w:rsidRPr="00085D65">
        <w:rPr>
          <w:iCs/>
        </w:rPr>
        <w:t>accordingly</w:t>
      </w:r>
      <w:r w:rsidR="00CF79D9">
        <w:rPr>
          <w:iCs/>
        </w:rPr>
        <w:t>,</w:t>
      </w:r>
      <w:r w:rsidR="00A75DAA">
        <w:t xml:space="preserve"> provided that</w:t>
      </w:r>
      <w:r w:rsidR="003D5E8F">
        <w:t xml:space="preserve"> th</w:t>
      </w:r>
      <w:r w:rsidR="002047C8">
        <w:t>ey</w:t>
      </w:r>
      <w:r w:rsidR="00A75DAA">
        <w:t xml:space="preserve"> </w:t>
      </w:r>
      <w:r w:rsidR="003D5E8F">
        <w:t>respond to the following conditions:</w:t>
      </w:r>
    </w:p>
    <w:p w:rsidR="00300D1C" w:rsidRDefault="00277CE3" w:rsidP="00277CE3">
      <w:pPr>
        <w:tabs>
          <w:tab w:val="clear" w:pos="794"/>
          <w:tab w:val="clear" w:pos="1191"/>
          <w:tab w:val="left" w:pos="1418"/>
        </w:tabs>
        <w:spacing w:before="80"/>
        <w:ind w:leftChars="386" w:left="849"/>
      </w:pPr>
      <w:r w:rsidRPr="00277CE3">
        <w:t>•</w:t>
      </w:r>
      <w:r>
        <w:tab/>
      </w:r>
      <w:r w:rsidR="003D5E8F">
        <w:t>were contained in the analogue Plan</w:t>
      </w:r>
      <w:r w:rsidR="00300D1C">
        <w:t>;</w:t>
      </w:r>
    </w:p>
    <w:p w:rsidR="003D5E8F" w:rsidRDefault="00277CE3" w:rsidP="00277CE3">
      <w:pPr>
        <w:tabs>
          <w:tab w:val="clear" w:pos="794"/>
          <w:tab w:val="clear" w:pos="1191"/>
          <w:tab w:val="left" w:pos="1418"/>
        </w:tabs>
        <w:spacing w:before="80"/>
        <w:ind w:leftChars="386" w:left="849"/>
      </w:pPr>
      <w:r w:rsidRPr="00277CE3">
        <w:t>•</w:t>
      </w:r>
      <w:r>
        <w:tab/>
      </w:r>
      <w:r w:rsidR="00300D1C">
        <w:t>a</w:t>
      </w:r>
      <w:r w:rsidR="00644878">
        <w:t>re still in operation</w:t>
      </w:r>
      <w:r w:rsidR="00300D1C">
        <w:t>;</w:t>
      </w:r>
    </w:p>
    <w:p w:rsidR="00300D1C" w:rsidRDefault="00277CE3" w:rsidP="00277CE3">
      <w:pPr>
        <w:tabs>
          <w:tab w:val="clear" w:pos="794"/>
          <w:tab w:val="clear" w:pos="1191"/>
          <w:tab w:val="left" w:pos="851"/>
          <w:tab w:val="left" w:pos="1418"/>
        </w:tabs>
        <w:spacing w:before="80"/>
        <w:ind w:leftChars="386" w:left="849"/>
      </w:pPr>
      <w:r w:rsidRPr="00277CE3">
        <w:t>•</w:t>
      </w:r>
      <w:r>
        <w:tab/>
      </w:r>
      <w:r w:rsidR="00E673C6">
        <w:t>s</w:t>
      </w:r>
      <w:r w:rsidR="003D5E8F">
        <w:t xml:space="preserve">hall not cause unacceptable interference to </w:t>
      </w:r>
      <w:r w:rsidR="00644878">
        <w:t>any assignment</w:t>
      </w:r>
      <w:r w:rsidR="00DA2443">
        <w:t xml:space="preserve"> in conformity with the GE06</w:t>
      </w:r>
      <w:r>
        <w:br/>
      </w:r>
      <w:r>
        <w:tab/>
      </w:r>
      <w:r>
        <w:tab/>
      </w:r>
      <w:r w:rsidR="00202C00">
        <w:t>Agreement and its associated Plan;</w:t>
      </w:r>
    </w:p>
    <w:p w:rsidR="003D5E8F" w:rsidRDefault="003D5E8F" w:rsidP="00277CE3">
      <w:pPr>
        <w:pStyle w:val="ListParagraph"/>
        <w:numPr>
          <w:ilvl w:val="0"/>
          <w:numId w:val="3"/>
        </w:numPr>
        <w:tabs>
          <w:tab w:val="clear" w:pos="794"/>
          <w:tab w:val="clear" w:pos="1191"/>
          <w:tab w:val="left" w:pos="851"/>
          <w:tab w:val="left" w:pos="1418"/>
        </w:tabs>
        <w:spacing w:before="80"/>
        <w:ind w:leftChars="386" w:left="849" w:firstLine="0"/>
      </w:pPr>
      <w:proofErr w:type="gramStart"/>
      <w:r>
        <w:t>shall</w:t>
      </w:r>
      <w:proofErr w:type="gramEnd"/>
      <w:r>
        <w:t xml:space="preserve"> not claim protection from any assignment in con</w:t>
      </w:r>
      <w:r w:rsidR="00300D1C">
        <w:t>for</w:t>
      </w:r>
      <w:r w:rsidR="00DA2443">
        <w:t xml:space="preserve">mity with the GE06 Agreement </w:t>
      </w:r>
      <w:r>
        <w:t>and</w:t>
      </w:r>
      <w:r w:rsidR="00277CE3">
        <w:br/>
      </w:r>
      <w:r w:rsidR="00277CE3">
        <w:tab/>
      </w:r>
      <w:r w:rsidR="00277CE3">
        <w:tab/>
      </w:r>
      <w:r>
        <w:t>its associated Plan.</w:t>
      </w:r>
    </w:p>
    <w:p w:rsidR="006639A1" w:rsidRPr="003D5E8F" w:rsidRDefault="003D5E8F" w:rsidP="00402460">
      <w:pPr>
        <w:tabs>
          <w:tab w:val="clear" w:pos="794"/>
          <w:tab w:val="clear" w:pos="1191"/>
          <w:tab w:val="clear" w:pos="1588"/>
          <w:tab w:val="clear" w:pos="1985"/>
          <w:tab w:val="center" w:pos="7140"/>
        </w:tabs>
        <w:spacing w:before="1418"/>
        <w:jc w:val="left"/>
        <w:rPr>
          <w:rFonts w:asciiTheme="minorHAnsi" w:hAnsiTheme="minorHAnsi" w:cstheme="minorHAnsi"/>
          <w:sz w:val="24"/>
          <w:szCs w:val="24"/>
        </w:rPr>
      </w:pPr>
      <w:r>
        <w:rPr>
          <w:rFonts w:asciiTheme="minorHAnsi" w:hAnsiTheme="minorHAnsi" w:cstheme="minorHAnsi"/>
          <w:sz w:val="24"/>
          <w:szCs w:val="24"/>
        </w:rPr>
        <w:t>F</w:t>
      </w:r>
      <w:r w:rsidR="006639A1" w:rsidRPr="003D5E8F">
        <w:rPr>
          <w:rFonts w:asciiTheme="minorHAnsi" w:hAnsiTheme="minorHAnsi" w:cstheme="minorHAnsi"/>
          <w:sz w:val="24"/>
          <w:szCs w:val="24"/>
        </w:rPr>
        <w:t>rançois</w:t>
      </w:r>
      <w:r w:rsidR="005E53F1" w:rsidRPr="003D5E8F">
        <w:rPr>
          <w:rFonts w:asciiTheme="minorHAnsi" w:hAnsiTheme="minorHAnsi" w:cstheme="minorHAnsi"/>
          <w:sz w:val="24"/>
          <w:szCs w:val="24"/>
        </w:rPr>
        <w:t xml:space="preserve"> </w:t>
      </w:r>
      <w:r w:rsidR="006639A1" w:rsidRPr="003D5E8F">
        <w:rPr>
          <w:rFonts w:asciiTheme="minorHAnsi" w:hAnsiTheme="minorHAnsi" w:cstheme="minorHAnsi"/>
          <w:sz w:val="24"/>
          <w:szCs w:val="24"/>
        </w:rPr>
        <w:t>Rancy</w:t>
      </w:r>
      <w:bookmarkStart w:id="0" w:name="_GoBack"/>
      <w:bookmarkEnd w:id="0"/>
      <w:r w:rsidR="006639A1" w:rsidRPr="003D5E8F">
        <w:rPr>
          <w:rFonts w:asciiTheme="minorHAnsi" w:hAnsiTheme="minorHAnsi" w:cstheme="minorHAnsi"/>
          <w:sz w:val="24"/>
          <w:szCs w:val="24"/>
        </w:rPr>
        <w:br/>
        <w:t>Director</w:t>
      </w:r>
    </w:p>
    <w:p w:rsidR="006639A1" w:rsidRDefault="006639A1" w:rsidP="00E673C6">
      <w:pPr>
        <w:rPr>
          <w:rFonts w:asciiTheme="minorHAnsi" w:hAnsiTheme="minorHAnsi" w:cstheme="minorHAnsi"/>
          <w:b/>
          <w:bCs/>
          <w:sz w:val="24"/>
          <w:szCs w:val="24"/>
        </w:rPr>
      </w:pPr>
    </w:p>
    <w:p w:rsidR="003D5E8F" w:rsidRDefault="003D5E8F" w:rsidP="00E673C6">
      <w:pPr>
        <w:rPr>
          <w:rFonts w:asciiTheme="minorHAnsi" w:hAnsiTheme="minorHAnsi" w:cstheme="minorHAnsi"/>
          <w:b/>
          <w:bCs/>
          <w:sz w:val="24"/>
          <w:szCs w:val="24"/>
        </w:rPr>
      </w:pPr>
    </w:p>
    <w:p w:rsidR="003D5E8F" w:rsidRDefault="003D5E8F" w:rsidP="00E673C6">
      <w:pPr>
        <w:rPr>
          <w:rFonts w:asciiTheme="minorHAnsi" w:hAnsiTheme="minorHAnsi" w:cstheme="minorHAnsi"/>
          <w:b/>
          <w:bCs/>
          <w:sz w:val="24"/>
          <w:szCs w:val="24"/>
        </w:rPr>
      </w:pPr>
    </w:p>
    <w:p w:rsidR="003D5E8F" w:rsidRDefault="003D5E8F" w:rsidP="00E673C6">
      <w:pPr>
        <w:rPr>
          <w:rFonts w:asciiTheme="minorHAnsi" w:hAnsiTheme="minorHAnsi" w:cstheme="minorHAnsi"/>
          <w:b/>
          <w:bCs/>
          <w:sz w:val="24"/>
          <w:szCs w:val="24"/>
        </w:rPr>
      </w:pPr>
    </w:p>
    <w:p w:rsidR="003D5E8F" w:rsidRDefault="003D5E8F" w:rsidP="00E673C6">
      <w:pPr>
        <w:rPr>
          <w:rFonts w:asciiTheme="minorHAnsi" w:hAnsiTheme="minorHAnsi" w:cstheme="minorHAnsi"/>
          <w:b/>
          <w:bCs/>
          <w:sz w:val="24"/>
          <w:szCs w:val="24"/>
        </w:rPr>
      </w:pPr>
    </w:p>
    <w:p w:rsidR="00E234D1" w:rsidRDefault="00E234D1" w:rsidP="00E673C6">
      <w:pPr>
        <w:rPr>
          <w:rFonts w:asciiTheme="minorHAnsi" w:hAnsiTheme="minorHAnsi" w:cstheme="minorHAnsi"/>
          <w:sz w:val="24"/>
          <w:szCs w:val="24"/>
        </w:rPr>
      </w:pPr>
    </w:p>
    <w:p w:rsidR="005A6EDE" w:rsidRPr="003D5E8F" w:rsidRDefault="005A6EDE" w:rsidP="00E673C6">
      <w:pPr>
        <w:rPr>
          <w:rFonts w:asciiTheme="minorHAnsi" w:hAnsiTheme="minorHAnsi" w:cstheme="minorHAnsi"/>
          <w:sz w:val="24"/>
          <w:szCs w:val="24"/>
        </w:rPr>
      </w:pPr>
    </w:p>
    <w:p w:rsidR="00E234D1" w:rsidRPr="003D5E8F" w:rsidRDefault="006639A1" w:rsidP="00E234D1">
      <w:pPr>
        <w:tabs>
          <w:tab w:val="left" w:pos="284"/>
          <w:tab w:val="left" w:pos="568"/>
        </w:tabs>
        <w:spacing w:after="160"/>
        <w:rPr>
          <w:rFonts w:asciiTheme="minorHAnsi" w:hAnsiTheme="minorHAnsi" w:cstheme="minorHAnsi"/>
          <w:b/>
          <w:bCs/>
          <w:sz w:val="18"/>
          <w:szCs w:val="18"/>
        </w:rPr>
      </w:pPr>
      <w:bookmarkStart w:id="1" w:name="ddistribution"/>
      <w:bookmarkEnd w:id="1"/>
      <w:r w:rsidRPr="00202C00">
        <w:rPr>
          <w:rFonts w:asciiTheme="minorHAnsi" w:hAnsiTheme="minorHAnsi" w:cstheme="minorHAnsi"/>
          <w:b/>
          <w:bCs/>
          <w:sz w:val="18"/>
          <w:szCs w:val="18"/>
          <w:u w:val="single"/>
        </w:rPr>
        <w:t>Distribution</w:t>
      </w:r>
      <w:r w:rsidRPr="003D5E8F">
        <w:rPr>
          <w:rFonts w:asciiTheme="minorHAnsi" w:hAnsiTheme="minorHAnsi" w:cstheme="minorHAnsi"/>
          <w:b/>
          <w:bCs/>
          <w:sz w:val="18"/>
          <w:szCs w:val="18"/>
        </w:rPr>
        <w:t>:</w:t>
      </w:r>
    </w:p>
    <w:p w:rsidR="006639A1" w:rsidRPr="00402460" w:rsidRDefault="00E234D1" w:rsidP="004425DC">
      <w:pPr>
        <w:spacing w:before="0" w:line="240" w:lineRule="auto"/>
        <w:ind w:left="426" w:hanging="426"/>
        <w:jc w:val="left"/>
        <w:rPr>
          <w:rFonts w:asciiTheme="minorHAnsi" w:hAnsiTheme="minorHAnsi" w:cstheme="minorHAnsi"/>
          <w:sz w:val="18"/>
          <w:szCs w:val="18"/>
        </w:rPr>
      </w:pPr>
      <w:r w:rsidRPr="00402460">
        <w:rPr>
          <w:rFonts w:asciiTheme="minorHAnsi" w:hAnsiTheme="minorHAnsi" w:cstheme="minorHAnsi"/>
          <w:sz w:val="18"/>
          <w:szCs w:val="18"/>
        </w:rPr>
        <w:t>–</w:t>
      </w:r>
      <w:r w:rsidRPr="00402460">
        <w:rPr>
          <w:rFonts w:asciiTheme="minorHAnsi" w:hAnsiTheme="minorHAnsi" w:cstheme="minorHAnsi"/>
          <w:sz w:val="18"/>
          <w:szCs w:val="18"/>
        </w:rPr>
        <w:tab/>
      </w:r>
      <w:r w:rsidR="006639A1" w:rsidRPr="00402460">
        <w:rPr>
          <w:rFonts w:asciiTheme="minorHAnsi" w:hAnsiTheme="minorHAnsi" w:cstheme="minorHAnsi"/>
          <w:sz w:val="18"/>
          <w:szCs w:val="18"/>
        </w:rPr>
        <w:t>Administrations of Member States of the ITU</w:t>
      </w:r>
    </w:p>
    <w:p w:rsidR="006639A1" w:rsidRPr="00402460" w:rsidRDefault="006639A1" w:rsidP="004425DC">
      <w:pPr>
        <w:spacing w:before="0" w:line="240" w:lineRule="auto"/>
        <w:ind w:left="426" w:hanging="426"/>
        <w:jc w:val="left"/>
        <w:rPr>
          <w:rFonts w:asciiTheme="minorHAnsi" w:hAnsiTheme="minorHAnsi" w:cstheme="minorHAnsi"/>
          <w:sz w:val="18"/>
          <w:szCs w:val="18"/>
        </w:rPr>
      </w:pPr>
      <w:r w:rsidRPr="00402460">
        <w:rPr>
          <w:rFonts w:asciiTheme="minorHAnsi" w:hAnsiTheme="minorHAnsi" w:cstheme="minorHAnsi"/>
          <w:sz w:val="18"/>
          <w:szCs w:val="18"/>
        </w:rPr>
        <w:t>–</w:t>
      </w:r>
      <w:r w:rsidRPr="00402460">
        <w:rPr>
          <w:rFonts w:asciiTheme="minorHAnsi" w:hAnsiTheme="minorHAnsi" w:cstheme="minorHAnsi"/>
          <w:sz w:val="18"/>
          <w:szCs w:val="18"/>
        </w:rPr>
        <w:tab/>
        <w:t>Members of the Radio Regulations Board</w:t>
      </w:r>
    </w:p>
    <w:sectPr w:rsidR="006639A1" w:rsidRPr="00402460" w:rsidSect="004425DC">
      <w:headerReference w:type="even" r:id="rId8"/>
      <w:headerReference w:type="default" r:id="rId9"/>
      <w:headerReference w:type="first" r:id="rId10"/>
      <w:footerReference w:type="first" r:id="rId11"/>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B5F" w:rsidRDefault="00E02B5F">
      <w:r>
        <w:separator/>
      </w:r>
    </w:p>
  </w:endnote>
  <w:endnote w:type="continuationSeparator" w:id="0">
    <w:p w:rsidR="00E02B5F" w:rsidRDefault="00E0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3C6" w:rsidRPr="005E5EB3" w:rsidRDefault="00E673C6"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B5F" w:rsidRDefault="00E02B5F">
      <w:r>
        <w:t>____________________</w:t>
      </w:r>
    </w:p>
  </w:footnote>
  <w:footnote w:type="continuationSeparator" w:id="0">
    <w:p w:rsidR="00E02B5F" w:rsidRDefault="00E02B5F">
      <w:r>
        <w:continuationSeparator/>
      </w:r>
    </w:p>
  </w:footnote>
  <w:footnote w:id="1">
    <w:p w:rsidR="00E673C6" w:rsidRPr="00EE7789" w:rsidRDefault="00E673C6" w:rsidP="00300D1C">
      <w:pPr>
        <w:pStyle w:val="FootnoteText"/>
        <w:rPr>
          <w:i/>
          <w:iCs/>
        </w:rPr>
      </w:pPr>
      <w:r>
        <w:rPr>
          <w:rStyle w:val="FootnoteReference"/>
        </w:rPr>
        <w:footnoteRef/>
      </w:r>
      <w:r>
        <w:tab/>
      </w:r>
      <w:r>
        <w:rPr>
          <w:i/>
          <w:iCs/>
        </w:rPr>
        <w:t xml:space="preserve">This Administrative Circular is primarily addressed to the ITU Member States of Region 1 (except Mongolia) and to the Islamic Republic of Iran. It is for information only for other ITU Member States </w:t>
      </w:r>
      <w:r>
        <w:rPr>
          <w:i/>
          <w:iCs/>
          <w:szCs w:val="24"/>
        </w:rPr>
        <w:t>outside the planning area of the GE06 Agreement</w:t>
      </w:r>
      <w:r>
        <w:rPr>
          <w:i/>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26099477"/>
      <w:docPartObj>
        <w:docPartGallery w:val="Page Numbers (Top of Page)"/>
        <w:docPartUnique/>
      </w:docPartObj>
    </w:sdtPr>
    <w:sdtEndPr>
      <w:rPr>
        <w:noProof/>
      </w:rPr>
    </w:sdtEndPr>
    <w:sdtContent>
      <w:p w:rsidR="00E673C6" w:rsidRPr="00402460" w:rsidRDefault="00E673C6" w:rsidP="0094796F">
        <w:pPr>
          <w:pStyle w:val="Header"/>
          <w:tabs>
            <w:tab w:val="clear" w:pos="794"/>
            <w:tab w:val="clear" w:pos="4820"/>
            <w:tab w:val="clear" w:pos="9639"/>
          </w:tabs>
          <w:jc w:val="center"/>
          <w:rPr>
            <w:sz w:val="18"/>
            <w:szCs w:val="18"/>
          </w:rPr>
        </w:pPr>
        <w:r w:rsidRPr="00402460">
          <w:rPr>
            <w:sz w:val="18"/>
            <w:szCs w:val="18"/>
          </w:rPr>
          <w:t xml:space="preserve">- </w:t>
        </w:r>
        <w:r w:rsidRPr="00402460">
          <w:rPr>
            <w:rStyle w:val="PageNumber"/>
            <w:sz w:val="18"/>
            <w:szCs w:val="18"/>
          </w:rPr>
          <w:fldChar w:fldCharType="begin"/>
        </w:r>
        <w:r w:rsidRPr="00402460">
          <w:rPr>
            <w:rStyle w:val="PageNumber"/>
            <w:sz w:val="18"/>
            <w:szCs w:val="18"/>
          </w:rPr>
          <w:instrText xml:space="preserve"> PAGE </w:instrText>
        </w:r>
        <w:r w:rsidRPr="00402460">
          <w:rPr>
            <w:rStyle w:val="PageNumber"/>
            <w:sz w:val="18"/>
            <w:szCs w:val="18"/>
          </w:rPr>
          <w:fldChar w:fldCharType="separate"/>
        </w:r>
        <w:r w:rsidR="00277CE3">
          <w:rPr>
            <w:rStyle w:val="PageNumber"/>
            <w:noProof/>
            <w:sz w:val="18"/>
            <w:szCs w:val="18"/>
          </w:rPr>
          <w:t>2</w:t>
        </w:r>
        <w:r w:rsidRPr="00402460">
          <w:rPr>
            <w:rStyle w:val="PageNumber"/>
            <w:sz w:val="18"/>
            <w:szCs w:val="18"/>
          </w:rPr>
          <w:fldChar w:fldCharType="end"/>
        </w:r>
        <w:r w:rsidRPr="00402460">
          <w:rPr>
            <w:rStyle w:val="PageNumber"/>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525053897"/>
      <w:docPartObj>
        <w:docPartGallery w:val="Page Numbers (Top of Page)"/>
        <w:docPartUnique/>
      </w:docPartObj>
    </w:sdtPr>
    <w:sdtEndPr>
      <w:rPr>
        <w:noProof/>
      </w:rPr>
    </w:sdtEndPr>
    <w:sdtContent>
      <w:p w:rsidR="00E673C6" w:rsidRPr="00402460" w:rsidRDefault="00E673C6" w:rsidP="00E234D1">
        <w:pPr>
          <w:pStyle w:val="Header"/>
          <w:tabs>
            <w:tab w:val="clear" w:pos="794"/>
          </w:tabs>
          <w:jc w:val="center"/>
          <w:rPr>
            <w:noProof/>
            <w:sz w:val="18"/>
            <w:szCs w:val="18"/>
          </w:rPr>
        </w:pPr>
        <w:r w:rsidRPr="00402460">
          <w:rPr>
            <w:sz w:val="18"/>
            <w:szCs w:val="18"/>
          </w:rPr>
          <w:t xml:space="preserve">- </w:t>
        </w:r>
        <w:r w:rsidRPr="00402460">
          <w:rPr>
            <w:rStyle w:val="PageNumber"/>
            <w:sz w:val="18"/>
            <w:szCs w:val="18"/>
          </w:rPr>
          <w:fldChar w:fldCharType="begin"/>
        </w:r>
        <w:r w:rsidRPr="00402460">
          <w:rPr>
            <w:rStyle w:val="PageNumber"/>
            <w:sz w:val="18"/>
            <w:szCs w:val="18"/>
          </w:rPr>
          <w:instrText xml:space="preserve"> PAGE </w:instrText>
        </w:r>
        <w:r w:rsidRPr="00402460">
          <w:rPr>
            <w:rStyle w:val="PageNumber"/>
            <w:sz w:val="18"/>
            <w:szCs w:val="18"/>
          </w:rPr>
          <w:fldChar w:fldCharType="separate"/>
        </w:r>
        <w:r w:rsidR="00DA2443">
          <w:rPr>
            <w:rStyle w:val="PageNumber"/>
            <w:noProof/>
            <w:sz w:val="18"/>
            <w:szCs w:val="18"/>
          </w:rPr>
          <w:t>3</w:t>
        </w:r>
        <w:r w:rsidRPr="00402460">
          <w:rPr>
            <w:rStyle w:val="PageNumber"/>
            <w:sz w:val="18"/>
            <w:szCs w:val="18"/>
          </w:rPr>
          <w:fldChar w:fldCharType="end"/>
        </w:r>
        <w:r w:rsidRPr="00402460">
          <w:rPr>
            <w:rStyle w:val="PageNumber"/>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3C6" w:rsidRPr="00EA15B3" w:rsidRDefault="00E673C6" w:rsidP="00EA15B3">
    <w:pPr>
      <w:pStyle w:val="Header"/>
      <w:spacing w:line="360" w:lineRule="auto"/>
    </w:pPr>
    <w:r>
      <w:tab/>
    </w:r>
    <w:r>
      <w:tab/>
    </w:r>
    <w:r>
      <w:rPr>
        <w:b/>
        <w:bCs/>
        <w:noProof/>
        <w:lang w:eastAsia="zh-CN"/>
      </w:rPr>
      <w:drawing>
        <wp:inline distT="0" distB="0" distL="0" distR="0" wp14:anchorId="204145FB" wp14:editId="0326602A">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82C1EEE"/>
    <w:multiLevelType w:val="hybridMultilevel"/>
    <w:tmpl w:val="9B3607E8"/>
    <w:lvl w:ilvl="0" w:tplc="75629354">
      <w:start w:val="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ED30B1"/>
    <w:multiLevelType w:val="hybridMultilevel"/>
    <w:tmpl w:val="BD16AE18"/>
    <w:lvl w:ilvl="0" w:tplc="33000434">
      <w:numFmt w:val="bullet"/>
      <w:lvlText w:val="•"/>
      <w:lvlJc w:val="left"/>
      <w:pPr>
        <w:ind w:left="2055" w:hanging="360"/>
      </w:pPr>
      <w:rPr>
        <w:rFonts w:ascii="Calibri" w:eastAsia="Times New Roman" w:hAnsi="Calibri" w:cs="Calibri" w:hint="default"/>
      </w:rPr>
    </w:lvl>
    <w:lvl w:ilvl="1" w:tplc="04090003" w:tentative="1">
      <w:start w:val="1"/>
      <w:numFmt w:val="bullet"/>
      <w:lvlText w:val="o"/>
      <w:lvlJc w:val="left"/>
      <w:pPr>
        <w:ind w:left="2775" w:hanging="360"/>
      </w:pPr>
      <w:rPr>
        <w:rFonts w:ascii="Courier New" w:hAnsi="Courier New" w:cs="Courier New" w:hint="default"/>
      </w:rPr>
    </w:lvl>
    <w:lvl w:ilvl="2" w:tplc="04090005" w:tentative="1">
      <w:start w:val="1"/>
      <w:numFmt w:val="bullet"/>
      <w:lvlText w:val=""/>
      <w:lvlJc w:val="left"/>
      <w:pPr>
        <w:ind w:left="3495" w:hanging="360"/>
      </w:pPr>
      <w:rPr>
        <w:rFonts w:ascii="Wingdings" w:hAnsi="Wingdings" w:hint="default"/>
      </w:rPr>
    </w:lvl>
    <w:lvl w:ilvl="3" w:tplc="04090001" w:tentative="1">
      <w:start w:val="1"/>
      <w:numFmt w:val="bullet"/>
      <w:lvlText w:val=""/>
      <w:lvlJc w:val="left"/>
      <w:pPr>
        <w:ind w:left="4215" w:hanging="360"/>
      </w:pPr>
      <w:rPr>
        <w:rFonts w:ascii="Symbol" w:hAnsi="Symbol" w:hint="default"/>
      </w:rPr>
    </w:lvl>
    <w:lvl w:ilvl="4" w:tplc="04090003" w:tentative="1">
      <w:start w:val="1"/>
      <w:numFmt w:val="bullet"/>
      <w:lvlText w:val="o"/>
      <w:lvlJc w:val="left"/>
      <w:pPr>
        <w:ind w:left="4935" w:hanging="360"/>
      </w:pPr>
      <w:rPr>
        <w:rFonts w:ascii="Courier New" w:hAnsi="Courier New" w:cs="Courier New" w:hint="default"/>
      </w:rPr>
    </w:lvl>
    <w:lvl w:ilvl="5" w:tplc="04090005" w:tentative="1">
      <w:start w:val="1"/>
      <w:numFmt w:val="bullet"/>
      <w:lvlText w:val=""/>
      <w:lvlJc w:val="left"/>
      <w:pPr>
        <w:ind w:left="5655" w:hanging="360"/>
      </w:pPr>
      <w:rPr>
        <w:rFonts w:ascii="Wingdings" w:hAnsi="Wingdings" w:hint="default"/>
      </w:rPr>
    </w:lvl>
    <w:lvl w:ilvl="6" w:tplc="04090001" w:tentative="1">
      <w:start w:val="1"/>
      <w:numFmt w:val="bullet"/>
      <w:lvlText w:val=""/>
      <w:lvlJc w:val="left"/>
      <w:pPr>
        <w:ind w:left="6375" w:hanging="360"/>
      </w:pPr>
      <w:rPr>
        <w:rFonts w:ascii="Symbol" w:hAnsi="Symbol" w:hint="default"/>
      </w:rPr>
    </w:lvl>
    <w:lvl w:ilvl="7" w:tplc="04090003" w:tentative="1">
      <w:start w:val="1"/>
      <w:numFmt w:val="bullet"/>
      <w:lvlText w:val="o"/>
      <w:lvlJc w:val="left"/>
      <w:pPr>
        <w:ind w:left="7095" w:hanging="360"/>
      </w:pPr>
      <w:rPr>
        <w:rFonts w:ascii="Courier New" w:hAnsi="Courier New" w:cs="Courier New" w:hint="default"/>
      </w:rPr>
    </w:lvl>
    <w:lvl w:ilvl="8" w:tplc="04090005" w:tentative="1">
      <w:start w:val="1"/>
      <w:numFmt w:val="bullet"/>
      <w:lvlText w:val=""/>
      <w:lvlJc w:val="left"/>
      <w:pPr>
        <w:ind w:left="7815" w:hanging="360"/>
      </w:pPr>
      <w:rPr>
        <w:rFonts w:ascii="Wingdings" w:hAnsi="Wingdings" w:hint="default"/>
      </w:rPr>
    </w:lvl>
  </w:abstractNum>
  <w:abstractNum w:abstractNumId="6">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639A1"/>
    <w:rsid w:val="0000542C"/>
    <w:rsid w:val="00006A31"/>
    <w:rsid w:val="00006C82"/>
    <w:rsid w:val="00010E30"/>
    <w:rsid w:val="00015C76"/>
    <w:rsid w:val="00021423"/>
    <w:rsid w:val="00026CF8"/>
    <w:rsid w:val="00030BD7"/>
    <w:rsid w:val="00031E64"/>
    <w:rsid w:val="00034340"/>
    <w:rsid w:val="00045A8D"/>
    <w:rsid w:val="0005167A"/>
    <w:rsid w:val="00053E40"/>
    <w:rsid w:val="00054E5D"/>
    <w:rsid w:val="00070258"/>
    <w:rsid w:val="0007323C"/>
    <w:rsid w:val="00086D03"/>
    <w:rsid w:val="000A096A"/>
    <w:rsid w:val="000A375E"/>
    <w:rsid w:val="000A6BAF"/>
    <w:rsid w:val="000A7051"/>
    <w:rsid w:val="000B0AF6"/>
    <w:rsid w:val="000B0E9B"/>
    <w:rsid w:val="000B2CAE"/>
    <w:rsid w:val="000B3980"/>
    <w:rsid w:val="000C03C7"/>
    <w:rsid w:val="000C2AD0"/>
    <w:rsid w:val="000C4736"/>
    <w:rsid w:val="000D27E2"/>
    <w:rsid w:val="000D34CB"/>
    <w:rsid w:val="000E0DB6"/>
    <w:rsid w:val="000E3DEE"/>
    <w:rsid w:val="000E3FDF"/>
    <w:rsid w:val="00100B72"/>
    <w:rsid w:val="00101F7D"/>
    <w:rsid w:val="00103C76"/>
    <w:rsid w:val="0011265F"/>
    <w:rsid w:val="00117282"/>
    <w:rsid w:val="00117389"/>
    <w:rsid w:val="00121C2D"/>
    <w:rsid w:val="00134404"/>
    <w:rsid w:val="00140E8A"/>
    <w:rsid w:val="00143831"/>
    <w:rsid w:val="00144DFB"/>
    <w:rsid w:val="00187CA3"/>
    <w:rsid w:val="00196710"/>
    <w:rsid w:val="00197324"/>
    <w:rsid w:val="001A038D"/>
    <w:rsid w:val="001B351B"/>
    <w:rsid w:val="001C06DB"/>
    <w:rsid w:val="001C6971"/>
    <w:rsid w:val="001D2785"/>
    <w:rsid w:val="001D7070"/>
    <w:rsid w:val="001E10BE"/>
    <w:rsid w:val="001F2170"/>
    <w:rsid w:val="001F3948"/>
    <w:rsid w:val="001F3F32"/>
    <w:rsid w:val="001F5A49"/>
    <w:rsid w:val="00201097"/>
    <w:rsid w:val="00201B6E"/>
    <w:rsid w:val="00202C00"/>
    <w:rsid w:val="002047C8"/>
    <w:rsid w:val="00211EFE"/>
    <w:rsid w:val="00225764"/>
    <w:rsid w:val="002302B3"/>
    <w:rsid w:val="00230C66"/>
    <w:rsid w:val="00235A29"/>
    <w:rsid w:val="00241526"/>
    <w:rsid w:val="002443A2"/>
    <w:rsid w:val="0026490D"/>
    <w:rsid w:val="00266E74"/>
    <w:rsid w:val="002678F1"/>
    <w:rsid w:val="00277CE3"/>
    <w:rsid w:val="00283C3B"/>
    <w:rsid w:val="002861E6"/>
    <w:rsid w:val="00287D18"/>
    <w:rsid w:val="002A2618"/>
    <w:rsid w:val="002A5DD7"/>
    <w:rsid w:val="002B0CAC"/>
    <w:rsid w:val="002D5A15"/>
    <w:rsid w:val="002D5BDD"/>
    <w:rsid w:val="002E3D27"/>
    <w:rsid w:val="002F0890"/>
    <w:rsid w:val="002F2531"/>
    <w:rsid w:val="002F38F8"/>
    <w:rsid w:val="002F4967"/>
    <w:rsid w:val="00300D1C"/>
    <w:rsid w:val="00316935"/>
    <w:rsid w:val="00317A36"/>
    <w:rsid w:val="003266ED"/>
    <w:rsid w:val="003302BD"/>
    <w:rsid w:val="003370B8"/>
    <w:rsid w:val="00345D38"/>
    <w:rsid w:val="00352097"/>
    <w:rsid w:val="00365EDE"/>
    <w:rsid w:val="003666FF"/>
    <w:rsid w:val="0037309C"/>
    <w:rsid w:val="0037604A"/>
    <w:rsid w:val="00380A6E"/>
    <w:rsid w:val="003836D4"/>
    <w:rsid w:val="003A1F49"/>
    <w:rsid w:val="003A5D52"/>
    <w:rsid w:val="003B2BDA"/>
    <w:rsid w:val="003B55EC"/>
    <w:rsid w:val="003C2EA7"/>
    <w:rsid w:val="003C4471"/>
    <w:rsid w:val="003C7D41"/>
    <w:rsid w:val="003D3762"/>
    <w:rsid w:val="003D4A69"/>
    <w:rsid w:val="003D5E8F"/>
    <w:rsid w:val="003E504F"/>
    <w:rsid w:val="003E78D6"/>
    <w:rsid w:val="00400573"/>
    <w:rsid w:val="004007A3"/>
    <w:rsid w:val="00402460"/>
    <w:rsid w:val="00406D71"/>
    <w:rsid w:val="004326DB"/>
    <w:rsid w:val="0043682E"/>
    <w:rsid w:val="004425DC"/>
    <w:rsid w:val="00442CD2"/>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07BEA"/>
    <w:rsid w:val="005224A1"/>
    <w:rsid w:val="00534372"/>
    <w:rsid w:val="00543DF8"/>
    <w:rsid w:val="00546101"/>
    <w:rsid w:val="00553DD7"/>
    <w:rsid w:val="0056051D"/>
    <w:rsid w:val="005638CF"/>
    <w:rsid w:val="0056741E"/>
    <w:rsid w:val="0057325A"/>
    <w:rsid w:val="0057469A"/>
    <w:rsid w:val="00580814"/>
    <w:rsid w:val="005821B3"/>
    <w:rsid w:val="00583A0B"/>
    <w:rsid w:val="005A03A3"/>
    <w:rsid w:val="005A2B92"/>
    <w:rsid w:val="005A6EDE"/>
    <w:rsid w:val="005A79E9"/>
    <w:rsid w:val="005B214C"/>
    <w:rsid w:val="005D0AB9"/>
    <w:rsid w:val="005D3669"/>
    <w:rsid w:val="005E53F1"/>
    <w:rsid w:val="005E5EB3"/>
    <w:rsid w:val="005F3CB6"/>
    <w:rsid w:val="005F657C"/>
    <w:rsid w:val="00602D53"/>
    <w:rsid w:val="006047E5"/>
    <w:rsid w:val="0061712E"/>
    <w:rsid w:val="006373BF"/>
    <w:rsid w:val="0064371D"/>
    <w:rsid w:val="00644878"/>
    <w:rsid w:val="00650B2A"/>
    <w:rsid w:val="00651777"/>
    <w:rsid w:val="006550F8"/>
    <w:rsid w:val="00656226"/>
    <w:rsid w:val="006639A1"/>
    <w:rsid w:val="006829F3"/>
    <w:rsid w:val="006904A3"/>
    <w:rsid w:val="00691E13"/>
    <w:rsid w:val="006A518B"/>
    <w:rsid w:val="006B0590"/>
    <w:rsid w:val="006B49DA"/>
    <w:rsid w:val="006C53F8"/>
    <w:rsid w:val="006C7CDE"/>
    <w:rsid w:val="007234B1"/>
    <w:rsid w:val="00723D08"/>
    <w:rsid w:val="00725FDA"/>
    <w:rsid w:val="00727816"/>
    <w:rsid w:val="00730B9A"/>
    <w:rsid w:val="0075053F"/>
    <w:rsid w:val="00750CFA"/>
    <w:rsid w:val="007553DA"/>
    <w:rsid w:val="00782354"/>
    <w:rsid w:val="007921A7"/>
    <w:rsid w:val="007B35EB"/>
    <w:rsid w:val="007B3DB1"/>
    <w:rsid w:val="007D183E"/>
    <w:rsid w:val="007D43D0"/>
    <w:rsid w:val="007E1833"/>
    <w:rsid w:val="007E2CF9"/>
    <w:rsid w:val="007E3F13"/>
    <w:rsid w:val="007E4790"/>
    <w:rsid w:val="007F751A"/>
    <w:rsid w:val="00800012"/>
    <w:rsid w:val="0080261F"/>
    <w:rsid w:val="00806160"/>
    <w:rsid w:val="008143A4"/>
    <w:rsid w:val="00814884"/>
    <w:rsid w:val="0081513E"/>
    <w:rsid w:val="00854131"/>
    <w:rsid w:val="0085652D"/>
    <w:rsid w:val="00856872"/>
    <w:rsid w:val="0087694B"/>
    <w:rsid w:val="00880F4D"/>
    <w:rsid w:val="0088655E"/>
    <w:rsid w:val="0089275B"/>
    <w:rsid w:val="008A49FC"/>
    <w:rsid w:val="008B35A3"/>
    <w:rsid w:val="008B37E1"/>
    <w:rsid w:val="008B45F8"/>
    <w:rsid w:val="008C0BE8"/>
    <w:rsid w:val="008C2E74"/>
    <w:rsid w:val="008D5409"/>
    <w:rsid w:val="008E006D"/>
    <w:rsid w:val="008E38B4"/>
    <w:rsid w:val="008F4F21"/>
    <w:rsid w:val="00904D4A"/>
    <w:rsid w:val="009151BA"/>
    <w:rsid w:val="00925023"/>
    <w:rsid w:val="00926F55"/>
    <w:rsid w:val="009277BC"/>
    <w:rsid w:val="00927D57"/>
    <w:rsid w:val="00931A51"/>
    <w:rsid w:val="00947185"/>
    <w:rsid w:val="0094796F"/>
    <w:rsid w:val="00947D2B"/>
    <w:rsid w:val="009518B3"/>
    <w:rsid w:val="00963D9D"/>
    <w:rsid w:val="009741CF"/>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4187"/>
    <w:rsid w:val="00A119E6"/>
    <w:rsid w:val="00A20FBC"/>
    <w:rsid w:val="00A23BCF"/>
    <w:rsid w:val="00A31370"/>
    <w:rsid w:val="00A34D6F"/>
    <w:rsid w:val="00A41783"/>
    <w:rsid w:val="00A41F91"/>
    <w:rsid w:val="00A514D0"/>
    <w:rsid w:val="00A63355"/>
    <w:rsid w:val="00A7596D"/>
    <w:rsid w:val="00A75DAA"/>
    <w:rsid w:val="00A963DF"/>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09C2"/>
    <w:rsid w:val="00B649D7"/>
    <w:rsid w:val="00B81C2F"/>
    <w:rsid w:val="00B90743"/>
    <w:rsid w:val="00B90C45"/>
    <w:rsid w:val="00B933BE"/>
    <w:rsid w:val="00BD6738"/>
    <w:rsid w:val="00BD7E5E"/>
    <w:rsid w:val="00BE63DB"/>
    <w:rsid w:val="00BE6574"/>
    <w:rsid w:val="00C07319"/>
    <w:rsid w:val="00C16FD2"/>
    <w:rsid w:val="00C40A7B"/>
    <w:rsid w:val="00C4395E"/>
    <w:rsid w:val="00C47FFD"/>
    <w:rsid w:val="00C51E92"/>
    <w:rsid w:val="00C57E2C"/>
    <w:rsid w:val="00C608B7"/>
    <w:rsid w:val="00C66F24"/>
    <w:rsid w:val="00C75677"/>
    <w:rsid w:val="00C76D7F"/>
    <w:rsid w:val="00C813AA"/>
    <w:rsid w:val="00C818D7"/>
    <w:rsid w:val="00C9291E"/>
    <w:rsid w:val="00CA3F44"/>
    <w:rsid w:val="00CA4E58"/>
    <w:rsid w:val="00CB3771"/>
    <w:rsid w:val="00CB44BF"/>
    <w:rsid w:val="00CB5153"/>
    <w:rsid w:val="00CE076A"/>
    <w:rsid w:val="00CE463D"/>
    <w:rsid w:val="00CF79D9"/>
    <w:rsid w:val="00D10BA0"/>
    <w:rsid w:val="00D146B1"/>
    <w:rsid w:val="00D21694"/>
    <w:rsid w:val="00D24EB5"/>
    <w:rsid w:val="00D35AB9"/>
    <w:rsid w:val="00D41571"/>
    <w:rsid w:val="00D416A0"/>
    <w:rsid w:val="00D44117"/>
    <w:rsid w:val="00D47672"/>
    <w:rsid w:val="00D5123C"/>
    <w:rsid w:val="00D55560"/>
    <w:rsid w:val="00D61C5A"/>
    <w:rsid w:val="00D6790C"/>
    <w:rsid w:val="00D73277"/>
    <w:rsid w:val="00D76586"/>
    <w:rsid w:val="00D82657"/>
    <w:rsid w:val="00D84BF7"/>
    <w:rsid w:val="00D87E20"/>
    <w:rsid w:val="00DA2443"/>
    <w:rsid w:val="00DA4037"/>
    <w:rsid w:val="00DB4E75"/>
    <w:rsid w:val="00DD2284"/>
    <w:rsid w:val="00DE66A5"/>
    <w:rsid w:val="00DF2B50"/>
    <w:rsid w:val="00E02B5F"/>
    <w:rsid w:val="00E04C86"/>
    <w:rsid w:val="00E17344"/>
    <w:rsid w:val="00E20F30"/>
    <w:rsid w:val="00E2189C"/>
    <w:rsid w:val="00E234D1"/>
    <w:rsid w:val="00E25BB1"/>
    <w:rsid w:val="00E27BBA"/>
    <w:rsid w:val="00E30E3F"/>
    <w:rsid w:val="00E35E8F"/>
    <w:rsid w:val="00E428AB"/>
    <w:rsid w:val="00E438E8"/>
    <w:rsid w:val="00E453A3"/>
    <w:rsid w:val="00E520E2"/>
    <w:rsid w:val="00E530C4"/>
    <w:rsid w:val="00E55996"/>
    <w:rsid w:val="00E626C1"/>
    <w:rsid w:val="00E64254"/>
    <w:rsid w:val="00E673C6"/>
    <w:rsid w:val="00E67928"/>
    <w:rsid w:val="00E70FB5"/>
    <w:rsid w:val="00E915AF"/>
    <w:rsid w:val="00E916C3"/>
    <w:rsid w:val="00E96415"/>
    <w:rsid w:val="00EA15B3"/>
    <w:rsid w:val="00EA3506"/>
    <w:rsid w:val="00EB2358"/>
    <w:rsid w:val="00EB3EB8"/>
    <w:rsid w:val="00EB7C80"/>
    <w:rsid w:val="00EC02FE"/>
    <w:rsid w:val="00EC4A96"/>
    <w:rsid w:val="00EF1988"/>
    <w:rsid w:val="00EF7E55"/>
    <w:rsid w:val="00F133E2"/>
    <w:rsid w:val="00F424BF"/>
    <w:rsid w:val="00F44FC3"/>
    <w:rsid w:val="00F46107"/>
    <w:rsid w:val="00F468C5"/>
    <w:rsid w:val="00F4754F"/>
    <w:rsid w:val="00F47A16"/>
    <w:rsid w:val="00F52F39"/>
    <w:rsid w:val="00F6184F"/>
    <w:rsid w:val="00F76C79"/>
    <w:rsid w:val="00F8310E"/>
    <w:rsid w:val="00F903FF"/>
    <w:rsid w:val="00F914DD"/>
    <w:rsid w:val="00FA2358"/>
    <w:rsid w:val="00FB2294"/>
    <w:rsid w:val="00FB2592"/>
    <w:rsid w:val="00FB2810"/>
    <w:rsid w:val="00FB54F9"/>
    <w:rsid w:val="00FB7A2C"/>
    <w:rsid w:val="00FC2947"/>
    <w:rsid w:val="00FC6E08"/>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6C8989F8-3030-4DDE-AD3D-63EC22EC9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w:basedOn w:val="DefaultParagraphFont"/>
    <w:rsid w:val="004326DB"/>
    <w:rPr>
      <w:position w:val="6"/>
      <w:sz w:val="18"/>
    </w:rPr>
  </w:style>
  <w:style w:type="paragraph" w:styleId="FootnoteText">
    <w:name w:val="footnote text"/>
    <w:aliases w:val="footnote text"/>
    <w:basedOn w:val="Note"/>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character" w:customStyle="1" w:styleId="HeaderChar">
    <w:name w:val="Header Char"/>
    <w:basedOn w:val="DefaultParagraphFont"/>
    <w:link w:val="Header"/>
    <w:uiPriority w:val="99"/>
    <w:rsid w:val="0094796F"/>
    <w:rPr>
      <w:sz w:val="22"/>
      <w:szCs w:val="22"/>
      <w:lang w:val="en-US" w:eastAsia="en-US"/>
    </w:rPr>
  </w:style>
  <w:style w:type="character" w:customStyle="1" w:styleId="FooterChar">
    <w:name w:val="Footer Char"/>
    <w:basedOn w:val="DefaultParagraphFont"/>
    <w:link w:val="Footer"/>
    <w:uiPriority w:val="99"/>
    <w:rsid w:val="0061712E"/>
    <w:rPr>
      <w:sz w:val="22"/>
      <w:szCs w:val="22"/>
      <w:lang w:val="en-US" w:eastAsia="en-US"/>
    </w:rPr>
  </w:style>
  <w:style w:type="character" w:styleId="FollowedHyperlink">
    <w:name w:val="FollowedHyperlink"/>
    <w:basedOn w:val="DefaultParagraphFont"/>
    <w:rsid w:val="00DB4E75"/>
    <w:rPr>
      <w:color w:val="800080" w:themeColor="followedHyperlink"/>
      <w:u w:val="single"/>
    </w:rPr>
  </w:style>
  <w:style w:type="table" w:styleId="TableGrid">
    <w:name w:val="Table Grid"/>
    <w:basedOn w:val="TableNormal"/>
    <w:rsid w:val="00C40A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0EAC7-12C0-43E1-8567-B4B16E4A3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PE_NewBRcirc.dotx</Template>
  <TotalTime>16</TotalTime>
  <Pages>2</Pages>
  <Words>489</Words>
  <Characters>2821</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3304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Gimenez, Christine</cp:lastModifiedBy>
  <cp:revision>3</cp:revision>
  <cp:lastPrinted>2014-12-10T10:55:00Z</cp:lastPrinted>
  <dcterms:created xsi:type="dcterms:W3CDTF">2014-12-15T08:31:00Z</dcterms:created>
  <dcterms:modified xsi:type="dcterms:W3CDTF">2014-12-19T10:20:00Z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