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889" w:type="dxa"/>
        <w:tblLayout w:type="fixed"/>
        <w:tblLook w:val="04A0" w:firstRow="1" w:lastRow="0" w:firstColumn="1" w:lastColumn="0" w:noHBand="0" w:noVBand="1"/>
      </w:tblPr>
      <w:tblGrid>
        <w:gridCol w:w="1526"/>
        <w:gridCol w:w="5528"/>
        <w:gridCol w:w="2835"/>
      </w:tblGrid>
      <w:tr w:rsidR="00EA15B3" w:rsidRPr="007B3DB1" w:rsidTr="004B46D7">
        <w:tc>
          <w:tcPr>
            <w:tcW w:w="9889" w:type="dxa"/>
            <w:gridSpan w:val="3"/>
            <w:shd w:val="clear" w:color="auto" w:fill="FFFFFF" w:themeFill="background1"/>
          </w:tcPr>
          <w:p w:rsidR="00250CEE" w:rsidRPr="00103A9E" w:rsidRDefault="00250CEE" w:rsidP="00250CEE">
            <w:pPr>
              <w:spacing w:before="0"/>
              <w:jc w:val="left"/>
              <w:rPr>
                <w:rFonts w:cstheme="minorHAnsi"/>
                <w:b/>
                <w:bCs/>
                <w:color w:val="808080"/>
                <w:sz w:val="28"/>
                <w:szCs w:val="28"/>
                <w:lang w:val="es-ES_tradnl"/>
              </w:rPr>
            </w:pPr>
            <w:r w:rsidRPr="004B46D7">
              <w:rPr>
                <w:rFonts w:cstheme="minorHAnsi"/>
                <w:b/>
                <w:bCs/>
                <w:color w:val="808080"/>
                <w:sz w:val="28"/>
                <w:szCs w:val="28"/>
                <w:lang w:val="es-ES_tradnl"/>
              </w:rPr>
              <w:t>Oficina</w:t>
            </w:r>
            <w:r w:rsidRPr="00103A9E">
              <w:rPr>
                <w:rFonts w:cstheme="minorHAnsi"/>
                <w:b/>
                <w:bCs/>
                <w:color w:val="808080"/>
                <w:sz w:val="28"/>
                <w:szCs w:val="28"/>
                <w:lang w:val="es-ES_tradnl"/>
              </w:rPr>
              <w:t xml:space="preserve"> de Radiocomunicaciones (BR)</w:t>
            </w:r>
          </w:p>
          <w:p w:rsidR="008E38B4" w:rsidRDefault="008E38B4" w:rsidP="00117282">
            <w:pPr>
              <w:spacing w:before="0"/>
              <w:jc w:val="left"/>
              <w:rPr>
                <w:rFonts w:cstheme="minorHAnsi"/>
                <w:b/>
                <w:bCs/>
                <w:color w:val="808080"/>
                <w:sz w:val="28"/>
                <w:szCs w:val="28"/>
                <w:lang w:val="en-GB"/>
              </w:rPr>
            </w:pPr>
          </w:p>
          <w:p w:rsidR="008E38B4" w:rsidRPr="004B46D7" w:rsidRDefault="008E38B4" w:rsidP="00117282">
            <w:pPr>
              <w:spacing w:before="0"/>
              <w:jc w:val="left"/>
              <w:rPr>
                <w:rFonts w:cs="Times New Roman Bold"/>
                <w:b/>
                <w:bCs/>
                <w:sz w:val="28"/>
                <w:szCs w:val="28"/>
                <w:lang w:val="en-GB"/>
              </w:rPr>
            </w:pPr>
          </w:p>
        </w:tc>
      </w:tr>
      <w:tr w:rsidR="00651777" w:rsidRPr="003266ED" w:rsidTr="004B46D7">
        <w:tc>
          <w:tcPr>
            <w:tcW w:w="7054" w:type="dxa"/>
            <w:gridSpan w:val="2"/>
            <w:shd w:val="clear" w:color="auto" w:fill="auto"/>
          </w:tcPr>
          <w:p w:rsidR="00250CEE" w:rsidRPr="007F2739" w:rsidRDefault="00250CEE" w:rsidP="00250CEE">
            <w:pPr>
              <w:spacing w:before="0"/>
              <w:jc w:val="left"/>
              <w:rPr>
                <w:sz w:val="24"/>
                <w:szCs w:val="24"/>
                <w:lang w:val="es-ES_tradnl"/>
              </w:rPr>
            </w:pPr>
            <w:r>
              <w:rPr>
                <w:sz w:val="24"/>
                <w:szCs w:val="24"/>
                <w:lang w:val="es-ES_tradnl"/>
              </w:rPr>
              <w:t xml:space="preserve">Carta </w:t>
            </w:r>
            <w:r w:rsidRPr="007F2739">
              <w:rPr>
                <w:sz w:val="24"/>
                <w:szCs w:val="24"/>
                <w:lang w:val="es-ES_tradnl"/>
              </w:rPr>
              <w:t xml:space="preserve">Circular </w:t>
            </w:r>
          </w:p>
          <w:p w:rsidR="00651777" w:rsidRPr="006C53F8" w:rsidRDefault="00E17344" w:rsidP="00D005CF">
            <w:pPr>
              <w:spacing w:before="0"/>
              <w:jc w:val="left"/>
              <w:rPr>
                <w:b/>
                <w:bCs/>
                <w:sz w:val="24"/>
                <w:szCs w:val="24"/>
                <w:lang w:val="fr-CH"/>
              </w:rPr>
            </w:pPr>
            <w:r>
              <w:rPr>
                <w:b/>
                <w:bCs/>
                <w:sz w:val="24"/>
                <w:szCs w:val="24"/>
                <w:lang w:val="fr-CH"/>
              </w:rPr>
              <w:t>C</w:t>
            </w:r>
            <w:r w:rsidR="000C295E">
              <w:rPr>
                <w:b/>
                <w:bCs/>
                <w:sz w:val="24"/>
                <w:szCs w:val="24"/>
                <w:lang w:val="fr-CH"/>
              </w:rPr>
              <w:t>R</w:t>
            </w:r>
            <w:r w:rsidR="003836D4" w:rsidRPr="006C53F8">
              <w:rPr>
                <w:b/>
                <w:bCs/>
                <w:sz w:val="24"/>
                <w:szCs w:val="24"/>
                <w:lang w:val="fr-CH"/>
              </w:rPr>
              <w:t>/</w:t>
            </w:r>
            <w:r w:rsidR="00747FD2">
              <w:rPr>
                <w:b/>
                <w:bCs/>
                <w:sz w:val="24"/>
                <w:szCs w:val="24"/>
                <w:lang w:val="fr-CH"/>
              </w:rPr>
              <w:t>367</w:t>
            </w:r>
          </w:p>
        </w:tc>
        <w:tc>
          <w:tcPr>
            <w:tcW w:w="2835" w:type="dxa"/>
            <w:shd w:val="clear" w:color="auto" w:fill="auto"/>
          </w:tcPr>
          <w:p w:rsidR="00651777" w:rsidRPr="003266ED" w:rsidRDefault="008A7BC2" w:rsidP="00250CEE">
            <w:pPr>
              <w:spacing w:before="0"/>
              <w:jc w:val="right"/>
              <w:rPr>
                <w:sz w:val="24"/>
                <w:szCs w:val="24"/>
                <w:lang w:val="en-GB"/>
              </w:rPr>
            </w:pPr>
            <w:r>
              <w:rPr>
                <w:sz w:val="24"/>
                <w:szCs w:val="24"/>
                <w:lang w:val="en-GB"/>
              </w:rPr>
              <w:t xml:space="preserve">23 </w:t>
            </w:r>
            <w:r w:rsidR="00250CEE">
              <w:rPr>
                <w:sz w:val="24"/>
                <w:szCs w:val="24"/>
                <w:lang w:val="en-GB"/>
              </w:rPr>
              <w:t xml:space="preserve">de </w:t>
            </w:r>
            <w:proofErr w:type="spellStart"/>
            <w:r w:rsidR="00250CEE">
              <w:rPr>
                <w:sz w:val="24"/>
                <w:szCs w:val="24"/>
                <w:lang w:val="en-GB"/>
              </w:rPr>
              <w:t>julio</w:t>
            </w:r>
            <w:proofErr w:type="spellEnd"/>
            <w:r w:rsidR="00250CEE">
              <w:rPr>
                <w:sz w:val="24"/>
                <w:szCs w:val="24"/>
                <w:lang w:val="en-GB"/>
              </w:rPr>
              <w:t xml:space="preserve"> de</w:t>
            </w:r>
            <w:r w:rsidR="0078158B">
              <w:rPr>
                <w:sz w:val="24"/>
                <w:szCs w:val="24"/>
                <w:lang w:val="en-GB"/>
              </w:rPr>
              <w:t xml:space="preserve"> 2014</w:t>
            </w:r>
          </w:p>
        </w:tc>
      </w:tr>
      <w:tr w:rsidR="0037309C" w:rsidRPr="003266ED" w:rsidTr="004B46D7">
        <w:tc>
          <w:tcPr>
            <w:tcW w:w="9889" w:type="dxa"/>
            <w:gridSpan w:val="3"/>
            <w:shd w:val="clear" w:color="auto" w:fill="auto"/>
          </w:tcPr>
          <w:p w:rsidR="0037309C" w:rsidRPr="004B46D7" w:rsidRDefault="0037309C" w:rsidP="006047E5">
            <w:pPr>
              <w:spacing w:before="0"/>
              <w:jc w:val="left"/>
              <w:rPr>
                <w:rFonts w:cs="Arial"/>
                <w:color w:val="FFFFFF" w:themeColor="background1"/>
                <w:sz w:val="24"/>
                <w:szCs w:val="24"/>
                <w:lang w:val="en-GB"/>
              </w:rPr>
            </w:pPr>
          </w:p>
        </w:tc>
      </w:tr>
      <w:tr w:rsidR="0037309C" w:rsidRPr="003266ED" w:rsidTr="004B46D7">
        <w:tc>
          <w:tcPr>
            <w:tcW w:w="9889" w:type="dxa"/>
            <w:gridSpan w:val="3"/>
            <w:shd w:val="clear" w:color="auto" w:fill="auto"/>
          </w:tcPr>
          <w:p w:rsidR="0037309C" w:rsidRPr="003266ED" w:rsidRDefault="0037309C" w:rsidP="00A427B2">
            <w:pPr>
              <w:spacing w:before="0"/>
              <w:jc w:val="left"/>
              <w:rPr>
                <w:sz w:val="24"/>
                <w:szCs w:val="24"/>
              </w:rPr>
            </w:pPr>
          </w:p>
        </w:tc>
      </w:tr>
      <w:tr w:rsidR="0037309C" w:rsidRPr="009C5572" w:rsidTr="004B46D7">
        <w:tc>
          <w:tcPr>
            <w:tcW w:w="9889" w:type="dxa"/>
            <w:gridSpan w:val="3"/>
            <w:shd w:val="clear" w:color="auto" w:fill="auto"/>
          </w:tcPr>
          <w:p w:rsidR="008E49C4" w:rsidRPr="00250CEE" w:rsidRDefault="00250CEE" w:rsidP="004B46D7">
            <w:pPr>
              <w:spacing w:before="0"/>
              <w:jc w:val="left"/>
              <w:rPr>
                <w:b/>
                <w:bCs/>
                <w:sz w:val="24"/>
                <w:szCs w:val="24"/>
                <w:lang w:val="es-ES_tradnl"/>
              </w:rPr>
            </w:pPr>
            <w:r w:rsidRPr="007F2739">
              <w:rPr>
                <w:b/>
                <w:sz w:val="24"/>
                <w:szCs w:val="24"/>
                <w:lang w:val="es-ES_tradnl"/>
              </w:rPr>
              <w:t>A las Administraciones de los Estados Miembros de la UIT</w:t>
            </w:r>
            <w:r>
              <w:rPr>
                <w:b/>
                <w:bCs/>
                <w:sz w:val="24"/>
                <w:szCs w:val="24"/>
                <w:lang w:val="es-ES_tradnl"/>
              </w:rPr>
              <w:t xml:space="preserve"> y</w:t>
            </w:r>
            <w:r>
              <w:rPr>
                <w:b/>
                <w:bCs/>
                <w:sz w:val="24"/>
                <w:szCs w:val="24"/>
                <w:lang w:val="es-ES_tradnl"/>
              </w:rPr>
              <w:br/>
              <w:t>los Miembros de</w:t>
            </w:r>
            <w:r w:rsidR="004B46D7">
              <w:rPr>
                <w:b/>
                <w:bCs/>
                <w:sz w:val="24"/>
                <w:szCs w:val="24"/>
                <w:lang w:val="es-ES_tradnl"/>
              </w:rPr>
              <w:t>l</w:t>
            </w:r>
            <w:r>
              <w:rPr>
                <w:b/>
                <w:bCs/>
                <w:sz w:val="24"/>
                <w:szCs w:val="24"/>
                <w:lang w:val="es-ES_tradnl"/>
              </w:rPr>
              <w:t xml:space="preserve"> Sector de Radiocomunicaciones</w:t>
            </w:r>
          </w:p>
          <w:p w:rsidR="0037309C" w:rsidRPr="00250CEE" w:rsidRDefault="0037309C" w:rsidP="006047E5">
            <w:pPr>
              <w:spacing w:before="0"/>
              <w:jc w:val="left"/>
              <w:rPr>
                <w:b/>
                <w:bCs/>
                <w:sz w:val="24"/>
                <w:szCs w:val="24"/>
                <w:lang w:val="es-ES_tradnl"/>
              </w:rPr>
            </w:pPr>
          </w:p>
          <w:p w:rsidR="00D21694" w:rsidRPr="00250CEE" w:rsidRDefault="00D21694" w:rsidP="00F52B83">
            <w:pPr>
              <w:spacing w:before="0"/>
              <w:rPr>
                <w:b/>
                <w:bCs/>
                <w:sz w:val="24"/>
                <w:szCs w:val="24"/>
                <w:lang w:val="es-ES_tradnl"/>
              </w:rPr>
            </w:pPr>
          </w:p>
        </w:tc>
      </w:tr>
      <w:tr w:rsidR="0037309C" w:rsidRPr="009C5572" w:rsidTr="004B46D7">
        <w:trPr>
          <w:trHeight w:val="323"/>
        </w:trPr>
        <w:tc>
          <w:tcPr>
            <w:tcW w:w="9889" w:type="dxa"/>
            <w:gridSpan w:val="3"/>
            <w:shd w:val="clear" w:color="auto" w:fill="auto"/>
          </w:tcPr>
          <w:p w:rsidR="0037309C" w:rsidRPr="00250CEE" w:rsidRDefault="0037309C" w:rsidP="006047E5">
            <w:pPr>
              <w:spacing w:before="0"/>
              <w:jc w:val="left"/>
              <w:rPr>
                <w:sz w:val="24"/>
                <w:szCs w:val="24"/>
                <w:lang w:val="es-ES_tradnl"/>
              </w:rPr>
            </w:pPr>
          </w:p>
        </w:tc>
      </w:tr>
      <w:tr w:rsidR="00B4054B" w:rsidRPr="009C5572" w:rsidTr="004B46D7">
        <w:tc>
          <w:tcPr>
            <w:tcW w:w="1526" w:type="dxa"/>
            <w:shd w:val="clear" w:color="auto" w:fill="auto"/>
          </w:tcPr>
          <w:p w:rsidR="00B4054B" w:rsidRPr="008A7BC2" w:rsidRDefault="00250CEE" w:rsidP="00A427B2">
            <w:pPr>
              <w:spacing w:before="0"/>
              <w:jc w:val="left"/>
              <w:rPr>
                <w:rFonts w:asciiTheme="minorHAnsi" w:hAnsiTheme="minorHAnsi"/>
                <w:sz w:val="24"/>
                <w:szCs w:val="24"/>
                <w:lang w:val="en-GB"/>
              </w:rPr>
            </w:pPr>
            <w:proofErr w:type="spellStart"/>
            <w:r>
              <w:rPr>
                <w:rFonts w:asciiTheme="minorHAnsi" w:hAnsiTheme="minorHAnsi"/>
                <w:sz w:val="24"/>
                <w:szCs w:val="24"/>
              </w:rPr>
              <w:t>Asunto</w:t>
            </w:r>
            <w:proofErr w:type="spellEnd"/>
            <w:r w:rsidR="00B4054B" w:rsidRPr="008A7BC2">
              <w:rPr>
                <w:rFonts w:asciiTheme="minorHAnsi" w:hAnsiTheme="minorHAnsi"/>
                <w:sz w:val="24"/>
                <w:szCs w:val="24"/>
              </w:rPr>
              <w:t>:</w:t>
            </w:r>
          </w:p>
        </w:tc>
        <w:tc>
          <w:tcPr>
            <w:tcW w:w="8363" w:type="dxa"/>
            <w:gridSpan w:val="2"/>
            <w:vMerge w:val="restart"/>
            <w:shd w:val="clear" w:color="auto" w:fill="auto"/>
          </w:tcPr>
          <w:p w:rsidR="009A2515" w:rsidRPr="004B46D7" w:rsidRDefault="009A1AF0" w:rsidP="00DB54B5">
            <w:pPr>
              <w:spacing w:before="100" w:beforeAutospacing="1" w:after="100" w:afterAutospacing="1"/>
              <w:ind w:left="34" w:hanging="34"/>
              <w:jc w:val="left"/>
              <w:rPr>
                <w:rFonts w:asciiTheme="minorHAnsi" w:hAnsiTheme="minorHAnsi"/>
                <w:b/>
                <w:bCs/>
                <w:sz w:val="24"/>
                <w:szCs w:val="24"/>
                <w:lang w:val="es-ES_tradnl"/>
              </w:rPr>
            </w:pPr>
            <w:r w:rsidRPr="004B46D7">
              <w:rPr>
                <w:rFonts w:asciiTheme="minorHAnsi" w:hAnsiTheme="minorHAnsi"/>
                <w:b/>
                <w:bCs/>
                <w:color w:val="000000"/>
                <w:sz w:val="24"/>
                <w:szCs w:val="24"/>
                <w:lang w:val="es-ES_tradnl"/>
              </w:rPr>
              <w:t xml:space="preserve">Aplicación del Acuerdo </w:t>
            </w:r>
            <w:r w:rsidR="008A7BC2" w:rsidRPr="004B46D7">
              <w:rPr>
                <w:rFonts w:asciiTheme="minorHAnsi" w:hAnsiTheme="minorHAnsi"/>
                <w:b/>
                <w:bCs/>
                <w:color w:val="000000"/>
                <w:sz w:val="24"/>
                <w:szCs w:val="24"/>
                <w:lang w:val="es-ES_tradnl"/>
              </w:rPr>
              <w:t>571 (</w:t>
            </w:r>
            <w:r w:rsidRPr="004B46D7">
              <w:rPr>
                <w:rFonts w:asciiTheme="minorHAnsi" w:hAnsiTheme="minorHAnsi"/>
                <w:b/>
                <w:bCs/>
                <w:color w:val="000000"/>
                <w:sz w:val="24"/>
                <w:szCs w:val="24"/>
                <w:lang w:val="es-ES_tradnl"/>
              </w:rPr>
              <w:t xml:space="preserve">modificado en </w:t>
            </w:r>
            <w:r w:rsidR="008A7BC2" w:rsidRPr="004B46D7">
              <w:rPr>
                <w:rFonts w:asciiTheme="minorHAnsi" w:hAnsiTheme="minorHAnsi"/>
                <w:b/>
                <w:bCs/>
                <w:color w:val="000000"/>
                <w:sz w:val="24"/>
                <w:szCs w:val="24"/>
                <w:lang w:val="es-ES_tradnl"/>
              </w:rPr>
              <w:t>2014)</w:t>
            </w:r>
            <w:r w:rsidRPr="004B46D7">
              <w:rPr>
                <w:rFonts w:asciiTheme="minorHAnsi" w:hAnsiTheme="minorHAnsi"/>
                <w:b/>
                <w:bCs/>
                <w:color w:val="000000"/>
                <w:sz w:val="24"/>
                <w:szCs w:val="24"/>
                <w:lang w:val="es-ES_tradnl"/>
              </w:rPr>
              <w:t xml:space="preserve"> de dar </w:t>
            </w:r>
            <w:r w:rsidRPr="004B46D7">
              <w:rPr>
                <w:b/>
                <w:bCs/>
                <w:sz w:val="24"/>
                <w:szCs w:val="24"/>
                <w:lang w:val="es-ES_tradnl"/>
              </w:rPr>
              <w:t>al público en general acceso gratuito en línea permanente a</w:t>
            </w:r>
            <w:r w:rsidR="00DB54B5" w:rsidRPr="004B46D7">
              <w:rPr>
                <w:b/>
                <w:bCs/>
                <w:sz w:val="24"/>
                <w:szCs w:val="24"/>
                <w:lang w:val="es-ES_tradnl"/>
              </w:rPr>
              <w:t xml:space="preserve"> </w:t>
            </w:r>
            <w:r w:rsidRPr="004B46D7">
              <w:rPr>
                <w:b/>
                <w:bCs/>
                <w:sz w:val="24"/>
                <w:szCs w:val="24"/>
                <w:lang w:val="es-ES_tradnl"/>
              </w:rPr>
              <w:t>l</w:t>
            </w:r>
            <w:r w:rsidR="00DB54B5" w:rsidRPr="004B46D7">
              <w:rPr>
                <w:b/>
                <w:bCs/>
                <w:sz w:val="24"/>
                <w:szCs w:val="24"/>
                <w:lang w:val="es-ES_tradnl"/>
              </w:rPr>
              <w:t>as Reglas de Procedimiento</w:t>
            </w:r>
            <w:r w:rsidRPr="004B46D7">
              <w:rPr>
                <w:b/>
                <w:bCs/>
                <w:sz w:val="24"/>
                <w:szCs w:val="24"/>
                <w:lang w:val="es-ES_tradnl"/>
              </w:rPr>
              <w:t xml:space="preserve"> </w:t>
            </w:r>
          </w:p>
          <w:p w:rsidR="00B4054B" w:rsidRPr="004B46D7" w:rsidRDefault="00B4054B" w:rsidP="00F52B83">
            <w:pPr>
              <w:tabs>
                <w:tab w:val="clear" w:pos="794"/>
                <w:tab w:val="clear" w:pos="1191"/>
                <w:tab w:val="clear" w:pos="1588"/>
                <w:tab w:val="clear" w:pos="1985"/>
              </w:tabs>
              <w:spacing w:before="0"/>
              <w:jc w:val="left"/>
              <w:rPr>
                <w:rFonts w:asciiTheme="minorHAnsi" w:hAnsiTheme="minorHAnsi"/>
                <w:b/>
                <w:bCs/>
                <w:sz w:val="24"/>
                <w:szCs w:val="24"/>
                <w:lang w:val="es-ES_tradnl"/>
              </w:rPr>
            </w:pPr>
          </w:p>
        </w:tc>
      </w:tr>
      <w:tr w:rsidR="00B4054B" w:rsidRPr="009C5572" w:rsidTr="004B46D7">
        <w:tc>
          <w:tcPr>
            <w:tcW w:w="1526" w:type="dxa"/>
            <w:shd w:val="clear" w:color="auto" w:fill="auto"/>
          </w:tcPr>
          <w:p w:rsidR="00B4054B" w:rsidRPr="009A1AF0" w:rsidRDefault="00B4054B" w:rsidP="00A427B2">
            <w:pPr>
              <w:spacing w:before="0"/>
              <w:jc w:val="left"/>
              <w:rPr>
                <w:rFonts w:asciiTheme="minorHAnsi" w:hAnsiTheme="minorHAnsi"/>
                <w:b/>
                <w:bCs/>
                <w:sz w:val="24"/>
                <w:szCs w:val="24"/>
                <w:lang w:val="es-ES_tradnl"/>
              </w:rPr>
            </w:pPr>
          </w:p>
        </w:tc>
        <w:tc>
          <w:tcPr>
            <w:tcW w:w="8363" w:type="dxa"/>
            <w:gridSpan w:val="2"/>
            <w:vMerge/>
            <w:shd w:val="clear" w:color="auto" w:fill="auto"/>
          </w:tcPr>
          <w:p w:rsidR="00B4054B" w:rsidRPr="009A1AF0" w:rsidRDefault="00B4054B" w:rsidP="00A427B2">
            <w:pPr>
              <w:spacing w:before="0"/>
              <w:rPr>
                <w:rFonts w:asciiTheme="minorHAnsi" w:hAnsiTheme="minorHAnsi"/>
                <w:b/>
                <w:bCs/>
                <w:sz w:val="24"/>
                <w:szCs w:val="24"/>
                <w:lang w:val="es-ES_tradnl"/>
              </w:rPr>
            </w:pPr>
          </w:p>
        </w:tc>
      </w:tr>
      <w:tr w:rsidR="00B4054B" w:rsidRPr="009C5572" w:rsidTr="004B46D7">
        <w:tc>
          <w:tcPr>
            <w:tcW w:w="1526" w:type="dxa"/>
            <w:shd w:val="clear" w:color="auto" w:fill="auto"/>
          </w:tcPr>
          <w:p w:rsidR="00B4054B" w:rsidRPr="009A1AF0" w:rsidRDefault="00B4054B" w:rsidP="00A427B2">
            <w:pPr>
              <w:spacing w:before="0"/>
              <w:jc w:val="left"/>
              <w:rPr>
                <w:rFonts w:asciiTheme="minorHAnsi" w:hAnsiTheme="minorHAnsi"/>
                <w:b/>
                <w:bCs/>
                <w:sz w:val="24"/>
                <w:szCs w:val="24"/>
                <w:lang w:val="es-ES_tradnl"/>
              </w:rPr>
            </w:pPr>
          </w:p>
        </w:tc>
        <w:tc>
          <w:tcPr>
            <w:tcW w:w="8363" w:type="dxa"/>
            <w:gridSpan w:val="2"/>
            <w:vMerge/>
            <w:shd w:val="clear" w:color="auto" w:fill="auto"/>
          </w:tcPr>
          <w:p w:rsidR="00B4054B" w:rsidRPr="009A1AF0" w:rsidRDefault="00B4054B" w:rsidP="00A427B2">
            <w:pPr>
              <w:spacing w:before="0"/>
              <w:rPr>
                <w:rFonts w:asciiTheme="minorHAnsi" w:hAnsiTheme="minorHAnsi"/>
                <w:b/>
                <w:bCs/>
                <w:sz w:val="24"/>
                <w:szCs w:val="24"/>
                <w:lang w:val="es-ES_tradnl"/>
              </w:rPr>
            </w:pPr>
          </w:p>
        </w:tc>
      </w:tr>
    </w:tbl>
    <w:p w:rsidR="008A7BC2" w:rsidRPr="003A00B1" w:rsidRDefault="009A1AF0" w:rsidP="00122E77">
      <w:pPr>
        <w:pStyle w:val="Normalaftertitle0"/>
        <w:jc w:val="both"/>
        <w:rPr>
          <w:rFonts w:asciiTheme="minorHAnsi" w:hAnsiTheme="minorHAnsi" w:cstheme="minorHAnsi"/>
          <w:lang w:val="es-ES_tradnl"/>
        </w:rPr>
      </w:pPr>
      <w:r w:rsidRPr="003A00B1">
        <w:rPr>
          <w:rFonts w:asciiTheme="minorHAnsi" w:hAnsiTheme="minorHAnsi" w:cstheme="minorHAnsi"/>
          <w:lang w:val="es-ES_tradnl"/>
        </w:rPr>
        <w:t>En su reunión de 2014, el Consejo de la UIT</w:t>
      </w:r>
      <w:r w:rsidR="008A7BC2" w:rsidRPr="003A00B1">
        <w:rPr>
          <w:rFonts w:asciiTheme="minorHAnsi" w:hAnsiTheme="minorHAnsi" w:cstheme="minorHAnsi"/>
          <w:lang w:val="es-ES_tradnl"/>
        </w:rPr>
        <w:t xml:space="preserve">, </w:t>
      </w:r>
      <w:r w:rsidRPr="003A00B1">
        <w:rPr>
          <w:rFonts w:asciiTheme="minorHAnsi" w:hAnsiTheme="minorHAnsi" w:cstheme="minorHAnsi"/>
          <w:lang w:val="es-ES_tradnl"/>
        </w:rPr>
        <w:t>en la séptima Sesión Plenaria</w:t>
      </w:r>
      <w:r w:rsidR="001D010C" w:rsidRPr="003A00B1">
        <w:rPr>
          <w:rFonts w:asciiTheme="minorHAnsi" w:hAnsiTheme="minorHAnsi" w:cstheme="minorHAnsi"/>
          <w:lang w:val="es-ES_tradnl"/>
        </w:rPr>
        <w:t xml:space="preserve">, </w:t>
      </w:r>
      <w:r w:rsidRPr="003A00B1">
        <w:rPr>
          <w:rFonts w:asciiTheme="minorHAnsi" w:hAnsiTheme="minorHAnsi" w:cstheme="minorHAnsi"/>
          <w:lang w:val="es-ES_tradnl"/>
        </w:rPr>
        <w:t>examinó y aprobó el Acuerdo</w:t>
      </w:r>
      <w:r w:rsidR="004B46D7" w:rsidRPr="003A00B1">
        <w:rPr>
          <w:rFonts w:asciiTheme="minorHAnsi" w:hAnsiTheme="minorHAnsi" w:cstheme="minorHAnsi"/>
          <w:lang w:val="es-ES_tradnl"/>
        </w:rPr>
        <w:t> </w:t>
      </w:r>
      <w:r w:rsidR="008A7BC2" w:rsidRPr="003A00B1">
        <w:rPr>
          <w:rFonts w:asciiTheme="minorHAnsi" w:hAnsiTheme="minorHAnsi" w:cstheme="minorHAnsi"/>
          <w:lang w:val="es-ES_tradnl"/>
        </w:rPr>
        <w:t>571 (</w:t>
      </w:r>
      <w:r w:rsidRPr="003A00B1">
        <w:rPr>
          <w:rFonts w:asciiTheme="minorHAnsi" w:hAnsiTheme="minorHAnsi" w:cstheme="minorHAnsi"/>
          <w:lang w:val="es-ES_tradnl"/>
        </w:rPr>
        <w:t xml:space="preserve">modificado en </w:t>
      </w:r>
      <w:r w:rsidR="008A7BC2" w:rsidRPr="003A00B1">
        <w:rPr>
          <w:rFonts w:asciiTheme="minorHAnsi" w:hAnsiTheme="minorHAnsi" w:cstheme="minorHAnsi"/>
          <w:lang w:val="es-ES_tradnl"/>
        </w:rPr>
        <w:t xml:space="preserve">2014), </w:t>
      </w:r>
      <w:r w:rsidR="001D010C" w:rsidRPr="003A00B1">
        <w:rPr>
          <w:rFonts w:asciiTheme="minorHAnsi" w:hAnsiTheme="minorHAnsi" w:cstheme="minorHAnsi"/>
          <w:lang w:val="es-ES_tradnl"/>
        </w:rPr>
        <w:t>en</w:t>
      </w:r>
      <w:r w:rsidRPr="003A00B1">
        <w:rPr>
          <w:rFonts w:asciiTheme="minorHAnsi" w:hAnsiTheme="minorHAnsi" w:cstheme="minorHAnsi"/>
          <w:lang w:val="es-ES_tradnl"/>
        </w:rPr>
        <w:t xml:space="preserve"> el que se decide </w:t>
      </w:r>
      <w:r w:rsidR="006E4897" w:rsidRPr="003A00B1">
        <w:rPr>
          <w:rFonts w:asciiTheme="minorHAnsi" w:hAnsiTheme="minorHAnsi" w:cstheme="minorHAnsi"/>
          <w:lang w:val="es-ES_tradnl"/>
        </w:rPr>
        <w:t>entre otras cosas</w:t>
      </w:r>
      <w:r w:rsidR="008A7BC2" w:rsidRPr="003A00B1">
        <w:rPr>
          <w:rFonts w:asciiTheme="minorHAnsi" w:hAnsiTheme="minorHAnsi" w:cstheme="minorHAnsi"/>
          <w:lang w:val="es-ES_tradnl"/>
        </w:rPr>
        <w:t xml:space="preserve"> </w:t>
      </w:r>
      <w:r w:rsidRPr="003A00B1">
        <w:rPr>
          <w:rFonts w:asciiTheme="minorHAnsi" w:hAnsiTheme="minorHAnsi" w:cstheme="minorHAnsi"/>
          <w:lang w:val="es-ES_tradnl"/>
        </w:rPr>
        <w:t xml:space="preserve">dar al público en general acceso gratuito en </w:t>
      </w:r>
      <w:r w:rsidR="00EF1E72" w:rsidRPr="003A00B1">
        <w:rPr>
          <w:rFonts w:asciiTheme="minorHAnsi" w:hAnsiTheme="minorHAnsi" w:cstheme="minorHAnsi"/>
          <w:lang w:val="es-ES_tradnl"/>
        </w:rPr>
        <w:t>línea</w:t>
      </w:r>
      <w:r w:rsidR="00DB54B5" w:rsidRPr="003A00B1">
        <w:rPr>
          <w:rFonts w:asciiTheme="minorHAnsi" w:hAnsiTheme="minorHAnsi" w:cstheme="minorHAnsi"/>
          <w:lang w:val="es-ES_tradnl"/>
        </w:rPr>
        <w:t xml:space="preserve"> permanente a las Reglas de Procedimiento </w:t>
      </w:r>
      <w:r w:rsidRPr="003A00B1">
        <w:rPr>
          <w:rFonts w:asciiTheme="minorHAnsi" w:hAnsiTheme="minorHAnsi" w:cstheme="minorHAnsi"/>
          <w:lang w:val="es-ES_tradnl"/>
        </w:rPr>
        <w:t>(para la aplicación por la Oficina de Radiocomunicaciones de las disposiciones del Reglamento de Radiocomunicaciones</w:t>
      </w:r>
      <w:r w:rsidR="008A7BC2" w:rsidRPr="003A00B1">
        <w:rPr>
          <w:rFonts w:asciiTheme="minorHAnsi" w:hAnsiTheme="minorHAnsi" w:cstheme="minorHAnsi"/>
          <w:lang w:val="es-ES_tradnl"/>
        </w:rPr>
        <w:t>)</w:t>
      </w:r>
      <w:r w:rsidR="00487705" w:rsidRPr="003A00B1">
        <w:rPr>
          <w:rFonts w:asciiTheme="minorHAnsi" w:hAnsiTheme="minorHAnsi" w:cstheme="minorHAnsi"/>
          <w:lang w:val="es-ES_tradnl"/>
        </w:rPr>
        <w:t>.</w:t>
      </w:r>
    </w:p>
    <w:p w:rsidR="008A7BC2" w:rsidRPr="003A00B1" w:rsidRDefault="00EF1E72" w:rsidP="00122E77">
      <w:pPr>
        <w:rPr>
          <w:sz w:val="24"/>
          <w:szCs w:val="24"/>
          <w:lang w:val="es-ES_tradnl"/>
        </w:rPr>
      </w:pPr>
      <w:r w:rsidRPr="003A00B1">
        <w:rPr>
          <w:sz w:val="24"/>
          <w:szCs w:val="24"/>
          <w:lang w:val="es-ES_tradnl"/>
        </w:rPr>
        <w:t xml:space="preserve">En virtud de dicho </w:t>
      </w:r>
      <w:r w:rsidR="009A1AF0" w:rsidRPr="003A00B1">
        <w:rPr>
          <w:sz w:val="24"/>
          <w:szCs w:val="24"/>
          <w:lang w:val="es-ES_tradnl"/>
        </w:rPr>
        <w:t>Acue</w:t>
      </w:r>
      <w:r w:rsidR="00DB54B5" w:rsidRPr="003A00B1">
        <w:rPr>
          <w:sz w:val="24"/>
          <w:szCs w:val="24"/>
          <w:lang w:val="es-ES_tradnl"/>
        </w:rPr>
        <w:t xml:space="preserve">rdo, me complace indicar que las Reglas de Procedimiento </w:t>
      </w:r>
      <w:r w:rsidR="009A1AF0" w:rsidRPr="003A00B1">
        <w:rPr>
          <w:sz w:val="24"/>
          <w:szCs w:val="24"/>
          <w:lang w:val="es-ES_tradnl"/>
        </w:rPr>
        <w:t>está</w:t>
      </w:r>
      <w:r w:rsidR="00DB54B5" w:rsidRPr="003A00B1">
        <w:rPr>
          <w:sz w:val="24"/>
          <w:szCs w:val="24"/>
          <w:lang w:val="es-ES_tradnl"/>
        </w:rPr>
        <w:t>n</w:t>
      </w:r>
      <w:r w:rsidR="009A1AF0" w:rsidRPr="003A00B1">
        <w:rPr>
          <w:sz w:val="24"/>
          <w:szCs w:val="24"/>
          <w:lang w:val="es-ES_tradnl"/>
        </w:rPr>
        <w:t xml:space="preserve"> ya disponible</w:t>
      </w:r>
      <w:r w:rsidR="00DB54B5" w:rsidRPr="003A00B1">
        <w:rPr>
          <w:sz w:val="24"/>
          <w:szCs w:val="24"/>
          <w:lang w:val="es-ES_tradnl"/>
        </w:rPr>
        <w:t>s</w:t>
      </w:r>
      <w:r w:rsidRPr="003A00B1">
        <w:rPr>
          <w:sz w:val="24"/>
          <w:szCs w:val="24"/>
          <w:lang w:val="es-ES_tradnl"/>
        </w:rPr>
        <w:t>,</w:t>
      </w:r>
      <w:r w:rsidR="009A1AF0" w:rsidRPr="003A00B1">
        <w:rPr>
          <w:sz w:val="24"/>
          <w:szCs w:val="24"/>
          <w:lang w:val="es-ES_tradnl"/>
        </w:rPr>
        <w:t xml:space="preserve"> </w:t>
      </w:r>
      <w:r w:rsidRPr="003A00B1">
        <w:rPr>
          <w:sz w:val="24"/>
          <w:szCs w:val="24"/>
          <w:lang w:val="es-ES_tradnl"/>
        </w:rPr>
        <w:t>conforme</w:t>
      </w:r>
      <w:r w:rsidR="001D010C" w:rsidRPr="003A00B1">
        <w:rPr>
          <w:sz w:val="24"/>
          <w:szCs w:val="24"/>
          <w:lang w:val="es-ES_tradnl"/>
        </w:rPr>
        <w:t xml:space="preserve"> a</w:t>
      </w:r>
      <w:r w:rsidRPr="003A00B1">
        <w:rPr>
          <w:sz w:val="24"/>
          <w:szCs w:val="24"/>
          <w:lang w:val="es-ES_tradnl"/>
        </w:rPr>
        <w:t xml:space="preserve"> las condiciones previstas</w:t>
      </w:r>
      <w:r w:rsidR="008A7BC2" w:rsidRPr="003A00B1">
        <w:rPr>
          <w:sz w:val="24"/>
          <w:szCs w:val="24"/>
          <w:lang w:val="es-ES_tradnl"/>
        </w:rPr>
        <w:t xml:space="preserve">, </w:t>
      </w:r>
      <w:r w:rsidR="009A1AF0" w:rsidRPr="003A00B1">
        <w:rPr>
          <w:sz w:val="24"/>
          <w:szCs w:val="24"/>
          <w:lang w:val="es-ES_tradnl"/>
        </w:rPr>
        <w:t xml:space="preserve">en todos los idiomas de las Naciones Unidas, en </w:t>
      </w:r>
      <w:r w:rsidR="006E4897" w:rsidRPr="003A00B1">
        <w:rPr>
          <w:sz w:val="24"/>
          <w:szCs w:val="24"/>
          <w:lang w:val="es-ES_tradnl"/>
        </w:rPr>
        <w:t xml:space="preserve">la dirección </w:t>
      </w:r>
      <w:r w:rsidR="009A1AF0" w:rsidRPr="003A00B1">
        <w:rPr>
          <w:sz w:val="24"/>
          <w:szCs w:val="24"/>
          <w:lang w:val="es-ES_tradnl"/>
        </w:rPr>
        <w:t>web correspondiente</w:t>
      </w:r>
      <w:r w:rsidR="008A7BC2" w:rsidRPr="003A00B1">
        <w:rPr>
          <w:sz w:val="24"/>
          <w:szCs w:val="24"/>
          <w:lang w:val="es-ES_tradnl"/>
        </w:rPr>
        <w:t xml:space="preserve">: </w:t>
      </w:r>
      <w:hyperlink r:id="rId9" w:history="1">
        <w:r w:rsidR="008A7BC2" w:rsidRPr="00AB3AC8">
          <w:rPr>
            <w:rStyle w:val="Hyperlink"/>
            <w:rFonts w:asciiTheme="minorHAnsi" w:hAnsiTheme="minorHAnsi"/>
            <w:sz w:val="24"/>
            <w:szCs w:val="24"/>
            <w:lang w:val="es-ES_tradnl"/>
          </w:rPr>
          <w:t>https://www.itu.int/pub/R-REG-ROP/en</w:t>
        </w:r>
      </w:hyperlink>
      <w:r w:rsidR="00E07B2C">
        <w:rPr>
          <w:rStyle w:val="Hyperlink"/>
          <w:rFonts w:asciiTheme="minorHAnsi" w:hAnsiTheme="minorHAnsi"/>
          <w:sz w:val="24"/>
          <w:szCs w:val="24"/>
          <w:lang w:val="es-ES_tradnl"/>
        </w:rPr>
        <w:t>.</w:t>
      </w:r>
    </w:p>
    <w:p w:rsidR="008A7BC2" w:rsidRPr="004B46D7" w:rsidRDefault="00EF1E72" w:rsidP="00122E77">
      <w:pPr>
        <w:rPr>
          <w:rFonts w:asciiTheme="minorHAnsi" w:hAnsiTheme="minorHAnsi"/>
          <w:color w:val="000000"/>
          <w:sz w:val="24"/>
          <w:szCs w:val="24"/>
          <w:lang w:val="es-ES_tradnl"/>
        </w:rPr>
      </w:pPr>
      <w:r w:rsidRPr="004B46D7">
        <w:rPr>
          <w:rFonts w:asciiTheme="minorHAnsi" w:hAnsiTheme="minorHAnsi"/>
          <w:color w:val="000000"/>
          <w:sz w:val="24"/>
          <w:szCs w:val="24"/>
          <w:lang w:val="es-ES_tradnl"/>
        </w:rPr>
        <w:t xml:space="preserve">La Oficina queda a disposición de </w:t>
      </w:r>
      <w:r w:rsidR="00646772">
        <w:rPr>
          <w:rFonts w:asciiTheme="minorHAnsi" w:hAnsiTheme="minorHAnsi"/>
          <w:color w:val="000000"/>
          <w:sz w:val="24"/>
          <w:szCs w:val="24"/>
          <w:lang w:val="es-ES_tradnl"/>
        </w:rPr>
        <w:t xml:space="preserve">los Miembros </w:t>
      </w:r>
      <w:r w:rsidRPr="004B46D7">
        <w:rPr>
          <w:rFonts w:asciiTheme="minorHAnsi" w:hAnsiTheme="minorHAnsi"/>
          <w:color w:val="000000"/>
          <w:sz w:val="24"/>
          <w:szCs w:val="24"/>
          <w:lang w:val="es-ES_tradnl"/>
        </w:rPr>
        <w:t xml:space="preserve"> para cualquier aclaración adicional que pueda</w:t>
      </w:r>
      <w:r w:rsidR="00646772">
        <w:rPr>
          <w:rFonts w:asciiTheme="minorHAnsi" w:hAnsiTheme="minorHAnsi"/>
          <w:color w:val="000000"/>
          <w:sz w:val="24"/>
          <w:szCs w:val="24"/>
          <w:lang w:val="es-ES_tradnl"/>
        </w:rPr>
        <w:t>n</w:t>
      </w:r>
      <w:r w:rsidRPr="004B46D7">
        <w:rPr>
          <w:rFonts w:asciiTheme="minorHAnsi" w:hAnsiTheme="minorHAnsi"/>
          <w:color w:val="000000"/>
          <w:sz w:val="24"/>
          <w:szCs w:val="24"/>
          <w:lang w:val="es-ES_tradnl"/>
        </w:rPr>
        <w:t xml:space="preserve"> necesitar al respecto</w:t>
      </w:r>
      <w:r w:rsidR="00F52B83" w:rsidRPr="004B46D7">
        <w:rPr>
          <w:rFonts w:asciiTheme="minorHAnsi" w:hAnsiTheme="minorHAnsi"/>
          <w:color w:val="000000"/>
          <w:sz w:val="24"/>
          <w:szCs w:val="24"/>
          <w:lang w:val="es-ES_tradnl"/>
        </w:rPr>
        <w:t>.</w:t>
      </w:r>
    </w:p>
    <w:p w:rsidR="008A7BC2" w:rsidRDefault="008A7BC2" w:rsidP="004B46D7">
      <w:pPr>
        <w:jc w:val="left"/>
        <w:rPr>
          <w:rFonts w:asciiTheme="minorHAnsi" w:hAnsiTheme="minorHAnsi" w:cstheme="minorHAnsi"/>
          <w:sz w:val="24"/>
          <w:szCs w:val="24"/>
          <w:lang w:val="es-ES_tradnl"/>
        </w:rPr>
      </w:pPr>
    </w:p>
    <w:p w:rsidR="006216A9" w:rsidRPr="004B46D7" w:rsidRDefault="006216A9" w:rsidP="004B46D7">
      <w:pPr>
        <w:jc w:val="left"/>
        <w:rPr>
          <w:rFonts w:asciiTheme="minorHAnsi" w:hAnsiTheme="minorHAnsi" w:cstheme="minorHAnsi"/>
          <w:sz w:val="24"/>
          <w:szCs w:val="24"/>
          <w:lang w:val="es-ES_tradnl"/>
        </w:rPr>
      </w:pPr>
    </w:p>
    <w:p w:rsidR="008A7BC2" w:rsidRPr="00DB54B5" w:rsidRDefault="008A7BC2" w:rsidP="008A7BC2">
      <w:pPr>
        <w:spacing w:before="0" w:line="240" w:lineRule="auto"/>
        <w:jc w:val="left"/>
        <w:rPr>
          <w:rFonts w:asciiTheme="minorHAnsi" w:hAnsiTheme="minorHAnsi" w:cstheme="minorHAnsi"/>
          <w:sz w:val="24"/>
          <w:szCs w:val="24"/>
          <w:lang w:val="es-ES_tradnl"/>
        </w:rPr>
      </w:pPr>
      <w:r w:rsidRPr="00DB54B5">
        <w:rPr>
          <w:rFonts w:asciiTheme="minorHAnsi" w:hAnsiTheme="minorHAnsi" w:cstheme="minorHAnsi"/>
          <w:sz w:val="24"/>
          <w:szCs w:val="24"/>
          <w:lang w:val="es-ES_tradnl"/>
        </w:rPr>
        <w:t>François Rancy</w:t>
      </w:r>
    </w:p>
    <w:p w:rsidR="008A7BC2" w:rsidRPr="00DB54B5" w:rsidRDefault="008A7BC2" w:rsidP="008A7BC2">
      <w:pPr>
        <w:spacing w:before="0" w:line="240" w:lineRule="auto"/>
        <w:jc w:val="left"/>
        <w:rPr>
          <w:rFonts w:asciiTheme="minorHAnsi" w:hAnsiTheme="minorHAnsi" w:cstheme="minorHAnsi"/>
          <w:sz w:val="24"/>
          <w:szCs w:val="24"/>
          <w:lang w:val="es-ES_tradnl"/>
        </w:rPr>
      </w:pPr>
      <w:r w:rsidRPr="00DB54B5">
        <w:rPr>
          <w:rFonts w:asciiTheme="minorHAnsi" w:hAnsiTheme="minorHAnsi" w:cstheme="minorHAnsi"/>
          <w:sz w:val="24"/>
          <w:szCs w:val="24"/>
          <w:lang w:val="es-ES_tradnl"/>
        </w:rPr>
        <w:t>Director</w:t>
      </w:r>
    </w:p>
    <w:p w:rsidR="00D406FF" w:rsidRDefault="00D406FF" w:rsidP="008A7BC2">
      <w:pPr>
        <w:spacing w:before="0" w:line="240" w:lineRule="auto"/>
        <w:jc w:val="left"/>
        <w:rPr>
          <w:rFonts w:asciiTheme="minorHAnsi" w:hAnsiTheme="minorHAnsi" w:cstheme="minorHAnsi"/>
          <w:sz w:val="24"/>
          <w:szCs w:val="24"/>
          <w:lang w:val="es-ES_tradnl"/>
        </w:rPr>
      </w:pPr>
    </w:p>
    <w:p w:rsidR="008A7BC2" w:rsidRPr="004B46D7" w:rsidRDefault="008A7BC2" w:rsidP="00DB54B5">
      <w:pPr>
        <w:spacing w:before="0" w:line="240" w:lineRule="auto"/>
        <w:jc w:val="left"/>
        <w:rPr>
          <w:rFonts w:asciiTheme="minorHAnsi" w:hAnsiTheme="minorHAnsi" w:cstheme="minorHAnsi"/>
          <w:sz w:val="24"/>
          <w:szCs w:val="24"/>
          <w:lang w:val="es-ES_tradnl"/>
        </w:rPr>
      </w:pPr>
      <w:r w:rsidRPr="006E4897">
        <w:rPr>
          <w:rFonts w:asciiTheme="minorHAnsi" w:hAnsiTheme="minorHAnsi" w:cstheme="minorHAnsi"/>
          <w:b/>
          <w:bCs/>
          <w:sz w:val="24"/>
          <w:szCs w:val="24"/>
          <w:lang w:val="es-ES_tradnl"/>
        </w:rPr>
        <w:t>Anex</w:t>
      </w:r>
      <w:r w:rsidR="009A1AF0" w:rsidRPr="006E4897">
        <w:rPr>
          <w:rFonts w:asciiTheme="minorHAnsi" w:hAnsiTheme="minorHAnsi" w:cstheme="minorHAnsi"/>
          <w:b/>
          <w:bCs/>
          <w:sz w:val="24"/>
          <w:szCs w:val="24"/>
          <w:lang w:val="es-ES_tradnl"/>
        </w:rPr>
        <w:t>o</w:t>
      </w:r>
      <w:r w:rsidRPr="00E03CBF">
        <w:rPr>
          <w:rFonts w:asciiTheme="minorHAnsi" w:hAnsiTheme="minorHAnsi" w:cstheme="minorHAnsi"/>
          <w:b/>
          <w:bCs/>
          <w:sz w:val="24"/>
          <w:szCs w:val="24"/>
          <w:lang w:val="es-ES_tradnl"/>
        </w:rPr>
        <w:t>:</w:t>
      </w:r>
      <w:r w:rsidRPr="009A1AF0">
        <w:rPr>
          <w:rFonts w:asciiTheme="minorHAnsi" w:hAnsiTheme="minorHAnsi" w:cstheme="minorHAnsi"/>
          <w:sz w:val="24"/>
          <w:szCs w:val="24"/>
          <w:lang w:val="es-ES_tradnl"/>
        </w:rPr>
        <w:t xml:space="preserve"> </w:t>
      </w:r>
      <w:r w:rsidRPr="004B46D7">
        <w:rPr>
          <w:rFonts w:asciiTheme="minorHAnsi" w:hAnsiTheme="minorHAnsi"/>
          <w:sz w:val="24"/>
          <w:szCs w:val="24"/>
          <w:lang w:val="es-ES_tradnl" w:eastAsia="zh-CN"/>
        </w:rPr>
        <w:t>Document</w:t>
      </w:r>
      <w:r w:rsidR="009A1AF0" w:rsidRPr="004B46D7">
        <w:rPr>
          <w:rFonts w:asciiTheme="minorHAnsi" w:hAnsiTheme="minorHAnsi"/>
          <w:sz w:val="24"/>
          <w:szCs w:val="24"/>
          <w:lang w:val="es-ES_tradnl" w:eastAsia="zh-CN"/>
        </w:rPr>
        <w:t>o</w:t>
      </w:r>
      <w:r w:rsidRPr="004B46D7">
        <w:rPr>
          <w:rFonts w:asciiTheme="minorHAnsi" w:hAnsiTheme="minorHAnsi"/>
          <w:sz w:val="24"/>
          <w:szCs w:val="24"/>
          <w:lang w:val="es-ES_tradnl" w:eastAsia="zh-CN"/>
        </w:rPr>
        <w:t xml:space="preserve"> C14/97-E, </w:t>
      </w:r>
      <w:r w:rsidR="00DB54B5" w:rsidRPr="004B46D7">
        <w:rPr>
          <w:rFonts w:asciiTheme="minorHAnsi" w:hAnsiTheme="minorHAnsi"/>
          <w:sz w:val="24"/>
          <w:szCs w:val="24"/>
          <w:lang w:val="es-ES_tradnl" w:eastAsia="zh-CN"/>
        </w:rPr>
        <w:t>Acuerdo</w:t>
      </w:r>
      <w:r w:rsidRPr="004B46D7">
        <w:rPr>
          <w:rFonts w:asciiTheme="minorHAnsi" w:hAnsiTheme="minorHAnsi"/>
          <w:sz w:val="24"/>
          <w:szCs w:val="24"/>
          <w:lang w:val="es-ES_tradnl" w:eastAsia="zh-CN"/>
        </w:rPr>
        <w:t xml:space="preserve"> 571 (</w:t>
      </w:r>
      <w:r w:rsidR="00DB54B5" w:rsidRPr="004B46D7">
        <w:rPr>
          <w:rFonts w:asciiTheme="minorHAnsi" w:hAnsiTheme="minorHAnsi"/>
          <w:sz w:val="24"/>
          <w:szCs w:val="24"/>
          <w:lang w:val="es-ES_tradnl" w:eastAsia="zh-CN"/>
        </w:rPr>
        <w:t>modificado</w:t>
      </w:r>
      <w:r w:rsidR="009A1AF0" w:rsidRPr="004B46D7">
        <w:rPr>
          <w:rFonts w:asciiTheme="minorHAnsi" w:hAnsiTheme="minorHAnsi"/>
          <w:sz w:val="24"/>
          <w:szCs w:val="24"/>
          <w:lang w:val="es-ES_tradnl" w:eastAsia="zh-CN"/>
        </w:rPr>
        <w:t xml:space="preserve"> en</w:t>
      </w:r>
      <w:r w:rsidRPr="004B46D7">
        <w:rPr>
          <w:rFonts w:asciiTheme="minorHAnsi" w:hAnsiTheme="minorHAnsi"/>
          <w:sz w:val="24"/>
          <w:szCs w:val="24"/>
          <w:lang w:val="es-ES_tradnl" w:eastAsia="zh-CN"/>
        </w:rPr>
        <w:t xml:space="preserve"> 2014)</w:t>
      </w:r>
    </w:p>
    <w:p w:rsidR="004B46D7" w:rsidRDefault="004B46D7" w:rsidP="00D42022">
      <w:pPr>
        <w:spacing w:before="0" w:line="240" w:lineRule="auto"/>
        <w:jc w:val="left"/>
        <w:rPr>
          <w:rFonts w:asciiTheme="minorHAnsi" w:hAnsiTheme="minorHAnsi" w:cstheme="minorHAnsi"/>
          <w:b/>
          <w:bCs/>
          <w:sz w:val="18"/>
          <w:szCs w:val="18"/>
          <w:lang w:val="es-ES_tradnl"/>
        </w:rPr>
      </w:pPr>
    </w:p>
    <w:p w:rsidR="009F245D" w:rsidRDefault="009F245D" w:rsidP="00D42022">
      <w:pPr>
        <w:spacing w:before="0" w:line="240" w:lineRule="auto"/>
        <w:jc w:val="left"/>
        <w:rPr>
          <w:rFonts w:asciiTheme="minorHAnsi" w:hAnsiTheme="minorHAnsi" w:cstheme="minorHAnsi"/>
          <w:b/>
          <w:bCs/>
          <w:sz w:val="18"/>
          <w:szCs w:val="18"/>
          <w:lang w:val="es-ES_tradnl"/>
        </w:rPr>
      </w:pPr>
    </w:p>
    <w:p w:rsidR="0015766D" w:rsidRDefault="0015766D" w:rsidP="00D42022">
      <w:pPr>
        <w:spacing w:before="0" w:line="240" w:lineRule="auto"/>
        <w:jc w:val="left"/>
        <w:rPr>
          <w:rFonts w:asciiTheme="minorHAnsi" w:hAnsiTheme="minorHAnsi" w:cstheme="minorHAnsi"/>
          <w:b/>
          <w:bCs/>
          <w:sz w:val="18"/>
          <w:szCs w:val="18"/>
          <w:lang w:val="es-ES_tradnl"/>
        </w:rPr>
      </w:pPr>
    </w:p>
    <w:p w:rsidR="00D42022" w:rsidRPr="00DB54B5" w:rsidRDefault="009A1AF0" w:rsidP="00D42022">
      <w:pPr>
        <w:spacing w:before="0" w:line="240" w:lineRule="auto"/>
        <w:jc w:val="left"/>
        <w:rPr>
          <w:rFonts w:asciiTheme="minorHAnsi" w:hAnsiTheme="minorHAnsi" w:cstheme="minorHAnsi"/>
          <w:b/>
          <w:bCs/>
          <w:sz w:val="18"/>
          <w:szCs w:val="18"/>
          <w:lang w:val="es-ES_tradnl"/>
        </w:rPr>
      </w:pPr>
      <w:r w:rsidRPr="00103A9E">
        <w:rPr>
          <w:b/>
          <w:bCs/>
          <w:sz w:val="18"/>
          <w:szCs w:val="18"/>
          <w:lang w:val="es-ES_tradnl"/>
        </w:rPr>
        <w:t>Distribución</w:t>
      </w:r>
      <w:r w:rsidR="00A11D6F" w:rsidRPr="00DB54B5">
        <w:rPr>
          <w:rFonts w:asciiTheme="minorHAnsi" w:hAnsiTheme="minorHAnsi" w:cstheme="minorHAnsi"/>
          <w:b/>
          <w:bCs/>
          <w:sz w:val="18"/>
          <w:szCs w:val="18"/>
          <w:lang w:val="es-ES_tradnl"/>
        </w:rPr>
        <w:t>:</w:t>
      </w:r>
    </w:p>
    <w:p w:rsidR="002B19CE" w:rsidRPr="009A1AF0" w:rsidRDefault="002B19CE" w:rsidP="0015766D">
      <w:pPr>
        <w:tabs>
          <w:tab w:val="left" w:pos="284"/>
        </w:tabs>
        <w:spacing w:before="60" w:line="240" w:lineRule="auto"/>
        <w:ind w:left="284" w:hanging="284"/>
        <w:rPr>
          <w:sz w:val="18"/>
          <w:szCs w:val="18"/>
          <w:lang w:val="es-ES_tradnl"/>
        </w:rPr>
      </w:pPr>
      <w:r w:rsidRPr="00107F3F">
        <w:rPr>
          <w:sz w:val="18"/>
          <w:szCs w:val="18"/>
        </w:rPr>
        <w:sym w:font="Symbol" w:char="F02D"/>
      </w:r>
      <w:r w:rsidRPr="009A1AF0">
        <w:rPr>
          <w:sz w:val="18"/>
          <w:szCs w:val="18"/>
          <w:lang w:val="es-ES_tradnl"/>
        </w:rPr>
        <w:tab/>
      </w:r>
      <w:r w:rsidR="009A1AF0" w:rsidRPr="00103A9E">
        <w:rPr>
          <w:sz w:val="18"/>
          <w:szCs w:val="18"/>
          <w:lang w:val="es-ES_tradnl"/>
        </w:rPr>
        <w:t>Administraciones de los Estados Miembros de la UIT</w:t>
      </w:r>
    </w:p>
    <w:p w:rsidR="002B19CE" w:rsidRPr="003E44F9" w:rsidRDefault="002B19CE" w:rsidP="003E44F9">
      <w:pPr>
        <w:tabs>
          <w:tab w:val="left" w:pos="284"/>
        </w:tabs>
        <w:spacing w:before="0" w:line="240" w:lineRule="auto"/>
        <w:ind w:left="284" w:hanging="284"/>
        <w:rPr>
          <w:sz w:val="18"/>
          <w:szCs w:val="18"/>
          <w:lang w:val="es-ES_tradnl"/>
        </w:rPr>
      </w:pPr>
      <w:r w:rsidRPr="00107F3F">
        <w:rPr>
          <w:sz w:val="18"/>
          <w:szCs w:val="18"/>
        </w:rPr>
        <w:sym w:font="Symbol" w:char="F02D"/>
      </w:r>
      <w:r w:rsidRPr="003E44F9">
        <w:rPr>
          <w:sz w:val="18"/>
          <w:szCs w:val="18"/>
          <w:lang w:val="es-ES_tradnl"/>
        </w:rPr>
        <w:tab/>
      </w:r>
      <w:r w:rsidR="003E44F9" w:rsidRPr="003E44F9">
        <w:rPr>
          <w:sz w:val="18"/>
          <w:szCs w:val="18"/>
          <w:lang w:val="es-ES_tradnl"/>
        </w:rPr>
        <w:t>Miembros del Sector de Radiocomunicaciones</w:t>
      </w:r>
    </w:p>
    <w:p w:rsidR="002B19CE" w:rsidRPr="003E44F9" w:rsidRDefault="002B19CE" w:rsidP="003E44F9">
      <w:pPr>
        <w:tabs>
          <w:tab w:val="clear" w:pos="794"/>
          <w:tab w:val="left" w:pos="284"/>
        </w:tabs>
        <w:spacing w:before="0" w:line="240" w:lineRule="auto"/>
        <w:rPr>
          <w:sz w:val="18"/>
          <w:szCs w:val="18"/>
          <w:lang w:val="es-ES_tradnl"/>
        </w:rPr>
      </w:pPr>
      <w:r w:rsidRPr="00107F3F">
        <w:rPr>
          <w:sz w:val="18"/>
          <w:szCs w:val="18"/>
        </w:rPr>
        <w:sym w:font="Symbol" w:char="F02D"/>
      </w:r>
      <w:r w:rsidRPr="003E44F9">
        <w:rPr>
          <w:sz w:val="18"/>
          <w:szCs w:val="18"/>
          <w:lang w:val="es-ES_tradnl"/>
        </w:rPr>
        <w:tab/>
      </w:r>
      <w:r w:rsidR="003E44F9" w:rsidRPr="003E44F9">
        <w:rPr>
          <w:sz w:val="18"/>
          <w:szCs w:val="18"/>
          <w:lang w:val="es-ES_tradnl"/>
        </w:rPr>
        <w:t>Presidentes y Vicepresidentes de las Comisiones de Estudio de Radiocomunicaciones</w:t>
      </w:r>
      <w:r w:rsidR="003E44F9">
        <w:rPr>
          <w:sz w:val="18"/>
          <w:szCs w:val="18"/>
          <w:lang w:val="es-ES_tradnl"/>
        </w:rPr>
        <w:t xml:space="preserve"> y</w:t>
      </w:r>
    </w:p>
    <w:p w:rsidR="002B19CE" w:rsidRPr="00C40DDF" w:rsidRDefault="002B19CE" w:rsidP="00C40DDF">
      <w:pPr>
        <w:tabs>
          <w:tab w:val="clear" w:pos="794"/>
          <w:tab w:val="left" w:pos="284"/>
        </w:tabs>
        <w:spacing w:before="0" w:line="240" w:lineRule="auto"/>
        <w:rPr>
          <w:sz w:val="18"/>
          <w:szCs w:val="18"/>
          <w:lang w:val="es-ES_tradnl"/>
        </w:rPr>
      </w:pPr>
      <w:r w:rsidRPr="003E44F9">
        <w:rPr>
          <w:sz w:val="18"/>
          <w:szCs w:val="18"/>
          <w:lang w:val="es-ES_tradnl"/>
        </w:rPr>
        <w:tab/>
      </w:r>
      <w:r w:rsidR="00C40DDF" w:rsidRPr="00C40DDF">
        <w:rPr>
          <w:sz w:val="18"/>
          <w:szCs w:val="18"/>
          <w:lang w:val="es-ES_tradnl"/>
        </w:rPr>
        <w:t xml:space="preserve">Comisión Especial para el examen de </w:t>
      </w:r>
      <w:r w:rsidR="00C40DDF">
        <w:rPr>
          <w:sz w:val="18"/>
          <w:szCs w:val="18"/>
          <w:lang w:val="es-ES_tradnl"/>
        </w:rPr>
        <w:t>los asuntos reglamentarios y de procedimiento</w:t>
      </w:r>
    </w:p>
    <w:p w:rsidR="002B19CE" w:rsidRPr="00C40DDF" w:rsidRDefault="002B19CE" w:rsidP="00C40DDF">
      <w:pPr>
        <w:tabs>
          <w:tab w:val="clear" w:pos="794"/>
          <w:tab w:val="left" w:pos="284"/>
        </w:tabs>
        <w:spacing w:before="0" w:line="240" w:lineRule="auto"/>
        <w:rPr>
          <w:sz w:val="18"/>
          <w:szCs w:val="18"/>
          <w:lang w:val="es-ES_tradnl"/>
        </w:rPr>
      </w:pPr>
      <w:r w:rsidRPr="00107F3F">
        <w:rPr>
          <w:sz w:val="18"/>
          <w:szCs w:val="18"/>
        </w:rPr>
        <w:sym w:font="Symbol" w:char="F02D"/>
      </w:r>
      <w:r w:rsidRPr="00C40DDF">
        <w:rPr>
          <w:sz w:val="18"/>
          <w:szCs w:val="18"/>
          <w:lang w:val="es-ES_tradnl"/>
        </w:rPr>
        <w:tab/>
      </w:r>
      <w:r w:rsidR="00C40DDF" w:rsidRPr="00C40DDF">
        <w:rPr>
          <w:sz w:val="18"/>
          <w:szCs w:val="18"/>
          <w:lang w:val="es-ES_tradnl"/>
        </w:rPr>
        <w:t>Presidente y Vicepresidentes del Grupo Asesor de Radiocomunicaciones</w:t>
      </w:r>
    </w:p>
    <w:p w:rsidR="002B19CE" w:rsidRPr="00C40DDF" w:rsidRDefault="002B19CE" w:rsidP="00C40DDF">
      <w:pPr>
        <w:tabs>
          <w:tab w:val="left" w:pos="284"/>
        </w:tabs>
        <w:spacing w:before="0" w:line="240" w:lineRule="auto"/>
        <w:ind w:left="284" w:hanging="284"/>
        <w:rPr>
          <w:sz w:val="18"/>
          <w:szCs w:val="18"/>
          <w:lang w:val="es-ES_tradnl"/>
        </w:rPr>
      </w:pPr>
      <w:r w:rsidRPr="00107F3F">
        <w:rPr>
          <w:sz w:val="18"/>
          <w:szCs w:val="18"/>
        </w:rPr>
        <w:sym w:font="Symbol" w:char="F02D"/>
      </w:r>
      <w:r w:rsidRPr="00C40DDF">
        <w:rPr>
          <w:sz w:val="18"/>
          <w:szCs w:val="18"/>
          <w:lang w:val="es-ES_tradnl"/>
        </w:rPr>
        <w:tab/>
      </w:r>
      <w:r w:rsidR="00C40DDF" w:rsidRPr="00C40DDF">
        <w:rPr>
          <w:sz w:val="18"/>
          <w:szCs w:val="18"/>
          <w:lang w:val="es-ES_tradnl"/>
        </w:rPr>
        <w:t xml:space="preserve">Presidente y Vicepresidentes de </w:t>
      </w:r>
      <w:r w:rsidR="008A311D">
        <w:rPr>
          <w:sz w:val="18"/>
          <w:szCs w:val="18"/>
          <w:lang w:val="es-ES_tradnl"/>
        </w:rPr>
        <w:t xml:space="preserve">la </w:t>
      </w:r>
      <w:r w:rsidR="00C40DDF">
        <w:rPr>
          <w:sz w:val="18"/>
          <w:szCs w:val="18"/>
          <w:lang w:val="es-ES_tradnl"/>
        </w:rPr>
        <w:t>Reunión Preparatoria de la Conferencia</w:t>
      </w:r>
    </w:p>
    <w:p w:rsidR="002B19CE" w:rsidRPr="009A1AF0" w:rsidRDefault="002B19CE" w:rsidP="009A1AF0">
      <w:pPr>
        <w:tabs>
          <w:tab w:val="clear" w:pos="794"/>
          <w:tab w:val="left" w:pos="284"/>
        </w:tabs>
        <w:spacing w:before="0" w:line="240" w:lineRule="auto"/>
        <w:rPr>
          <w:sz w:val="18"/>
          <w:szCs w:val="18"/>
          <w:lang w:val="es-ES_tradnl"/>
        </w:rPr>
      </w:pPr>
      <w:r w:rsidRPr="00107F3F">
        <w:rPr>
          <w:sz w:val="18"/>
          <w:szCs w:val="18"/>
        </w:rPr>
        <w:sym w:font="Symbol" w:char="F02D"/>
      </w:r>
      <w:r w:rsidRPr="009A1AF0">
        <w:rPr>
          <w:sz w:val="18"/>
          <w:szCs w:val="18"/>
          <w:lang w:val="es-ES_tradnl"/>
        </w:rPr>
        <w:tab/>
      </w:r>
      <w:r w:rsidR="009A1AF0" w:rsidRPr="00103A9E">
        <w:rPr>
          <w:sz w:val="18"/>
          <w:szCs w:val="18"/>
          <w:lang w:val="es-ES_tradnl"/>
        </w:rPr>
        <w:t>Miembros de la Junta del Reglamento de Radiocomunicaciones</w:t>
      </w:r>
    </w:p>
    <w:p w:rsidR="002B19CE" w:rsidRPr="003E44F9" w:rsidRDefault="002B19CE" w:rsidP="003E44F9">
      <w:pPr>
        <w:pStyle w:val="Footer"/>
        <w:tabs>
          <w:tab w:val="left" w:pos="284"/>
          <w:tab w:val="left" w:pos="1191"/>
          <w:tab w:val="left" w:pos="1588"/>
          <w:tab w:val="left" w:pos="1985"/>
        </w:tabs>
        <w:spacing w:before="0" w:line="240" w:lineRule="auto"/>
        <w:rPr>
          <w:caps/>
          <w:sz w:val="18"/>
          <w:szCs w:val="18"/>
          <w:lang w:val="es-ES_tradnl"/>
        </w:rPr>
      </w:pPr>
      <w:r w:rsidRPr="00107F3F">
        <w:rPr>
          <w:caps/>
          <w:sz w:val="18"/>
          <w:szCs w:val="18"/>
        </w:rPr>
        <w:sym w:font="Symbol" w:char="F02D"/>
      </w:r>
      <w:r w:rsidRPr="003E44F9">
        <w:rPr>
          <w:caps/>
          <w:sz w:val="18"/>
          <w:szCs w:val="18"/>
          <w:lang w:val="es-ES_tradnl"/>
        </w:rPr>
        <w:tab/>
      </w:r>
      <w:r w:rsidR="003E44F9" w:rsidRPr="003E44F9">
        <w:rPr>
          <w:sz w:val="18"/>
          <w:szCs w:val="18"/>
          <w:lang w:val="es-ES_tradnl"/>
        </w:rPr>
        <w:t>Secretario General de la UIT</w:t>
      </w:r>
      <w:r w:rsidRPr="003E44F9">
        <w:rPr>
          <w:sz w:val="18"/>
          <w:szCs w:val="18"/>
          <w:lang w:val="es-ES_tradnl"/>
        </w:rPr>
        <w:t xml:space="preserve">, Director </w:t>
      </w:r>
      <w:r w:rsidR="003E44F9" w:rsidRPr="003E44F9">
        <w:rPr>
          <w:sz w:val="18"/>
          <w:szCs w:val="18"/>
          <w:lang w:val="es-ES_tradnl"/>
        </w:rPr>
        <w:t>de la Oficina de Normalizaci</w:t>
      </w:r>
      <w:r w:rsidR="003E44F9">
        <w:rPr>
          <w:sz w:val="18"/>
          <w:szCs w:val="18"/>
          <w:lang w:val="es-ES_tradnl"/>
        </w:rPr>
        <w:t>ón de las Telecomunicaciones</w:t>
      </w:r>
      <w:r w:rsidRPr="003E44F9">
        <w:rPr>
          <w:caps/>
          <w:sz w:val="18"/>
          <w:szCs w:val="18"/>
          <w:lang w:val="es-ES_tradnl"/>
        </w:rPr>
        <w:t>,</w:t>
      </w:r>
    </w:p>
    <w:p w:rsidR="00BC1F29" w:rsidRDefault="002B19CE" w:rsidP="00BC1F29">
      <w:pPr>
        <w:tabs>
          <w:tab w:val="clear" w:pos="794"/>
          <w:tab w:val="left" w:pos="284"/>
        </w:tabs>
        <w:spacing w:before="0" w:line="240" w:lineRule="auto"/>
        <w:jc w:val="left"/>
        <w:rPr>
          <w:sz w:val="18"/>
          <w:szCs w:val="18"/>
          <w:lang w:val="es-ES_tradnl"/>
        </w:rPr>
        <w:sectPr w:rsidR="00BC1F29" w:rsidSect="004B46D7">
          <w:headerReference w:type="even" r:id="rId10"/>
          <w:headerReference w:type="default" r:id="rId11"/>
          <w:footerReference w:type="even" r:id="rId12"/>
          <w:footerReference w:type="default" r:id="rId13"/>
          <w:headerReference w:type="first" r:id="rId14"/>
          <w:footerReference w:type="first" r:id="rId15"/>
          <w:pgSz w:w="11907" w:h="16834" w:code="9"/>
          <w:pgMar w:top="1559" w:right="1134" w:bottom="992" w:left="1134" w:header="567" w:footer="397" w:gutter="0"/>
          <w:cols w:space="720"/>
          <w:titlePg/>
        </w:sectPr>
      </w:pPr>
      <w:r w:rsidRPr="003E44F9">
        <w:rPr>
          <w:sz w:val="18"/>
          <w:szCs w:val="18"/>
          <w:lang w:val="es-ES_tradnl"/>
        </w:rPr>
        <w:tab/>
        <w:t xml:space="preserve">Director </w:t>
      </w:r>
      <w:r w:rsidR="003E44F9" w:rsidRPr="003E44F9">
        <w:rPr>
          <w:sz w:val="18"/>
          <w:szCs w:val="18"/>
          <w:lang w:val="es-ES_tradnl"/>
        </w:rPr>
        <w:t>de la Oficina de Desarrollo de las Telecomunicaciones</w:t>
      </w:r>
    </w:p>
    <w:tbl>
      <w:tblPr>
        <w:tblpPr w:leftFromText="180" w:rightFromText="180" w:vertAnchor="page" w:horzAnchor="margin" w:tblpY="1667"/>
        <w:tblW w:w="10173" w:type="dxa"/>
        <w:tblLayout w:type="fixed"/>
        <w:tblLook w:val="0000" w:firstRow="0" w:lastRow="0" w:firstColumn="0" w:lastColumn="0" w:noHBand="0" w:noVBand="0"/>
      </w:tblPr>
      <w:tblGrid>
        <w:gridCol w:w="6912"/>
        <w:gridCol w:w="3261"/>
      </w:tblGrid>
      <w:tr w:rsidR="00BC1F29" w:rsidRPr="00BC1F29" w:rsidTr="00BC1F29">
        <w:trPr>
          <w:cantSplit/>
        </w:trPr>
        <w:tc>
          <w:tcPr>
            <w:tcW w:w="6912" w:type="dxa"/>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360" w:line="240" w:lineRule="auto"/>
              <w:jc w:val="left"/>
              <w:rPr>
                <w:rFonts w:cs="Times New Roman"/>
                <w:sz w:val="24"/>
                <w:szCs w:val="24"/>
                <w:lang w:val="es-ES_tradnl"/>
              </w:rPr>
            </w:pPr>
            <w:bookmarkStart w:id="0" w:name="dc06"/>
            <w:bookmarkStart w:id="1" w:name="dbluepink" w:colFirst="0" w:colLast="0"/>
            <w:bookmarkEnd w:id="0"/>
            <w:r w:rsidRPr="00BC1F29">
              <w:rPr>
                <w:rFonts w:cs="Times New Roman"/>
                <w:b/>
                <w:bCs/>
                <w:sz w:val="30"/>
                <w:szCs w:val="30"/>
                <w:lang w:val="es-ES_tradnl"/>
              </w:rPr>
              <w:lastRenderedPageBreak/>
              <w:t>Consejo 2014</w:t>
            </w:r>
            <w:r w:rsidRPr="00BC1F29">
              <w:rPr>
                <w:rFonts w:cs="Times New Roman"/>
                <w:b/>
                <w:bCs/>
                <w:sz w:val="26"/>
                <w:szCs w:val="26"/>
                <w:lang w:val="es-ES_tradnl"/>
              </w:rPr>
              <w:br/>
            </w:r>
            <w:r w:rsidRPr="00BC1F29">
              <w:rPr>
                <w:rFonts w:cs="Times New Roman"/>
                <w:b/>
                <w:bCs/>
                <w:sz w:val="24"/>
                <w:szCs w:val="24"/>
                <w:lang w:val="es-ES_tradnl"/>
              </w:rPr>
              <w:t>Ginebra, 6-15 de mayo de 2014</w:t>
            </w:r>
          </w:p>
        </w:tc>
        <w:tc>
          <w:tcPr>
            <w:tcW w:w="3261" w:type="dxa"/>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sz w:val="24"/>
                <w:szCs w:val="24"/>
                <w:lang w:val="es-ES_tradnl"/>
              </w:rPr>
            </w:pPr>
            <w:bookmarkStart w:id="2" w:name="ditulogo"/>
            <w:bookmarkEnd w:id="2"/>
            <w:r w:rsidRPr="00BC1F29">
              <w:rPr>
                <w:rFonts w:ascii="Verdana" w:hAnsi="Verdana" w:cs="Times New Roman"/>
                <w:b/>
                <w:bCs/>
                <w:noProof/>
                <w:sz w:val="24"/>
                <w:szCs w:val="24"/>
                <w:lang w:eastAsia="zh-CN"/>
              </w:rPr>
              <w:drawing>
                <wp:inline distT="0" distB="0" distL="0" distR="0" wp14:anchorId="03AD6C1D" wp14:editId="2F194B16">
                  <wp:extent cx="1775460" cy="693420"/>
                  <wp:effectExtent l="19050" t="0" r="0" b="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16"/>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BC1F29" w:rsidRPr="00BC1F29" w:rsidTr="00BC1F29">
        <w:trPr>
          <w:cantSplit/>
          <w:trHeight w:val="20"/>
        </w:trPr>
        <w:tc>
          <w:tcPr>
            <w:tcW w:w="10173" w:type="dxa"/>
            <w:gridSpan w:val="2"/>
            <w:tcBorders>
              <w:bottom w:val="single" w:sz="12" w:space="0" w:color="auto"/>
            </w:tcBorders>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b/>
                <w:bCs/>
                <w:sz w:val="24"/>
                <w:szCs w:val="24"/>
                <w:lang w:val="es-ES_tradnl"/>
              </w:rPr>
            </w:pPr>
          </w:p>
        </w:tc>
      </w:tr>
      <w:tr w:rsidR="00BC1F29" w:rsidRPr="00BC1F29" w:rsidTr="00BC1F29">
        <w:trPr>
          <w:cantSplit/>
          <w:trHeight w:val="20"/>
        </w:trPr>
        <w:tc>
          <w:tcPr>
            <w:tcW w:w="6912" w:type="dxa"/>
            <w:tcBorders>
              <w:top w:val="single" w:sz="12" w:space="0" w:color="auto"/>
            </w:tcBorders>
          </w:tcPr>
          <w:p w:rsidR="00BC1F29" w:rsidRPr="00BC1F29" w:rsidRDefault="00BC1F29" w:rsidP="00BC1F29">
            <w:pPr>
              <w:tabs>
                <w:tab w:val="clear" w:pos="794"/>
                <w:tab w:val="clear" w:pos="1191"/>
                <w:tab w:val="clear" w:pos="1588"/>
                <w:tab w:val="clear" w:pos="1985"/>
                <w:tab w:val="left" w:pos="567"/>
                <w:tab w:val="left" w:pos="1134"/>
                <w:tab w:val="left" w:pos="1560"/>
                <w:tab w:val="left" w:pos="1701"/>
                <w:tab w:val="left" w:pos="2269"/>
                <w:tab w:val="left" w:pos="2835"/>
                <w:tab w:val="left" w:pos="3544"/>
                <w:tab w:val="left" w:pos="3969"/>
              </w:tabs>
              <w:spacing w:before="0" w:line="240" w:lineRule="atLeast"/>
              <w:jc w:val="left"/>
              <w:rPr>
                <w:rFonts w:cs="Times New Roman"/>
                <w:b/>
                <w:smallCaps/>
                <w:sz w:val="24"/>
                <w:szCs w:val="24"/>
                <w:lang w:val="es-ES_tradnl"/>
              </w:rPr>
            </w:pPr>
          </w:p>
        </w:tc>
        <w:tc>
          <w:tcPr>
            <w:tcW w:w="3261" w:type="dxa"/>
            <w:tcBorders>
              <w:top w:val="single" w:sz="12" w:space="0" w:color="auto"/>
            </w:tcBorders>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b/>
                <w:bCs/>
                <w:sz w:val="24"/>
                <w:szCs w:val="24"/>
                <w:lang w:val="es-ES_tradnl"/>
              </w:rPr>
            </w:pPr>
          </w:p>
        </w:tc>
      </w:tr>
      <w:tr w:rsidR="00BC1F29" w:rsidRPr="00BC1F29" w:rsidTr="00BC1F29">
        <w:trPr>
          <w:cantSplit/>
          <w:trHeight w:val="20"/>
        </w:trPr>
        <w:tc>
          <w:tcPr>
            <w:tcW w:w="6912" w:type="dxa"/>
            <w:shd w:val="clear" w:color="auto" w:fill="auto"/>
          </w:tcPr>
          <w:p w:rsidR="00BC1F29" w:rsidRPr="00BC1F29" w:rsidRDefault="00BC1F29" w:rsidP="00BC1F29">
            <w:pPr>
              <w:tabs>
                <w:tab w:val="clear" w:pos="794"/>
                <w:tab w:val="clear" w:pos="1191"/>
                <w:tab w:val="clear" w:pos="1588"/>
                <w:tab w:val="clear" w:pos="1985"/>
                <w:tab w:val="left" w:pos="567"/>
                <w:tab w:val="left" w:pos="1134"/>
                <w:tab w:val="left" w:pos="1560"/>
                <w:tab w:val="left" w:pos="1701"/>
                <w:tab w:val="left" w:pos="2269"/>
                <w:tab w:val="left" w:pos="2835"/>
                <w:tab w:val="left" w:pos="3544"/>
                <w:tab w:val="left" w:pos="3969"/>
              </w:tabs>
              <w:spacing w:before="0" w:line="240" w:lineRule="atLeast"/>
              <w:jc w:val="left"/>
              <w:rPr>
                <w:b/>
                <w:sz w:val="24"/>
                <w:szCs w:val="24"/>
                <w:lang w:val="es-ES_tradnl"/>
              </w:rPr>
            </w:pPr>
            <w:bookmarkStart w:id="3" w:name="dnum" w:colFirst="1" w:colLast="1"/>
            <w:bookmarkStart w:id="4" w:name="dmeeting" w:colFirst="0" w:colLast="0"/>
          </w:p>
        </w:tc>
        <w:tc>
          <w:tcPr>
            <w:tcW w:w="3261" w:type="dxa"/>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 w:val="24"/>
                <w:szCs w:val="24"/>
                <w:lang w:val="es-ES_tradnl"/>
              </w:rPr>
            </w:pPr>
            <w:r w:rsidRPr="00BC1F29">
              <w:rPr>
                <w:b/>
                <w:bCs/>
                <w:sz w:val="24"/>
                <w:szCs w:val="24"/>
                <w:lang w:val="es-ES_tradnl"/>
              </w:rPr>
              <w:t>Documento C14/97-S</w:t>
            </w:r>
          </w:p>
        </w:tc>
      </w:tr>
      <w:tr w:rsidR="00BC1F29" w:rsidRPr="00BC1F29" w:rsidTr="00BC1F29">
        <w:trPr>
          <w:cantSplit/>
          <w:trHeight w:val="20"/>
        </w:trPr>
        <w:tc>
          <w:tcPr>
            <w:tcW w:w="6912" w:type="dxa"/>
            <w:shd w:val="clear" w:color="auto" w:fill="auto"/>
          </w:tcPr>
          <w:p w:rsidR="00BC1F29" w:rsidRPr="00BC1F29" w:rsidRDefault="00BC1F29" w:rsidP="00BC1F29">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smallCaps/>
                <w:sz w:val="24"/>
                <w:szCs w:val="24"/>
                <w:lang w:val="es-ES_tradnl"/>
              </w:rPr>
            </w:pPr>
            <w:bookmarkStart w:id="5" w:name="ddate" w:colFirst="1" w:colLast="1"/>
            <w:bookmarkEnd w:id="3"/>
            <w:bookmarkEnd w:id="4"/>
          </w:p>
        </w:tc>
        <w:tc>
          <w:tcPr>
            <w:tcW w:w="3261" w:type="dxa"/>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 w:val="24"/>
                <w:szCs w:val="24"/>
                <w:lang w:val="es-ES_tradnl"/>
              </w:rPr>
            </w:pPr>
            <w:r w:rsidRPr="00BC1F29">
              <w:rPr>
                <w:b/>
                <w:bCs/>
                <w:sz w:val="24"/>
                <w:szCs w:val="24"/>
                <w:lang w:val="es-ES_tradnl"/>
              </w:rPr>
              <w:t>15 de mayo de 2014</w:t>
            </w:r>
          </w:p>
        </w:tc>
      </w:tr>
      <w:tr w:rsidR="00BC1F29" w:rsidRPr="00BC1F29" w:rsidTr="00BC1F29">
        <w:trPr>
          <w:cantSplit/>
          <w:trHeight w:val="20"/>
        </w:trPr>
        <w:tc>
          <w:tcPr>
            <w:tcW w:w="6912" w:type="dxa"/>
            <w:shd w:val="clear" w:color="auto" w:fill="auto"/>
          </w:tcPr>
          <w:p w:rsidR="00BC1F29" w:rsidRPr="00BC1F29" w:rsidRDefault="00BC1F29" w:rsidP="00BC1F29">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smallCaps/>
                <w:sz w:val="24"/>
                <w:szCs w:val="24"/>
                <w:lang w:val="es-ES_tradnl"/>
              </w:rPr>
            </w:pPr>
            <w:bookmarkStart w:id="6" w:name="dorlang" w:colFirst="1" w:colLast="1"/>
            <w:bookmarkEnd w:id="5"/>
          </w:p>
        </w:tc>
        <w:tc>
          <w:tcPr>
            <w:tcW w:w="3261" w:type="dxa"/>
          </w:tcPr>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 w:val="24"/>
                <w:szCs w:val="24"/>
                <w:lang w:val="es-ES_tradnl"/>
              </w:rPr>
            </w:pPr>
            <w:r w:rsidRPr="00BC1F29">
              <w:rPr>
                <w:b/>
                <w:bCs/>
                <w:sz w:val="24"/>
                <w:szCs w:val="24"/>
                <w:lang w:val="es-ES_tradnl"/>
              </w:rPr>
              <w:t>Original: inglés</w:t>
            </w:r>
          </w:p>
        </w:tc>
      </w:tr>
      <w:bookmarkEnd w:id="1"/>
      <w:bookmarkEnd w:id="6"/>
    </w:tbl>
    <w:p w:rsidR="00BC1F29" w:rsidRDefault="00BC1F29" w:rsidP="00BC1F29">
      <w:pPr>
        <w:rPr>
          <w:lang w:val="es-ES_tradnl"/>
        </w:rPr>
      </w:pP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rPr>
          <w:rFonts w:cs="Times New Roman"/>
          <w:bCs/>
          <w:caps/>
          <w:sz w:val="28"/>
          <w:szCs w:val="20"/>
          <w:lang w:val="es-ES_tradnl"/>
        </w:rPr>
      </w:pPr>
      <w:r w:rsidRPr="00BC1F29">
        <w:rPr>
          <w:rFonts w:cs="Times New Roman"/>
          <w:bCs/>
          <w:caps/>
          <w:sz w:val="28"/>
          <w:szCs w:val="20"/>
          <w:lang w:val="es-ES_tradnl"/>
        </w:rPr>
        <w:t>ACUERDO 571 (</w:t>
      </w:r>
      <w:r w:rsidRPr="00BC1F29">
        <w:rPr>
          <w:rFonts w:cs="Times New Roman"/>
          <w:bCs/>
          <w:sz w:val="28"/>
          <w:szCs w:val="20"/>
          <w:lang w:val="es-ES_tradnl"/>
        </w:rPr>
        <w:t xml:space="preserve">modificado en </w:t>
      </w:r>
      <w:r w:rsidRPr="00BC1F29">
        <w:rPr>
          <w:rFonts w:cs="Times New Roman"/>
          <w:bCs/>
          <w:caps/>
          <w:sz w:val="28"/>
          <w:szCs w:val="20"/>
          <w:lang w:val="es-ES_tradnl"/>
        </w:rPr>
        <w:t>2014)</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Times New Roman"/>
          <w:sz w:val="24"/>
          <w:szCs w:val="24"/>
          <w:lang w:val="es-ES_tradnl"/>
        </w:rPr>
      </w:pPr>
      <w:r w:rsidRPr="00BC1F29">
        <w:rPr>
          <w:rFonts w:cs="Times New Roman"/>
          <w:bCs/>
          <w:sz w:val="24"/>
          <w:szCs w:val="24"/>
          <w:lang w:val="es-ES_tradnl"/>
        </w:rPr>
        <w:t>(</w:t>
      </w:r>
      <w:proofErr w:type="gramStart"/>
      <w:r w:rsidRPr="00BC1F29">
        <w:rPr>
          <w:rFonts w:cs="Times New Roman"/>
          <w:bCs/>
          <w:sz w:val="24"/>
          <w:szCs w:val="24"/>
          <w:lang w:val="es-ES_tradnl"/>
        </w:rPr>
        <w:t>adoptado</w:t>
      </w:r>
      <w:proofErr w:type="gramEnd"/>
      <w:r w:rsidRPr="00BC1F29">
        <w:rPr>
          <w:rFonts w:cs="Times New Roman"/>
          <w:bCs/>
          <w:sz w:val="24"/>
          <w:szCs w:val="24"/>
          <w:lang w:val="es-ES_tradnl"/>
        </w:rPr>
        <w:t xml:space="preserve"> en la séptima Sesión Plenaria)</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rPr>
          <w:b/>
          <w:sz w:val="28"/>
          <w:szCs w:val="20"/>
          <w:lang w:val="es-ES_tradnl"/>
        </w:rPr>
      </w:pPr>
      <w:r w:rsidRPr="00BC1F29">
        <w:rPr>
          <w:rFonts w:cs="Times New Roman"/>
          <w:b/>
          <w:sz w:val="28"/>
          <w:szCs w:val="20"/>
          <w:lang w:val="es-ES_tradnl"/>
        </w:rPr>
        <w:t>Acceso gratuito en línea a los Reglamentos Administrativos, las Resoluciones y Acuerdos del Consejo y otras Publicaciones de la UIT</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rPr>
          <w:sz w:val="24"/>
          <w:szCs w:val="20"/>
          <w:lang w:val="es-ES_tradnl"/>
        </w:rPr>
      </w:pPr>
      <w:r w:rsidRPr="00BC1F29">
        <w:rPr>
          <w:rFonts w:cs="Times New Roman"/>
          <w:sz w:val="24"/>
          <w:szCs w:val="20"/>
          <w:lang w:val="es-ES_tradnl"/>
        </w:rPr>
        <w:t>El Consejo,</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t>observando</w:t>
      </w:r>
      <w:proofErr w:type="gramEnd"/>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a)</w:t>
      </w:r>
      <w:r w:rsidRPr="00BC1F29">
        <w:rPr>
          <w:rFonts w:cs="Times New Roman"/>
          <w:sz w:val="24"/>
          <w:szCs w:val="20"/>
          <w:lang w:val="es-ES_tradnl"/>
        </w:rPr>
        <w:tab/>
        <w:t>la Decisión 12 (Guadalajara, 2010) de la Conferencia de Plenipotenciarios, sobre el acceso gratuito en línea a las Publicaciones de la UIT, mediante la que se aprueba el acceso gratuito en línea a las Recomendaciones del UIT-T, las Recomendaciones del UIT-R, los Informes del UIT-R, los Textos Fundamentales de la Unión y las Actas Finales de la Conferencia de Plenipotenciarios;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b)</w:t>
      </w:r>
      <w:r w:rsidRPr="00BC1F29">
        <w:rPr>
          <w:rFonts w:cs="Times New Roman"/>
          <w:sz w:val="24"/>
          <w:szCs w:val="20"/>
          <w:lang w:val="es-ES_tradnl"/>
        </w:rPr>
        <w:tab/>
        <w:t>que la Decisión 12 encarga al Consejo que lleve a cabo un estudio integral de los costes/beneficios de proporcionar acceso gratuito en línea a otros textos de la Unión, con inclusión de los Reglamentos Administrativos de la Unión,</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t>observando</w:t>
      </w:r>
      <w:proofErr w:type="gramEnd"/>
      <w:r w:rsidRPr="00BC1F29">
        <w:rPr>
          <w:rFonts w:cs="Times New Roman"/>
          <w:i/>
          <w:sz w:val="24"/>
          <w:szCs w:val="20"/>
          <w:lang w:val="es-ES_tradnl"/>
        </w:rPr>
        <w:t xml:space="preserve"> además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a)</w:t>
      </w:r>
      <w:r w:rsidRPr="00BC1F29">
        <w:rPr>
          <w:rFonts w:cs="Times New Roman"/>
          <w:sz w:val="24"/>
          <w:szCs w:val="20"/>
          <w:lang w:val="es-ES_tradnl"/>
        </w:rPr>
        <w:tab/>
        <w:t>el Artículo 4 de la Constitución de la UIT, que define los Reglamentos Administrativos (es decir, el Reglamento de las Telecomunicaciones Internacionales y el Reglamento de Radiocomunicaciones) como instrumentos de la Unión que complementan la Constitución y el Convenio de la UIT;</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b)</w:t>
      </w:r>
      <w:r w:rsidRPr="00BC1F29">
        <w:rPr>
          <w:rFonts w:cs="Times New Roman"/>
          <w:sz w:val="24"/>
          <w:szCs w:val="20"/>
          <w:lang w:val="es-ES_tradnl"/>
        </w:rPr>
        <w:tab/>
        <w:t>el Artículo 6 de la Constitución de la UIT, que determina que los Estados Miembros están obligados a atenerse a las disposiciones de los Reglamentos Administrativos;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c)</w:t>
      </w:r>
      <w:r w:rsidRPr="00BC1F29">
        <w:rPr>
          <w:rFonts w:cs="Times New Roman"/>
          <w:sz w:val="24"/>
          <w:szCs w:val="20"/>
          <w:lang w:val="es-ES_tradnl"/>
        </w:rPr>
        <w:tab/>
        <w:t>que, de conformidad con el Artículo 10 de la Constitución de la UIT, en el intervalo entre Conferencias de Plenipotenciarios, el Consejo actuará, en cuanto órgano de gobierno de la Unión, como mandatario de la Conferencia de Plenipotenciarios, dentro de los límites de las facultades que ésta le delegue y que las Resoluciones y Acuerdos del Consejo serán los instrumentos que garanticen la coordinación eficaz de las actividades de la Unión y que se ejerce un control financiero efectivo sobre la Secretaría General y los tres Sectores;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d)</w:t>
      </w:r>
      <w:r w:rsidRPr="00BC1F29">
        <w:rPr>
          <w:rFonts w:cs="Times New Roman"/>
          <w:sz w:val="24"/>
          <w:szCs w:val="20"/>
          <w:lang w:val="es-ES_tradnl"/>
        </w:rPr>
        <w:tab/>
        <w:t xml:space="preserve">la Resolución 9 (Rev. Dubái, 2014) de la Conferencia Mundial de Desarrollo de las Telecomunicaciones, sobre la participación de los países, en particular de los países en desarrollo, </w:t>
      </w:r>
      <w:r w:rsidRPr="00BC1F29">
        <w:rPr>
          <w:rFonts w:cs="Times New Roman"/>
          <w:sz w:val="24"/>
          <w:szCs w:val="20"/>
          <w:lang w:val="es-ES_tradnl"/>
        </w:rPr>
        <w:lastRenderedPageBreak/>
        <w:t>en la gestión del espectro de frecuencias, que reconoce la importancia de dar acceso a la documentación relacionada con las radiocomunicaciones a fin de facilitar la labor de los gestores del espectro de radiofrecuencias;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e)</w:t>
      </w:r>
      <w:r w:rsidRPr="00BC1F29">
        <w:rPr>
          <w:rFonts w:cs="Times New Roman"/>
          <w:sz w:val="24"/>
          <w:szCs w:val="20"/>
          <w:lang w:val="es-ES_tradnl"/>
        </w:rPr>
        <w:tab/>
        <w:t>la Resolución 34 (Rev. Dubái, 2014) de la Conferencia Mundial de Desarrollo de las Telecomunicaciones sobre la función de las telecomunicaciones y las tecnologías de la información y la comunicación en la preparación, alerta temprana, rescate, mitigación, socorro y respuesta en situaciones de catástrofe, en la que se señala la importancia para la humanidad de las publicaciones de la UIT relativas a este tipo de actividades,</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t>considerando</w:t>
      </w:r>
      <w:proofErr w:type="gramEnd"/>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a)</w:t>
      </w:r>
      <w:r w:rsidRPr="00BC1F29">
        <w:rPr>
          <w:rFonts w:cs="Times New Roman"/>
          <w:sz w:val="24"/>
          <w:szCs w:val="20"/>
          <w:lang w:val="es-ES_tradnl"/>
        </w:rPr>
        <w:tab/>
        <w:t>que el acceso gratuito a los Textos Fundamentales de la Unión contribuye a cumplir el objeto básico de la UIT, según se define en el Artículo 1 de la Constitución de la UIT;</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b)</w:t>
      </w:r>
      <w:r w:rsidRPr="00BC1F29">
        <w:rPr>
          <w:rFonts w:cs="Times New Roman"/>
          <w:sz w:val="24"/>
          <w:szCs w:val="20"/>
          <w:lang w:val="es-ES_tradnl"/>
        </w:rPr>
        <w:tab/>
        <w:t xml:space="preserve">que, en lo que respecta a los instrumentos de la UIT destinados a convertirse en legislación nacional, los Estados Miembros tienen </w:t>
      </w:r>
      <w:r w:rsidRPr="00BC1F29">
        <w:rPr>
          <w:rFonts w:cs="Times New Roman"/>
          <w:i/>
          <w:sz w:val="24"/>
          <w:szCs w:val="20"/>
          <w:lang w:val="es-ES_tradnl"/>
        </w:rPr>
        <w:t>de facto</w:t>
      </w:r>
      <w:r w:rsidRPr="00BC1F29">
        <w:rPr>
          <w:rFonts w:cs="Times New Roman"/>
          <w:sz w:val="24"/>
          <w:szCs w:val="20"/>
          <w:lang w:val="es-ES_tradnl"/>
        </w:rPr>
        <w:t xml:space="preserve"> libertad para reproducir, traducir y publicar dichos textos en los sitios web gubernamentales oficiales, así como en el boletín oficial o publicaciones equivalentes, de conformidad con sus respectivas legislaciones nacionales;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c)</w:t>
      </w:r>
      <w:r w:rsidRPr="00BC1F29">
        <w:rPr>
          <w:rFonts w:cs="Times New Roman"/>
          <w:sz w:val="24"/>
          <w:szCs w:val="20"/>
          <w:lang w:val="es-ES_tradnl"/>
        </w:rPr>
        <w:tab/>
        <w:t>que el acceso gratuito a las Resoluciones y Acuerdos del Consejo ayuda a los Estados Miembros y Miembros de Sector de la UIT a obtener información sobre los planes, el presupuesto y las actividades de la Secretaría General y los tres Sectores durante los periodos entre Conferencias de Plenipotenciarios;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d)</w:t>
      </w:r>
      <w:r w:rsidRPr="00BC1F29">
        <w:rPr>
          <w:rFonts w:cs="Times New Roman"/>
          <w:sz w:val="24"/>
          <w:szCs w:val="20"/>
          <w:lang w:val="es-ES_tradnl"/>
        </w:rPr>
        <w:tab/>
        <w:t>que una mayor participación en las actividades de la UIT constituye un paso fundamental para la mejora de la capacitación y el desarrollo del potencial de las tecnologías de la información y la comunicación en los países en desarrollo, lo que redundará en la reducción de la brecha digital;</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e)</w:t>
      </w:r>
      <w:r w:rsidRPr="00BC1F29">
        <w:rPr>
          <w:rFonts w:cs="Times New Roman"/>
          <w:sz w:val="24"/>
          <w:szCs w:val="20"/>
          <w:lang w:val="es-ES_tradnl"/>
        </w:rPr>
        <w:tab/>
        <w:t>que, a fin de aumentar, mejorar y facilitar la participación de los Estados Miembros y Miembros de Sector de los países en desarrollo en las actividades de la UIT, éstos tienen que ser capaces de interpretar y aplicar las publicaciones técnicas de la UIT, los Textos Fundamentales de la Unión y los Instrumentos de la Unión;</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f)</w:t>
      </w:r>
      <w:r w:rsidRPr="00BC1F29">
        <w:rPr>
          <w:rFonts w:cs="Times New Roman"/>
          <w:sz w:val="24"/>
          <w:szCs w:val="20"/>
          <w:lang w:val="es-ES_tradnl"/>
        </w:rPr>
        <w:tab/>
        <w:t>que las publicaciones de la UIT relativas a la utilización de las telecomunicaciones/TIC en situaciones de emergencia, que se utilizan en la preparación de planes nacionales de respuesta y socorro en caso de catástrofe, incluida la consideración de los necesarios entornos propicios nacionales de reglamentación y política para apoyar el desarrollo y la utilización efectiva de las telecomunicaciones/TIC para actividades de mitigación, socorro y respuesta en caso de catástrofe, deberían ser accesibles para el público en general</w:t>
      </w:r>
      <w:r w:rsidRPr="00BC1F29">
        <w:rPr>
          <w:rFonts w:eastAsia="Calibri" w:cs="Times New Roman"/>
          <w:sz w:val="24"/>
          <w:szCs w:val="20"/>
          <w:lang w:val="es-ES_tradnl"/>
        </w:rPr>
        <w:t>;</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g)</w:t>
      </w:r>
      <w:r w:rsidRPr="00BC1F29">
        <w:rPr>
          <w:rFonts w:cs="Times New Roman"/>
          <w:sz w:val="24"/>
          <w:szCs w:val="20"/>
          <w:lang w:val="es-ES_tradnl"/>
        </w:rPr>
        <w:tab/>
        <w:t>que una manera eficaz de garantizar que los países en desarrollo tengan acceso a las publicaciones de la UIT es dar acceso en línea gratuitamente a las mismas,</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t>considerando</w:t>
      </w:r>
      <w:proofErr w:type="gramEnd"/>
      <w:r w:rsidRPr="00BC1F29">
        <w:rPr>
          <w:rFonts w:cs="Times New Roman"/>
          <w:i/>
          <w:sz w:val="24"/>
          <w:szCs w:val="20"/>
          <w:lang w:val="es-ES_tradnl"/>
        </w:rPr>
        <w:t xml:space="preserve"> además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proofErr w:type="gramStart"/>
      <w:r w:rsidRPr="00BC1F29">
        <w:rPr>
          <w:rFonts w:cs="Times New Roman"/>
          <w:sz w:val="24"/>
          <w:szCs w:val="20"/>
          <w:lang w:val="es-ES_tradnl"/>
        </w:rPr>
        <w:t>que</w:t>
      </w:r>
      <w:proofErr w:type="gramEnd"/>
      <w:r w:rsidRPr="00BC1F29">
        <w:rPr>
          <w:rFonts w:cs="Times New Roman"/>
          <w:sz w:val="24"/>
          <w:szCs w:val="20"/>
          <w:lang w:val="es-ES_tradnl"/>
        </w:rPr>
        <w:t>, al facilitar el acceso en línea gratuito a las publicaciones de la UIT, se reducirá la demanda de copias impresas de esos documentos, lo cual responde tanto a la tendencia actual de la UIT de organizar reuniones sin hacer uso del papel como al objetivo general de las Naciones Unidas de reducir la utilización de papel y las emisiones de gases de efecto invernadero (GEI),</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lastRenderedPageBreak/>
        <w:t>teniendo</w:t>
      </w:r>
      <w:proofErr w:type="gramEnd"/>
      <w:r w:rsidRPr="00BC1F29">
        <w:rPr>
          <w:rFonts w:cs="Times New Roman"/>
          <w:i/>
          <w:sz w:val="24"/>
          <w:szCs w:val="20"/>
          <w:lang w:val="es-ES_tradnl"/>
        </w:rPr>
        <w:t xml:space="preserve"> en cuenta</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a)</w:t>
      </w:r>
      <w:r w:rsidRPr="00BC1F29">
        <w:rPr>
          <w:rFonts w:cs="Times New Roman"/>
          <w:sz w:val="24"/>
          <w:szCs w:val="20"/>
          <w:lang w:val="es-ES_tradnl"/>
        </w:rPr>
        <w:tab/>
        <w:t>que el acceso gratuito en línea público al Reglamento de Radiocomunicaciones, como se indica en los Documentos C13/21, C13/81 y C14/21, no ha tenido consecuencias financieras negativas en 2012 y 2013;</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i/>
          <w:iCs/>
          <w:sz w:val="24"/>
          <w:szCs w:val="20"/>
          <w:lang w:val="es-ES_tradnl"/>
        </w:rPr>
        <w:t>b)</w:t>
      </w:r>
      <w:r w:rsidRPr="00BC1F29">
        <w:rPr>
          <w:rFonts w:cs="Times New Roman"/>
          <w:sz w:val="24"/>
          <w:szCs w:val="20"/>
          <w:lang w:val="es-ES_tradnl"/>
        </w:rPr>
        <w:tab/>
        <w:t>que, de conformidad con el Documento C13/81, durante el periodo de prueba de acceso gratuito en línea, los ingresos procedentes de la venta del Reglamento de Radiocomunicaciones, en papel y DVD, en 2012 aumentaron un 60% en comparación con las ventas realizadas en todos los formatos (incluso en línea) durante el mismo periodo de 2008, año en que se publicó la anterior edición del Reglamento de Radiocomunicaciones,</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t>acuerda</w:t>
      </w:r>
      <w:proofErr w:type="gramEnd"/>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1</w:t>
      </w:r>
      <w:r w:rsidRPr="00BC1F29">
        <w:rPr>
          <w:rFonts w:cs="Times New Roman"/>
          <w:sz w:val="24"/>
          <w:szCs w:val="20"/>
          <w:lang w:val="es-ES_tradnl"/>
        </w:rPr>
        <w:tab/>
        <w:t>dar al público en general acceso gratuito en línea permanente al Reglamento de las Telecomunicaciones Internacionales;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2</w:t>
      </w:r>
      <w:r w:rsidRPr="00BC1F29">
        <w:rPr>
          <w:rFonts w:cs="Times New Roman"/>
          <w:sz w:val="24"/>
          <w:szCs w:val="20"/>
          <w:lang w:val="es-ES_tradnl"/>
        </w:rPr>
        <w:tab/>
        <w:t>dar al público en general acceso gratuito en línea permanente al Reglamento de Radiocomunicaciones;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3</w:t>
      </w:r>
      <w:r w:rsidRPr="00BC1F29">
        <w:rPr>
          <w:rFonts w:cs="Times New Roman"/>
          <w:sz w:val="24"/>
          <w:szCs w:val="20"/>
          <w:lang w:val="es-ES_tradnl"/>
        </w:rPr>
        <w:tab/>
        <w:t>dar al público en general acceso gratuito en línea permanente a las Reglas de Procedimiento;</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4</w:t>
      </w:r>
      <w:r w:rsidRPr="00BC1F29">
        <w:rPr>
          <w:rFonts w:cs="Times New Roman"/>
          <w:sz w:val="24"/>
          <w:szCs w:val="20"/>
          <w:lang w:val="es-ES_tradnl"/>
        </w:rPr>
        <w:tab/>
        <w:t>dar al público en general acceso gratuito en línea permanente a las Resoluciones y Acuerdos del Consejo;</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5</w:t>
      </w:r>
      <w:r w:rsidRPr="00BC1F29">
        <w:rPr>
          <w:rFonts w:cs="Times New Roman"/>
          <w:sz w:val="24"/>
          <w:szCs w:val="20"/>
          <w:lang w:val="es-ES_tradnl"/>
        </w:rPr>
        <w:tab/>
        <w:t>dar al público en general acceso gratuito en línea permanente a los Manuales del UIT-R sobre gestión del espectro de radiofrecuencias</w:t>
      </w:r>
      <w:r w:rsidRPr="00BC1F29">
        <w:rPr>
          <w:rFonts w:cs="Times New Roman"/>
          <w:position w:val="6"/>
          <w:sz w:val="16"/>
          <w:szCs w:val="20"/>
          <w:lang w:val="es-ES_tradnl"/>
        </w:rPr>
        <w:footnoteReference w:id="1"/>
      </w:r>
      <w:r w:rsidRPr="00BC1F29">
        <w:rPr>
          <w:rFonts w:cs="Times New Roman"/>
          <w:sz w:val="24"/>
          <w:szCs w:val="20"/>
          <w:lang w:val="es-ES_tradnl"/>
        </w:rPr>
        <w:t>;</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6</w:t>
      </w:r>
      <w:r w:rsidRPr="00BC1F29">
        <w:rPr>
          <w:rFonts w:cs="Times New Roman"/>
          <w:sz w:val="24"/>
          <w:szCs w:val="20"/>
          <w:lang w:val="es-ES_tradnl"/>
        </w:rPr>
        <w:tab/>
        <w:t>dar al público en general y de manera permanente acceso gratuito en línea a las publicaciones de la UIT relativas a la utilización de las telecomunicaciones/TIC para garantizar la preparación, alerta temprana, rescate, mitigación, socorro y respuesta en situaciones de catástrofe;</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7</w:t>
      </w:r>
      <w:r w:rsidRPr="00BC1F29">
        <w:rPr>
          <w:rFonts w:cs="Times New Roman"/>
          <w:sz w:val="24"/>
          <w:szCs w:val="20"/>
          <w:lang w:val="es-ES_tradnl"/>
        </w:rPr>
        <w:tab/>
      </w:r>
      <w:proofErr w:type="gramStart"/>
      <w:r w:rsidRPr="00BC1F29">
        <w:rPr>
          <w:rFonts w:cs="Times New Roman"/>
          <w:sz w:val="24"/>
          <w:szCs w:val="20"/>
          <w:lang w:val="es-ES_tradnl"/>
        </w:rPr>
        <w:t>que</w:t>
      </w:r>
      <w:proofErr w:type="gramEnd"/>
      <w:r w:rsidRPr="00BC1F29">
        <w:rPr>
          <w:rFonts w:cs="Times New Roman"/>
          <w:sz w:val="24"/>
          <w:szCs w:val="20"/>
          <w:lang w:val="es-ES_tradnl"/>
        </w:rPr>
        <w:t xml:space="preserve"> los ejemplares impresos del Reglamento de Telecomunicaciones Internacionales, del Reglamento de Radiocomunicaciones y de las Reglas de Procedimiento sigan facturándose mediante una doble política de precios, en virtud de la cual los Estados Miembros, los Miembros de los Sectores, los Asociados y las instituciones académicas abonarán el precio basado en la recuperación de costes, mientras que todos los demás, es decir, los no miembros, abonarán el precio "de mercado"</w:t>
      </w:r>
      <w:r w:rsidRPr="00BC1F29">
        <w:rPr>
          <w:position w:val="6"/>
          <w:sz w:val="16"/>
          <w:szCs w:val="20"/>
          <w:lang w:val="es-ES_tradnl"/>
        </w:rPr>
        <w:footnoteReference w:id="2"/>
      </w:r>
      <w:r w:rsidRPr="00BC1F29">
        <w:rPr>
          <w:rFonts w:cs="Times New Roman"/>
          <w:sz w:val="24"/>
          <w:szCs w:val="20"/>
          <w:lang w:val="es-ES_tradnl"/>
        </w:rPr>
        <w:t>;</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r w:rsidRPr="00BC1F29">
        <w:rPr>
          <w:rFonts w:cs="Times New Roman"/>
          <w:sz w:val="24"/>
          <w:szCs w:val="20"/>
          <w:lang w:val="es-ES_tradnl"/>
        </w:rPr>
        <w:t>8</w:t>
      </w:r>
      <w:r w:rsidRPr="00BC1F29">
        <w:rPr>
          <w:rFonts w:cs="Times New Roman"/>
          <w:sz w:val="24"/>
          <w:szCs w:val="20"/>
          <w:lang w:val="es-ES_tradnl"/>
        </w:rPr>
        <w:tab/>
        <w:t>que los ejemplares impresos de los Manuales del UIT-R sobre gestión del espectro de radiofrecuencias y las publicaciones de la UIT relativas a la utilización de las telecomunicaciones/TIC para garantizar la preparación, alerta temprana, rescate, mitigación, socorro y respuesta en situaciones de catástrofe, sigan facturándose mediante una doble política de precios, en virtud de la cual los Estados Miembros, los Miembros de los Sectores y los Asociados e Instituciones Académicas abonarán el precio basado en la recuperación de costes, mientras que todos los demás, es decir, los no miembros, abonarán el "precio de mercado"</w:t>
      </w:r>
      <w:r w:rsidRPr="00BC1F29">
        <w:rPr>
          <w:rFonts w:cs="Times New Roman"/>
          <w:position w:val="6"/>
          <w:sz w:val="16"/>
          <w:szCs w:val="20"/>
          <w:lang w:val="es-ES_tradnl"/>
        </w:rPr>
        <w:t>2</w:t>
      </w:r>
      <w:r w:rsidRPr="00BC1F29">
        <w:rPr>
          <w:rFonts w:cs="Times New Roman"/>
          <w:sz w:val="24"/>
          <w:szCs w:val="20"/>
          <w:lang w:val="es-ES_tradnl"/>
        </w:rPr>
        <w:t>,</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lastRenderedPageBreak/>
        <w:t>encarga</w:t>
      </w:r>
      <w:proofErr w:type="gramEnd"/>
      <w:r w:rsidRPr="00BC1F29">
        <w:rPr>
          <w:rFonts w:cs="Times New Roman"/>
          <w:i/>
          <w:sz w:val="24"/>
          <w:szCs w:val="20"/>
          <w:lang w:val="es-ES_tradnl"/>
        </w:rPr>
        <w:t xml:space="preserve"> a los Directores de las Oficinas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proofErr w:type="gramStart"/>
      <w:r w:rsidRPr="00BC1F29">
        <w:rPr>
          <w:rFonts w:cs="Times New Roman"/>
          <w:sz w:val="24"/>
          <w:szCs w:val="20"/>
          <w:lang w:val="es-ES_tradnl"/>
        </w:rPr>
        <w:t>que</w:t>
      </w:r>
      <w:proofErr w:type="gramEnd"/>
      <w:r w:rsidRPr="00BC1F29">
        <w:rPr>
          <w:rFonts w:cs="Times New Roman"/>
          <w:sz w:val="24"/>
          <w:szCs w:val="20"/>
          <w:lang w:val="es-ES_tradnl"/>
        </w:rPr>
        <w:t>, con la asistencia de los Grupos Asesores de los Sectores correspondientes, elaboren una lista de las publicaciones importantes propuestas para el acceso gratuito en línea,</w:t>
      </w:r>
    </w:p>
    <w:p w:rsidR="00BC1F29" w:rsidRPr="00BC1F29" w:rsidRDefault="00BC1F29" w:rsidP="00BC1F29">
      <w:pPr>
        <w:keepNext/>
        <w:keepLines/>
        <w:tabs>
          <w:tab w:val="clear" w:pos="794"/>
          <w:tab w:val="clear" w:pos="1191"/>
          <w:tab w:val="clear" w:pos="1588"/>
          <w:tab w:val="clear" w:pos="1985"/>
          <w:tab w:val="left" w:pos="567"/>
        </w:tabs>
        <w:spacing w:line="240" w:lineRule="auto"/>
        <w:ind w:left="567"/>
        <w:jc w:val="left"/>
        <w:rPr>
          <w:rFonts w:cs="Times New Roman"/>
          <w:i/>
          <w:sz w:val="24"/>
          <w:szCs w:val="20"/>
          <w:lang w:val="es-ES_tradnl"/>
        </w:rPr>
      </w:pPr>
      <w:proofErr w:type="gramStart"/>
      <w:r w:rsidRPr="00BC1F29">
        <w:rPr>
          <w:rFonts w:cs="Times New Roman"/>
          <w:i/>
          <w:sz w:val="24"/>
          <w:szCs w:val="20"/>
          <w:lang w:val="es-ES_tradnl"/>
        </w:rPr>
        <w:t>encarga</w:t>
      </w:r>
      <w:proofErr w:type="gramEnd"/>
      <w:r w:rsidRPr="00BC1F29">
        <w:rPr>
          <w:rFonts w:cs="Times New Roman"/>
          <w:i/>
          <w:sz w:val="24"/>
          <w:szCs w:val="20"/>
          <w:lang w:val="es-ES_tradnl"/>
        </w:rPr>
        <w:t xml:space="preserve"> al Secretario General</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sz w:val="24"/>
          <w:szCs w:val="20"/>
          <w:lang w:val="es-ES_tradnl"/>
        </w:rPr>
      </w:pPr>
      <w:proofErr w:type="gramStart"/>
      <w:r w:rsidRPr="00BC1F29">
        <w:rPr>
          <w:rFonts w:cs="Times New Roman"/>
          <w:sz w:val="24"/>
          <w:szCs w:val="20"/>
          <w:lang w:val="es-ES_tradnl"/>
        </w:rPr>
        <w:t>que</w:t>
      </w:r>
      <w:proofErr w:type="gramEnd"/>
      <w:r w:rsidRPr="00BC1F29">
        <w:rPr>
          <w:rFonts w:cs="Times New Roman"/>
          <w:sz w:val="24"/>
          <w:szCs w:val="20"/>
          <w:lang w:val="es-ES_tradnl"/>
        </w:rPr>
        <w:t xml:space="preserve"> presente a la Conferencia de Plenipotenciarios de 2014 y a la reunión de 2015 del Consejo informes sobre las consecuencias reales de los </w:t>
      </w:r>
      <w:r w:rsidRPr="00BC1F29">
        <w:rPr>
          <w:rFonts w:cs="Times New Roman"/>
          <w:i/>
          <w:iCs/>
          <w:sz w:val="24"/>
          <w:szCs w:val="20"/>
          <w:lang w:val="es-ES_tradnl"/>
        </w:rPr>
        <w:t>acuerda</w:t>
      </w:r>
      <w:r w:rsidRPr="00BC1F29">
        <w:rPr>
          <w:rFonts w:cs="Times New Roman"/>
          <w:sz w:val="24"/>
          <w:szCs w:val="20"/>
          <w:lang w:val="es-ES_tradnl"/>
        </w:rPr>
        <w:t xml:space="preserve"> 2, 3, 4, 5 y 6 y de las propuestas para acceso gratuito en línea presentadas de conformidad con </w:t>
      </w:r>
      <w:proofErr w:type="spellStart"/>
      <w:r w:rsidRPr="00BC1F29">
        <w:rPr>
          <w:rFonts w:cs="Times New Roman"/>
          <w:sz w:val="24"/>
          <w:szCs w:val="20"/>
          <w:lang w:val="es-ES_tradnl"/>
        </w:rPr>
        <w:t>el</w:t>
      </w:r>
      <w:proofErr w:type="spellEnd"/>
      <w:r w:rsidRPr="00BC1F29">
        <w:rPr>
          <w:rFonts w:cs="Times New Roman"/>
          <w:sz w:val="24"/>
          <w:szCs w:val="20"/>
          <w:lang w:val="es-ES_tradnl"/>
        </w:rPr>
        <w:t xml:space="preserve"> </w:t>
      </w:r>
      <w:r w:rsidRPr="00BC1F29">
        <w:rPr>
          <w:rFonts w:cs="Times New Roman"/>
          <w:i/>
          <w:iCs/>
          <w:sz w:val="24"/>
          <w:szCs w:val="20"/>
          <w:lang w:val="es-ES_tradnl"/>
        </w:rPr>
        <w:t>encarga a los Directores de las Oficinas</w:t>
      </w:r>
      <w:r w:rsidRPr="00BC1F29">
        <w:rPr>
          <w:rFonts w:cs="Times New Roman"/>
          <w:sz w:val="24"/>
          <w:szCs w:val="20"/>
          <w:lang w:val="es-ES_tradnl"/>
        </w:rPr>
        <w:t xml:space="preserve"> anteriores en los ingresos y, de haberse identificado, sobre los medios para equilibrar las consecuencias financieras</w:t>
      </w:r>
      <w:r w:rsidRPr="00BC1F29">
        <w:rPr>
          <w:sz w:val="24"/>
          <w:szCs w:val="20"/>
          <w:lang w:val="es-ES_tradnl"/>
        </w:rPr>
        <w:t>, con la asistencia de los Directores de las Oficinas y los Grupos Asesores de los Sectores.</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Times New Roman"/>
          <w:sz w:val="24"/>
          <w:szCs w:val="20"/>
          <w:lang w:val="es-ES_tradnl"/>
        </w:rPr>
      </w:pPr>
      <w:r w:rsidRPr="00BC1F29">
        <w:rPr>
          <w:rFonts w:cs="Times New Roman"/>
          <w:sz w:val="24"/>
          <w:szCs w:val="20"/>
          <w:lang w:val="es-ES_tradnl"/>
        </w:rPr>
        <w:t>______________</w:t>
      </w: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sz w:val="24"/>
          <w:szCs w:val="20"/>
          <w:lang w:val="es-ES_tradnl"/>
        </w:rPr>
      </w:pPr>
    </w:p>
    <w:p w:rsidR="00BC1F29" w:rsidRPr="00BC1F29" w:rsidRDefault="00BC1F29" w:rsidP="00BC1F29">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cs="Times New Roman"/>
          <w:sz w:val="24"/>
          <w:szCs w:val="20"/>
          <w:lang w:val="es-ES_tradnl"/>
        </w:rPr>
      </w:pPr>
    </w:p>
    <w:p w:rsidR="00D005CF" w:rsidRPr="003E44F9" w:rsidRDefault="00D005CF" w:rsidP="003E44F9">
      <w:pPr>
        <w:tabs>
          <w:tab w:val="clear" w:pos="794"/>
          <w:tab w:val="left" w:pos="284"/>
        </w:tabs>
        <w:spacing w:before="0" w:line="240" w:lineRule="auto"/>
        <w:rPr>
          <w:rFonts w:asciiTheme="majorBidi" w:hAnsiTheme="majorBidi" w:cstheme="majorBidi"/>
          <w:sz w:val="24"/>
          <w:szCs w:val="24"/>
          <w:lang w:val="es-ES_tradnl" w:eastAsia="zh-CN"/>
        </w:rPr>
      </w:pPr>
    </w:p>
    <w:sectPr w:rsidR="00D005CF" w:rsidRPr="003E44F9" w:rsidSect="00BC1F29">
      <w:headerReference w:type="default" r:id="rId17"/>
      <w:footerReference w:type="default" r:id="rId18"/>
      <w:headerReference w:type="first" r:id="rId19"/>
      <w:footerReference w:type="first" r:id="rId20"/>
      <w:pgSz w:w="11907" w:h="16834"/>
      <w:pgMar w:top="1418" w:right="1134" w:bottom="1418" w:left="1134" w:header="51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B2" w:rsidRDefault="00A427B2">
      <w:r>
        <w:separator/>
      </w:r>
    </w:p>
  </w:endnote>
  <w:endnote w:type="continuationSeparator" w:id="0">
    <w:p w:rsidR="00A427B2" w:rsidRDefault="00A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72" w:rsidRDefault="009C5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72" w:rsidRDefault="009C5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4B46D7" w:rsidRDefault="003E44F9" w:rsidP="004B46D7">
    <w:pPr>
      <w:pStyle w:val="FirstFooter"/>
      <w:spacing w:line="240" w:lineRule="auto"/>
      <w:ind w:left="-397" w:right="-397"/>
      <w:jc w:val="center"/>
      <w:rPr>
        <w:sz w:val="18"/>
        <w:szCs w:val="18"/>
        <w:lang w:val="es-ES_tradnl"/>
      </w:rPr>
    </w:pPr>
    <w:r w:rsidRPr="003E44F9">
      <w:rPr>
        <w:sz w:val="18"/>
        <w:szCs w:val="18"/>
        <w:lang w:val="es-ES_tradnl"/>
      </w:rPr>
      <w:t xml:space="preserve">Unión Internacional de Telecomunicaciones </w:t>
    </w:r>
    <w:r w:rsidR="00A427B2" w:rsidRPr="003E44F9">
      <w:rPr>
        <w:sz w:val="18"/>
        <w:szCs w:val="18"/>
        <w:lang w:val="es-ES_tradnl"/>
      </w:rPr>
      <w:t xml:space="preserve">• Place des </w:t>
    </w:r>
    <w:proofErr w:type="spellStart"/>
    <w:r w:rsidR="00A427B2" w:rsidRPr="003E44F9">
      <w:rPr>
        <w:sz w:val="18"/>
        <w:szCs w:val="18"/>
        <w:lang w:val="es-ES_tradnl"/>
      </w:rPr>
      <w:t>Nations</w:t>
    </w:r>
    <w:proofErr w:type="spellEnd"/>
    <w:r w:rsidR="00A427B2" w:rsidRPr="003E44F9">
      <w:rPr>
        <w:sz w:val="18"/>
        <w:szCs w:val="18"/>
        <w:lang w:val="es-ES_tradnl"/>
      </w:rPr>
      <w:t xml:space="preserve"> • CH</w:t>
    </w:r>
    <w:r w:rsidR="00A427B2" w:rsidRPr="003E44F9">
      <w:rPr>
        <w:sz w:val="18"/>
        <w:szCs w:val="18"/>
        <w:lang w:val="es-ES_tradnl"/>
      </w:rPr>
      <w:noBreakHyphen/>
      <w:t xml:space="preserve">1211 </w:t>
    </w:r>
    <w:r w:rsidRPr="003E44F9">
      <w:rPr>
        <w:sz w:val="18"/>
        <w:szCs w:val="18"/>
        <w:lang w:val="es-ES_tradnl"/>
      </w:rPr>
      <w:t xml:space="preserve">Ginebra </w:t>
    </w:r>
    <w:r w:rsidR="00A427B2" w:rsidRPr="003E44F9">
      <w:rPr>
        <w:sz w:val="18"/>
        <w:szCs w:val="18"/>
        <w:lang w:val="es-ES_tradnl"/>
      </w:rPr>
      <w:t xml:space="preserve">20 • </w:t>
    </w:r>
    <w:r w:rsidRPr="003E44F9">
      <w:rPr>
        <w:sz w:val="18"/>
        <w:szCs w:val="18"/>
        <w:lang w:val="es-ES_tradnl"/>
      </w:rPr>
      <w:t>Suiza</w:t>
    </w:r>
    <w:r w:rsidR="00A427B2" w:rsidRPr="003E44F9">
      <w:rPr>
        <w:sz w:val="18"/>
        <w:szCs w:val="18"/>
        <w:lang w:val="es-ES_tradnl"/>
      </w:rPr>
      <w:br/>
      <w:t xml:space="preserve">Tel: +41 22 730 5111 • Fax: +41 22 733 7256 • </w:t>
    </w:r>
    <w:r>
      <w:rPr>
        <w:sz w:val="18"/>
        <w:szCs w:val="18"/>
        <w:lang w:val="es-ES_tradnl"/>
      </w:rPr>
      <w:t>Correo-e</w:t>
    </w:r>
    <w:r w:rsidR="00A427B2" w:rsidRPr="003E44F9">
      <w:rPr>
        <w:sz w:val="18"/>
        <w:szCs w:val="18"/>
        <w:lang w:val="es-ES_tradnl"/>
      </w:rPr>
      <w:t xml:space="preserve">: </w:t>
    </w:r>
    <w:hyperlink r:id="rId1" w:history="1">
      <w:r w:rsidR="00A427B2" w:rsidRPr="003E44F9">
        <w:rPr>
          <w:rStyle w:val="Hyperlink"/>
          <w:sz w:val="18"/>
          <w:szCs w:val="18"/>
          <w:lang w:val="es-ES_tradnl"/>
        </w:rPr>
        <w:t>itumail@itu.int</w:t>
      </w:r>
    </w:hyperlink>
    <w:r w:rsidR="00A427B2" w:rsidRPr="003E44F9">
      <w:rPr>
        <w:sz w:val="18"/>
        <w:szCs w:val="18"/>
        <w:lang w:val="es-ES_tradnl"/>
      </w:rPr>
      <w:t xml:space="preserve"> • </w:t>
    </w:r>
    <w:hyperlink r:id="rId2" w:history="1">
      <w:r w:rsidR="00A427B2" w:rsidRPr="003E44F9">
        <w:rPr>
          <w:rStyle w:val="Hyperlink"/>
          <w:sz w:val="18"/>
          <w:szCs w:val="18"/>
          <w:lang w:val="es-ES_tradnl"/>
        </w:rPr>
        <w:t>www.itu.int</w:t>
      </w:r>
    </w:hyperlink>
    <w:r w:rsidR="00A427B2" w:rsidRPr="003E44F9">
      <w:rPr>
        <w:sz w:val="18"/>
        <w:szCs w:val="18"/>
        <w:lang w:val="es-ES_tradnl"/>
      </w:rPr>
      <w:t xml:space="preserve"> •</w:t>
    </w:r>
  </w:p>
  <w:p w:rsidR="00437193" w:rsidRPr="003A00B1" w:rsidRDefault="00437193" w:rsidP="00651D38">
    <w:pPr>
      <w:pStyle w:val="Footer"/>
      <w:rPr>
        <w:sz w:val="16"/>
        <w:szCs w:val="16"/>
        <w:lang w:val="es-ES_tradnl"/>
      </w:rPr>
    </w:pPr>
    <w:r w:rsidRPr="003A00B1">
      <w:rPr>
        <w:sz w:val="16"/>
        <w:szCs w:val="16"/>
        <w:lang w:val="es-ES_tradn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2F" w:rsidRPr="00BC1F29" w:rsidRDefault="009C5572" w:rsidP="00BC1F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BC1F2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B2" w:rsidRDefault="00A427B2">
      <w:r>
        <w:t>____________________</w:t>
      </w:r>
    </w:p>
  </w:footnote>
  <w:footnote w:type="continuationSeparator" w:id="0">
    <w:p w:rsidR="00A427B2" w:rsidRDefault="00A427B2">
      <w:r>
        <w:continuationSeparator/>
      </w:r>
    </w:p>
  </w:footnote>
  <w:footnote w:id="1">
    <w:p w:rsidR="00BC1F29" w:rsidRPr="009C5572" w:rsidRDefault="00BC1F29" w:rsidP="00BC1F29">
      <w:pPr>
        <w:pStyle w:val="FootnoteText"/>
        <w:rPr>
          <w:lang w:val="es-ES_tradnl"/>
        </w:rPr>
      </w:pPr>
      <w:r>
        <w:rPr>
          <w:rStyle w:val="FootnoteReference"/>
        </w:rPr>
        <w:footnoteRef/>
      </w:r>
      <w:r w:rsidRPr="009C5572">
        <w:rPr>
          <w:lang w:val="es-ES_tradnl"/>
        </w:rPr>
        <w:tab/>
        <w:t>Se trata de los Manuales del UIT-R sobre Gestión nacional del espectro, Técnicas informatizadas para la gestión del espectro y Comprobación técnica del espectro.</w:t>
      </w:r>
    </w:p>
  </w:footnote>
  <w:footnote w:id="2">
    <w:p w:rsidR="00BC1F29" w:rsidRPr="009C5572" w:rsidRDefault="00BC1F29" w:rsidP="00BC1F29">
      <w:pPr>
        <w:pStyle w:val="FootnoteText"/>
        <w:rPr>
          <w:lang w:val="es-ES_tradnl"/>
        </w:rPr>
      </w:pPr>
      <w:r w:rsidRPr="00BC1F29">
        <w:rPr>
          <w:rStyle w:val="FootnoteReference"/>
        </w:rPr>
        <w:footnoteRef/>
      </w:r>
      <w:r w:rsidRPr="009C5572">
        <w:rPr>
          <w:lang w:val="es-ES_tradnl"/>
        </w:rPr>
        <w:t xml:space="preserve"> </w:t>
      </w:r>
      <w:r w:rsidRPr="009C5572">
        <w:rPr>
          <w:lang w:val="es-ES_tradnl"/>
        </w:rPr>
        <w:tab/>
        <w:t>De acuerdo con la Resolución 66 (Rev. Guadalajara, 2010), se entiende por "precio del mercado" el precio determinado por la División de Ventas y Comercialización para aumentar al máximo los ingresos en concepto de ventas, evitando que sea excesivamente elevado y desaliente a posibles compradores.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rsidP="004B46D7">
    <w:pPr>
      <w:pStyle w:val="Header"/>
      <w:rPr>
        <w:sz w:val="18"/>
        <w:szCs w:val="18"/>
      </w:rPr>
    </w:pPr>
    <w:r w:rsidRPr="00507B17">
      <w:rPr>
        <w:sz w:val="18"/>
        <w:szCs w:val="18"/>
      </w:rPr>
      <w:tab/>
    </w:r>
    <w:r w:rsidRPr="00507B17">
      <w:rPr>
        <w:sz w:val="18"/>
        <w:szCs w:val="18"/>
      </w:rPr>
      <w:tab/>
    </w:r>
    <w:r w:rsidR="00BC1F29" w:rsidRPr="00BC1F29">
      <w:rPr>
        <w:sz w:val="18"/>
        <w:szCs w:val="18"/>
      </w:rPr>
      <w:fldChar w:fldCharType="begin"/>
    </w:r>
    <w:r w:rsidR="00BC1F29" w:rsidRPr="00BC1F29">
      <w:rPr>
        <w:sz w:val="18"/>
        <w:szCs w:val="18"/>
      </w:rPr>
      <w:instrText>PAGE</w:instrText>
    </w:r>
    <w:r w:rsidR="00BC1F29" w:rsidRPr="00BC1F29">
      <w:rPr>
        <w:sz w:val="18"/>
        <w:szCs w:val="18"/>
      </w:rPr>
      <w:fldChar w:fldCharType="separate"/>
    </w:r>
    <w:r w:rsidR="009C5572">
      <w:rPr>
        <w:noProof/>
        <w:sz w:val="18"/>
        <w:szCs w:val="18"/>
      </w:rPr>
      <w:t>4</w:t>
    </w:r>
    <w:r w:rsidR="00BC1F29" w:rsidRPr="00BC1F29">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3E20EA">
      <w:rPr>
        <w:rStyle w:val="PageNumber"/>
        <w:noProof/>
        <w:sz w:val="18"/>
        <w:szCs w:val="18"/>
      </w:rPr>
      <w:t>3</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26C51823" wp14:editId="723BCCA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Pr="00BC1F29" w:rsidRDefault="00BC1F29" w:rsidP="00BC1F29">
    <w:pPr>
      <w:pStyle w:val="Header"/>
      <w:jc w:val="center"/>
      <w:rPr>
        <w:sz w:val="18"/>
        <w:szCs w:val="18"/>
      </w:rPr>
    </w:pPr>
    <w:r w:rsidRPr="00BC1F29">
      <w:rPr>
        <w:sz w:val="18"/>
        <w:szCs w:val="18"/>
      </w:rPr>
      <w:fldChar w:fldCharType="begin"/>
    </w:r>
    <w:r w:rsidRPr="00BC1F29">
      <w:rPr>
        <w:sz w:val="18"/>
        <w:szCs w:val="18"/>
      </w:rPr>
      <w:instrText>PAGE</w:instrText>
    </w:r>
    <w:r w:rsidRPr="00BC1F29">
      <w:rPr>
        <w:sz w:val="18"/>
        <w:szCs w:val="18"/>
      </w:rPr>
      <w:fldChar w:fldCharType="separate"/>
    </w:r>
    <w:r w:rsidR="009C5572">
      <w:rPr>
        <w:noProof/>
        <w:sz w:val="18"/>
        <w:szCs w:val="18"/>
      </w:rPr>
      <w:t>5</w:t>
    </w:r>
    <w:r w:rsidRPr="00BC1F29">
      <w:rPr>
        <w:sz w:val="18"/>
        <w:szCs w:val="18"/>
      </w:rPr>
      <w:fldChar w:fldCharType="end"/>
    </w:r>
  </w:p>
  <w:p w:rsidR="00BC1F29" w:rsidRDefault="00BC1F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29" w:rsidRDefault="00BC1F29" w:rsidP="00BC1F29">
    <w:pPr>
      <w:pStyle w:val="Header"/>
      <w:jc w:val="center"/>
      <w:rPr>
        <w:sz w:val="18"/>
        <w:szCs w:val="18"/>
      </w:rPr>
    </w:pPr>
    <w:r w:rsidRPr="00BC1F29">
      <w:rPr>
        <w:sz w:val="18"/>
        <w:szCs w:val="18"/>
      </w:rPr>
      <w:fldChar w:fldCharType="begin"/>
    </w:r>
    <w:r w:rsidRPr="00BC1F29">
      <w:rPr>
        <w:sz w:val="18"/>
        <w:szCs w:val="18"/>
      </w:rPr>
      <w:instrText>PAGE</w:instrText>
    </w:r>
    <w:r w:rsidRPr="00BC1F29">
      <w:rPr>
        <w:sz w:val="18"/>
        <w:szCs w:val="18"/>
      </w:rPr>
      <w:fldChar w:fldCharType="separate"/>
    </w:r>
    <w:r w:rsidR="009C5572">
      <w:rPr>
        <w:noProof/>
        <w:sz w:val="18"/>
        <w:szCs w:val="18"/>
      </w:rPr>
      <w:t>2</w:t>
    </w:r>
    <w:r w:rsidRPr="00BC1F29">
      <w:rPr>
        <w:sz w:val="18"/>
        <w:szCs w:val="18"/>
      </w:rPr>
      <w:fldChar w:fldCharType="end"/>
    </w:r>
  </w:p>
  <w:p w:rsidR="00BC1F29" w:rsidRDefault="00BC1F29" w:rsidP="00BC1F29">
    <w:pPr>
      <w:pStyle w:val="Header"/>
      <w:jc w:val="center"/>
      <w:rPr>
        <w:sz w:val="18"/>
        <w:szCs w:val="18"/>
      </w:rPr>
    </w:pPr>
  </w:p>
  <w:p w:rsidR="00BC1F29" w:rsidRPr="00BC1F29" w:rsidRDefault="009C5572" w:rsidP="00BC1F29">
    <w:pPr>
      <w:pStyle w:val="Header"/>
      <w:jc w:val="center"/>
      <w:rPr>
        <w:sz w:val="18"/>
        <w:szCs w:val="18"/>
      </w:rPr>
    </w:pPr>
    <w:r>
      <w:rPr>
        <w:sz w:val="18"/>
        <w:szCs w:val="18"/>
      </w:rPr>
      <w:t>AN</w:t>
    </w:r>
    <w:bookmarkStart w:id="7" w:name="_GoBack"/>
    <w:bookmarkEnd w:id="7"/>
    <w:r w:rsidR="00BC1F29">
      <w:rPr>
        <w:sz w:val="18"/>
        <w:szCs w:val="18"/>
      </w:rPr>
      <w:t>EXO</w:t>
    </w:r>
  </w:p>
  <w:p w:rsidR="00BC1F29" w:rsidRPr="00BC1F29" w:rsidRDefault="00BC1F29" w:rsidP="00BC1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2">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25"/>
  </w:num>
  <w:num w:numId="6">
    <w:abstractNumId w:val="28"/>
  </w:num>
  <w:num w:numId="7">
    <w:abstractNumId w:val="24"/>
  </w:num>
  <w:num w:numId="8">
    <w:abstractNumId w:val="15"/>
  </w:num>
  <w:num w:numId="9">
    <w:abstractNumId w:val="9"/>
  </w:num>
  <w:num w:numId="10">
    <w:abstractNumId w:val="11"/>
  </w:num>
  <w:num w:numId="11">
    <w:abstractNumId w:val="20"/>
  </w:num>
  <w:num w:numId="12">
    <w:abstractNumId w:val="30"/>
  </w:num>
  <w:num w:numId="13">
    <w:abstractNumId w:val="8"/>
  </w:num>
  <w:num w:numId="14">
    <w:abstractNumId w:val="26"/>
  </w:num>
  <w:num w:numId="15">
    <w:abstractNumId w:val="13"/>
  </w:num>
  <w:num w:numId="16">
    <w:abstractNumId w:val="32"/>
  </w:num>
  <w:num w:numId="17">
    <w:abstractNumId w:val="29"/>
  </w:num>
  <w:num w:numId="18">
    <w:abstractNumId w:val="21"/>
  </w:num>
  <w:num w:numId="19">
    <w:abstractNumId w:val="14"/>
  </w:num>
  <w:num w:numId="20">
    <w:abstractNumId w:val="12"/>
  </w:num>
  <w:num w:numId="21">
    <w:abstractNumId w:val="22"/>
  </w:num>
  <w:num w:numId="22">
    <w:abstractNumId w:val="23"/>
  </w:num>
  <w:num w:numId="23">
    <w:abstractNumId w:val="6"/>
  </w:num>
  <w:num w:numId="24">
    <w:abstractNumId w:val="18"/>
  </w:num>
  <w:num w:numId="25">
    <w:abstractNumId w:val="0"/>
  </w:num>
  <w:num w:numId="26">
    <w:abstractNumId w:val="27"/>
  </w:num>
  <w:num w:numId="27">
    <w:abstractNumId w:val="7"/>
  </w:num>
  <w:num w:numId="28">
    <w:abstractNumId w:val="17"/>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601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23A0"/>
    <w:rsid w:val="00054E5D"/>
    <w:rsid w:val="00070258"/>
    <w:rsid w:val="000732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7282"/>
    <w:rsid w:val="00117389"/>
    <w:rsid w:val="00121C2D"/>
    <w:rsid w:val="00122E77"/>
    <w:rsid w:val="00134404"/>
    <w:rsid w:val="00144DFB"/>
    <w:rsid w:val="0015766D"/>
    <w:rsid w:val="00187CA3"/>
    <w:rsid w:val="00196710"/>
    <w:rsid w:val="00197324"/>
    <w:rsid w:val="001B351B"/>
    <w:rsid w:val="001C06DB"/>
    <w:rsid w:val="001C6971"/>
    <w:rsid w:val="001D010C"/>
    <w:rsid w:val="001D2785"/>
    <w:rsid w:val="001D7070"/>
    <w:rsid w:val="001F2170"/>
    <w:rsid w:val="001F2E30"/>
    <w:rsid w:val="001F3948"/>
    <w:rsid w:val="001F5A49"/>
    <w:rsid w:val="00201097"/>
    <w:rsid w:val="00201B6E"/>
    <w:rsid w:val="002302B3"/>
    <w:rsid w:val="00230C66"/>
    <w:rsid w:val="00235A29"/>
    <w:rsid w:val="00241526"/>
    <w:rsid w:val="002443A2"/>
    <w:rsid w:val="00246A34"/>
    <w:rsid w:val="00250CEE"/>
    <w:rsid w:val="00266E74"/>
    <w:rsid w:val="00283C3B"/>
    <w:rsid w:val="002861E6"/>
    <w:rsid w:val="00287D18"/>
    <w:rsid w:val="002A2618"/>
    <w:rsid w:val="002A5DD7"/>
    <w:rsid w:val="002B0CAC"/>
    <w:rsid w:val="002B19CE"/>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00B1"/>
    <w:rsid w:val="003A1F49"/>
    <w:rsid w:val="003A5D52"/>
    <w:rsid w:val="003B2BDA"/>
    <w:rsid w:val="003B55EC"/>
    <w:rsid w:val="003C2EA7"/>
    <w:rsid w:val="003C4471"/>
    <w:rsid w:val="003C7D41"/>
    <w:rsid w:val="003D4A69"/>
    <w:rsid w:val="003E20EA"/>
    <w:rsid w:val="003E44F9"/>
    <w:rsid w:val="003E504F"/>
    <w:rsid w:val="003E78D6"/>
    <w:rsid w:val="00400573"/>
    <w:rsid w:val="004007A3"/>
    <w:rsid w:val="00406D71"/>
    <w:rsid w:val="004326DB"/>
    <w:rsid w:val="0043682E"/>
    <w:rsid w:val="00437193"/>
    <w:rsid w:val="00443C5F"/>
    <w:rsid w:val="00447ECB"/>
    <w:rsid w:val="004623F7"/>
    <w:rsid w:val="00467892"/>
    <w:rsid w:val="00480F51"/>
    <w:rsid w:val="00481124"/>
    <w:rsid w:val="004815EB"/>
    <w:rsid w:val="00487569"/>
    <w:rsid w:val="00487705"/>
    <w:rsid w:val="00496864"/>
    <w:rsid w:val="00496920"/>
    <w:rsid w:val="004A4496"/>
    <w:rsid w:val="004B11AB"/>
    <w:rsid w:val="004B1972"/>
    <w:rsid w:val="004B46D7"/>
    <w:rsid w:val="004B49CC"/>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6101"/>
    <w:rsid w:val="00553DD7"/>
    <w:rsid w:val="005638CF"/>
    <w:rsid w:val="005663A0"/>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16A9"/>
    <w:rsid w:val="0064371D"/>
    <w:rsid w:val="00646772"/>
    <w:rsid w:val="00650B2A"/>
    <w:rsid w:val="00651777"/>
    <w:rsid w:val="00651D38"/>
    <w:rsid w:val="006550F8"/>
    <w:rsid w:val="006829F3"/>
    <w:rsid w:val="006A518B"/>
    <w:rsid w:val="006B0590"/>
    <w:rsid w:val="006B49DA"/>
    <w:rsid w:val="006C53F8"/>
    <w:rsid w:val="006C7CDE"/>
    <w:rsid w:val="006E4897"/>
    <w:rsid w:val="006F3B02"/>
    <w:rsid w:val="00713281"/>
    <w:rsid w:val="007151E5"/>
    <w:rsid w:val="007234B1"/>
    <w:rsid w:val="00723D08"/>
    <w:rsid w:val="00725FDA"/>
    <w:rsid w:val="00727816"/>
    <w:rsid w:val="00730B9A"/>
    <w:rsid w:val="00733EA7"/>
    <w:rsid w:val="00747FD2"/>
    <w:rsid w:val="00750CFA"/>
    <w:rsid w:val="007553DA"/>
    <w:rsid w:val="007637CF"/>
    <w:rsid w:val="0078158B"/>
    <w:rsid w:val="00782354"/>
    <w:rsid w:val="00786C71"/>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311D"/>
    <w:rsid w:val="008A7BC2"/>
    <w:rsid w:val="008B35A3"/>
    <w:rsid w:val="008B37E1"/>
    <w:rsid w:val="008B45F8"/>
    <w:rsid w:val="008B6EA9"/>
    <w:rsid w:val="008C2E74"/>
    <w:rsid w:val="008D5409"/>
    <w:rsid w:val="008E006D"/>
    <w:rsid w:val="008E38B4"/>
    <w:rsid w:val="008E49C4"/>
    <w:rsid w:val="008F4F21"/>
    <w:rsid w:val="00904D4A"/>
    <w:rsid w:val="009151BA"/>
    <w:rsid w:val="00925023"/>
    <w:rsid w:val="009265BC"/>
    <w:rsid w:val="009277BC"/>
    <w:rsid w:val="00927D57"/>
    <w:rsid w:val="00931A51"/>
    <w:rsid w:val="00947185"/>
    <w:rsid w:val="009518B3"/>
    <w:rsid w:val="00963D9D"/>
    <w:rsid w:val="0098013E"/>
    <w:rsid w:val="00981B54"/>
    <w:rsid w:val="009842C3"/>
    <w:rsid w:val="009A009A"/>
    <w:rsid w:val="009A1AF0"/>
    <w:rsid w:val="009A20B4"/>
    <w:rsid w:val="009A2515"/>
    <w:rsid w:val="009A6BB6"/>
    <w:rsid w:val="009B3F43"/>
    <w:rsid w:val="009B4832"/>
    <w:rsid w:val="009B5CFA"/>
    <w:rsid w:val="009C161F"/>
    <w:rsid w:val="009C5572"/>
    <w:rsid w:val="009C56B4"/>
    <w:rsid w:val="009D51A2"/>
    <w:rsid w:val="009E04A8"/>
    <w:rsid w:val="009E4AEC"/>
    <w:rsid w:val="009E5BD8"/>
    <w:rsid w:val="009E681E"/>
    <w:rsid w:val="009F245D"/>
    <w:rsid w:val="00A119E6"/>
    <w:rsid w:val="00A11D6F"/>
    <w:rsid w:val="00A20FBC"/>
    <w:rsid w:val="00A31370"/>
    <w:rsid w:val="00A34D6F"/>
    <w:rsid w:val="00A41F91"/>
    <w:rsid w:val="00A427B2"/>
    <w:rsid w:val="00A51E2A"/>
    <w:rsid w:val="00A63355"/>
    <w:rsid w:val="00A7596D"/>
    <w:rsid w:val="00A963DF"/>
    <w:rsid w:val="00AB3AC8"/>
    <w:rsid w:val="00AC0C22"/>
    <w:rsid w:val="00AC3896"/>
    <w:rsid w:val="00AD2CF2"/>
    <w:rsid w:val="00AE06D7"/>
    <w:rsid w:val="00AE2D88"/>
    <w:rsid w:val="00AE6F6F"/>
    <w:rsid w:val="00AF3325"/>
    <w:rsid w:val="00AF34D9"/>
    <w:rsid w:val="00AF70DA"/>
    <w:rsid w:val="00B019D3"/>
    <w:rsid w:val="00B34CF9"/>
    <w:rsid w:val="00B37559"/>
    <w:rsid w:val="00B4054B"/>
    <w:rsid w:val="00B53CE0"/>
    <w:rsid w:val="00B579B0"/>
    <w:rsid w:val="00B57D11"/>
    <w:rsid w:val="00B649D7"/>
    <w:rsid w:val="00B656A2"/>
    <w:rsid w:val="00B81C2F"/>
    <w:rsid w:val="00B90743"/>
    <w:rsid w:val="00B90C45"/>
    <w:rsid w:val="00B91A17"/>
    <w:rsid w:val="00B933BE"/>
    <w:rsid w:val="00BC1F29"/>
    <w:rsid w:val="00BC50C7"/>
    <w:rsid w:val="00BD6738"/>
    <w:rsid w:val="00BD7E5E"/>
    <w:rsid w:val="00BE0A32"/>
    <w:rsid w:val="00BE63DB"/>
    <w:rsid w:val="00BE6574"/>
    <w:rsid w:val="00BF7972"/>
    <w:rsid w:val="00C07319"/>
    <w:rsid w:val="00C16FD2"/>
    <w:rsid w:val="00C40DDF"/>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5CF"/>
    <w:rsid w:val="00D10BA0"/>
    <w:rsid w:val="00D14A53"/>
    <w:rsid w:val="00D21694"/>
    <w:rsid w:val="00D24EB5"/>
    <w:rsid w:val="00D35AB9"/>
    <w:rsid w:val="00D406FF"/>
    <w:rsid w:val="00D41571"/>
    <w:rsid w:val="00D416A0"/>
    <w:rsid w:val="00D42022"/>
    <w:rsid w:val="00D47672"/>
    <w:rsid w:val="00D5123C"/>
    <w:rsid w:val="00D55560"/>
    <w:rsid w:val="00D61C5A"/>
    <w:rsid w:val="00D6790C"/>
    <w:rsid w:val="00D73277"/>
    <w:rsid w:val="00D76586"/>
    <w:rsid w:val="00D82657"/>
    <w:rsid w:val="00D867F4"/>
    <w:rsid w:val="00D87E20"/>
    <w:rsid w:val="00DA4037"/>
    <w:rsid w:val="00DB1B9D"/>
    <w:rsid w:val="00DB54B5"/>
    <w:rsid w:val="00DE66A5"/>
    <w:rsid w:val="00DF2B50"/>
    <w:rsid w:val="00E03CBF"/>
    <w:rsid w:val="00E04C86"/>
    <w:rsid w:val="00E07B2C"/>
    <w:rsid w:val="00E17344"/>
    <w:rsid w:val="00E2001F"/>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17C9"/>
    <w:rsid w:val="00EC4A96"/>
    <w:rsid w:val="00EF1E72"/>
    <w:rsid w:val="00F15D95"/>
    <w:rsid w:val="00F35E2B"/>
    <w:rsid w:val="00F379A6"/>
    <w:rsid w:val="00F424BF"/>
    <w:rsid w:val="00F44FC3"/>
    <w:rsid w:val="00F46107"/>
    <w:rsid w:val="00F468C5"/>
    <w:rsid w:val="00F52B83"/>
    <w:rsid w:val="00F52F39"/>
    <w:rsid w:val="00F6184F"/>
    <w:rsid w:val="00F634B7"/>
    <w:rsid w:val="00F8310E"/>
    <w:rsid w:val="00F914DD"/>
    <w:rsid w:val="00FA2358"/>
    <w:rsid w:val="00FB2592"/>
    <w:rsid w:val="00FB2810"/>
    <w:rsid w:val="00FB7A2C"/>
    <w:rsid w:val="00FC2947"/>
    <w:rsid w:val="00FC4422"/>
    <w:rsid w:val="00FE0818"/>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qFormat="1"/>
    <w:lsdException w:name="footnote reference" w:uiPriority="99"/>
    <w:lsdException w:name="pag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A7BC2"/>
    <w:pPr>
      <w:tabs>
        <w:tab w:val="clear" w:pos="794"/>
        <w:tab w:val="clear" w:pos="1191"/>
        <w:tab w:val="clear" w:pos="1588"/>
        <w:tab w:val="clear" w:pos="1985"/>
      </w:tabs>
      <w:adjustRightInd/>
      <w:spacing w:before="0" w:line="240" w:lineRule="auto"/>
      <w:jc w:val="left"/>
      <w:textAlignment w:val="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qFormat="1"/>
    <w:lsdException w:name="footnote reference" w:uiPriority="99"/>
    <w:lsdException w:name="pag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uiPriority w:val="99"/>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A427B2"/>
    <w:rPr>
      <w:rFonts w:ascii="Times New Roman" w:hAnsi="Times New Roman"/>
      <w:b/>
    </w:rPr>
  </w:style>
  <w:style w:type="character" w:customStyle="1" w:styleId="Appref">
    <w:name w:val="App_ref"/>
    <w:basedOn w:val="DefaultParagraphFont"/>
    <w:uiPriority w:val="99"/>
    <w:rsid w:val="00A427B2"/>
  </w:style>
  <w:style w:type="paragraph" w:customStyle="1" w:styleId="AppendixNotitle0">
    <w:name w:val="Appendix_No &amp; title"/>
    <w:basedOn w:val="AnnexNotitle0"/>
    <w:next w:val="Normalaftertitle"/>
    <w:uiPriority w:val="99"/>
    <w:rsid w:val="00A427B2"/>
  </w:style>
  <w:style w:type="character" w:customStyle="1" w:styleId="Artdef">
    <w:name w:val="Art_def"/>
    <w:basedOn w:val="DefaultParagraphFont"/>
    <w:uiPriority w:val="99"/>
    <w:rsid w:val="00A427B2"/>
    <w:rPr>
      <w:rFonts w:ascii="Times New Roman" w:hAnsi="Times New Roman"/>
      <w:b/>
    </w:rPr>
  </w:style>
  <w:style w:type="character" w:customStyle="1" w:styleId="Artref">
    <w:name w:val="Art_ref"/>
    <w:basedOn w:val="DefaultParagraphFont"/>
    <w:uiPriority w:val="99"/>
    <w:rsid w:val="00A427B2"/>
  </w:style>
  <w:style w:type="paragraph" w:customStyle="1" w:styleId="RecNoBR">
    <w:name w:val="Rec_No_BR"/>
    <w:basedOn w:val="Normal"/>
    <w:next w:val="Rectitle"/>
    <w:uiPriority w:val="99"/>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A427B2"/>
    <w:rPr>
      <w:vertAlign w:val="superscript"/>
    </w:rPr>
  </w:style>
  <w:style w:type="paragraph" w:customStyle="1" w:styleId="QuestionNoBR">
    <w:name w:val="Question_No_BR"/>
    <w:basedOn w:val="RecNoBR"/>
    <w:next w:val="Questiontitle"/>
    <w:uiPriority w:val="99"/>
    <w:rsid w:val="00A427B2"/>
  </w:style>
  <w:style w:type="paragraph" w:customStyle="1" w:styleId="RepNoBR">
    <w:name w:val="Rep_No_BR"/>
    <w:basedOn w:val="RecNoBR"/>
    <w:next w:val="Reptitle"/>
    <w:uiPriority w:val="99"/>
    <w:rsid w:val="00A427B2"/>
  </w:style>
  <w:style w:type="paragraph" w:customStyle="1" w:styleId="ResNoBR">
    <w:name w:val="Res_No_BR"/>
    <w:basedOn w:val="RecNoBR"/>
    <w:next w:val="Restitle"/>
    <w:uiPriority w:val="99"/>
    <w:rsid w:val="00A427B2"/>
  </w:style>
  <w:style w:type="paragraph" w:customStyle="1" w:styleId="TableNotitle0">
    <w:name w:val="Table_No &amp; title"/>
    <w:basedOn w:val="Normal"/>
    <w:next w:val="Tablehead"/>
    <w:uiPriority w:val="99"/>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A427B2"/>
    <w:rPr>
      <w:b/>
    </w:rPr>
  </w:style>
  <w:style w:type="character" w:customStyle="1" w:styleId="Resdef">
    <w:name w:val="Res_def"/>
    <w:basedOn w:val="DefaultParagraphFont"/>
    <w:uiPriority w:val="99"/>
    <w:rsid w:val="00A427B2"/>
    <w:rPr>
      <w:rFonts w:ascii="Times New Roman" w:hAnsi="Times New Roman"/>
      <w:b/>
    </w:rPr>
  </w:style>
  <w:style w:type="character" w:customStyle="1" w:styleId="Tablefreq">
    <w:name w:val="Table_freq"/>
    <w:basedOn w:val="DefaultParagraphFont"/>
    <w:uiPriority w:val="99"/>
    <w:rsid w:val="00A427B2"/>
    <w:rPr>
      <w:b/>
      <w:color w:val="auto"/>
    </w:rPr>
  </w:style>
  <w:style w:type="paragraph" w:customStyle="1" w:styleId="Tableref">
    <w:name w:val="Table_ref"/>
    <w:basedOn w:val="Normal"/>
    <w:next w:val="TabletitleBR"/>
    <w:uiPriority w:val="99"/>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A427B2"/>
    <w:pPr>
      <w:keepNext w:val="0"/>
      <w:spacing w:after="480"/>
    </w:pPr>
  </w:style>
  <w:style w:type="paragraph" w:customStyle="1" w:styleId="FigureNoBR">
    <w:name w:val="Figure_No_BR"/>
    <w:basedOn w:val="Normal"/>
    <w:next w:val="FiguretitleBR"/>
    <w:uiPriority w:val="99"/>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A427B2"/>
    <w:rPr>
      <w:b/>
      <w:sz w:val="24"/>
      <w:szCs w:val="22"/>
      <w:lang w:val="en-US" w:eastAsia="en-US"/>
    </w:rPr>
  </w:style>
  <w:style w:type="character" w:customStyle="1" w:styleId="Heading2Char">
    <w:name w:val="Heading 2 Char"/>
    <w:link w:val="Heading2"/>
    <w:uiPriority w:val="99"/>
    <w:rsid w:val="00A427B2"/>
    <w:rPr>
      <w:b/>
      <w:sz w:val="24"/>
      <w:szCs w:val="22"/>
      <w:lang w:val="en-US" w:eastAsia="en-US"/>
    </w:rPr>
  </w:style>
  <w:style w:type="character" w:customStyle="1" w:styleId="Heading3Char">
    <w:name w:val="Heading 3 Char"/>
    <w:link w:val="Heading3"/>
    <w:uiPriority w:val="99"/>
    <w:rsid w:val="00A427B2"/>
    <w:rPr>
      <w:b/>
      <w:sz w:val="24"/>
      <w:szCs w:val="22"/>
      <w:lang w:val="en-US" w:eastAsia="en-US"/>
    </w:rPr>
  </w:style>
  <w:style w:type="character" w:customStyle="1" w:styleId="Heading4Char">
    <w:name w:val="Heading 4 Char"/>
    <w:link w:val="Heading4"/>
    <w:uiPriority w:val="99"/>
    <w:rsid w:val="00A427B2"/>
    <w:rPr>
      <w:b/>
      <w:sz w:val="24"/>
      <w:szCs w:val="22"/>
      <w:lang w:val="en-US" w:eastAsia="en-US"/>
    </w:rPr>
  </w:style>
  <w:style w:type="character" w:customStyle="1" w:styleId="Heading6Char">
    <w:name w:val="Heading 6 Char"/>
    <w:link w:val="Heading6"/>
    <w:uiPriority w:val="99"/>
    <w:rsid w:val="00A427B2"/>
    <w:rPr>
      <w:b/>
      <w:sz w:val="24"/>
      <w:szCs w:val="22"/>
      <w:lang w:val="en-US" w:eastAsia="en-US"/>
    </w:rPr>
  </w:style>
  <w:style w:type="character" w:customStyle="1" w:styleId="Heading7Char">
    <w:name w:val="Heading 7 Char"/>
    <w:link w:val="Heading7"/>
    <w:uiPriority w:val="99"/>
    <w:rsid w:val="00A427B2"/>
    <w:rPr>
      <w:b/>
      <w:sz w:val="24"/>
      <w:szCs w:val="22"/>
      <w:lang w:val="en-US" w:eastAsia="en-US"/>
    </w:rPr>
  </w:style>
  <w:style w:type="character" w:customStyle="1" w:styleId="Heading8Char">
    <w:name w:val="Heading 8 Char"/>
    <w:link w:val="Heading8"/>
    <w:uiPriority w:val="99"/>
    <w:rsid w:val="00A427B2"/>
    <w:rPr>
      <w:b/>
      <w:sz w:val="24"/>
      <w:szCs w:val="22"/>
      <w:lang w:val="en-US" w:eastAsia="en-US"/>
    </w:rPr>
  </w:style>
  <w:style w:type="character" w:customStyle="1" w:styleId="Heading9Char">
    <w:name w:val="Heading 9 Char"/>
    <w:link w:val="Heading9"/>
    <w:uiPriority w:val="9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 w:type="numbering" w:customStyle="1" w:styleId="NoList1">
    <w:name w:val="No List1"/>
    <w:next w:val="NoList"/>
    <w:uiPriority w:val="99"/>
    <w:semiHidden/>
    <w:unhideWhenUsed/>
    <w:rsid w:val="009A20B4"/>
  </w:style>
  <w:style w:type="paragraph" w:styleId="ListBullet">
    <w:name w:val="List Bullet"/>
    <w:basedOn w:val="Normal"/>
    <w:rsid w:val="009A20B4"/>
    <w:pPr>
      <w:numPr>
        <w:numId w:val="25"/>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9A20B4"/>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A7BC2"/>
    <w:pPr>
      <w:tabs>
        <w:tab w:val="clear" w:pos="794"/>
        <w:tab w:val="clear" w:pos="1191"/>
        <w:tab w:val="clear" w:pos="1588"/>
        <w:tab w:val="clear" w:pos="1985"/>
      </w:tabs>
      <w:adjustRightInd/>
      <w:spacing w:before="0" w:line="240" w:lineRule="auto"/>
      <w:jc w:val="left"/>
      <w:textAlignment w:val="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387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itu.int/pub/R-REG-ROP/en"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10C3-E5FB-4129-ADDD-69D7A2F2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13</TotalTime>
  <Pages>5</Pages>
  <Words>1657</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10660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Contin-Abou Chanab, Nicole</cp:lastModifiedBy>
  <cp:revision>12</cp:revision>
  <cp:lastPrinted>2014-07-18T12:47:00Z</cp:lastPrinted>
  <dcterms:created xsi:type="dcterms:W3CDTF">2014-07-17T07:49:00Z</dcterms:created>
  <dcterms:modified xsi:type="dcterms:W3CDTF">2014-07-23T10:49:00Z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