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029C" w:rsidTr="006160CB">
        <w:tc>
          <w:tcPr>
            <w:tcW w:w="7054" w:type="dxa"/>
            <w:gridSpan w:val="2"/>
            <w:shd w:val="clear" w:color="auto" w:fill="auto"/>
          </w:tcPr>
          <w:p w:rsidR="00E53DCE" w:rsidRPr="0033029C" w:rsidRDefault="00A96D3A" w:rsidP="006160CB">
            <w:pPr>
              <w:spacing w:before="0"/>
              <w:jc w:val="left"/>
              <w:rPr>
                <w:szCs w:val="24"/>
                <w:lang w:val="fr-CH"/>
              </w:rPr>
            </w:pPr>
            <w:r w:rsidRPr="0033029C">
              <w:rPr>
                <w:szCs w:val="24"/>
              </w:rPr>
              <w:t xml:space="preserve">Circular </w:t>
            </w:r>
            <w:proofErr w:type="spellStart"/>
            <w:r w:rsidRPr="0033029C">
              <w:rPr>
                <w:szCs w:val="24"/>
              </w:rPr>
              <w:t>Administrativa</w:t>
            </w:r>
            <w:proofErr w:type="spellEnd"/>
          </w:p>
          <w:p w:rsidR="00E53DCE" w:rsidRPr="0033029C" w:rsidRDefault="00E53DCE" w:rsidP="00663589">
            <w:pPr>
              <w:spacing w:before="0"/>
              <w:jc w:val="left"/>
              <w:rPr>
                <w:b/>
                <w:bCs/>
                <w:szCs w:val="24"/>
                <w:lang w:val="fr-CH"/>
              </w:rPr>
            </w:pPr>
            <w:r w:rsidRPr="0033029C">
              <w:rPr>
                <w:b/>
                <w:bCs/>
                <w:szCs w:val="24"/>
                <w:lang w:val="fr-CH"/>
              </w:rPr>
              <w:t>C</w:t>
            </w:r>
            <w:r w:rsidR="00663589">
              <w:rPr>
                <w:b/>
                <w:bCs/>
                <w:szCs w:val="24"/>
                <w:lang w:val="fr-CH"/>
              </w:rPr>
              <w:t>R</w:t>
            </w:r>
            <w:r w:rsidRPr="0033029C">
              <w:rPr>
                <w:b/>
                <w:bCs/>
                <w:szCs w:val="24"/>
                <w:lang w:val="fr-CH"/>
              </w:rPr>
              <w:t>/</w:t>
            </w:r>
            <w:r w:rsidR="00663589">
              <w:rPr>
                <w:b/>
                <w:bCs/>
                <w:szCs w:val="24"/>
                <w:lang w:val="fr-CH"/>
              </w:rPr>
              <w:t>363</w:t>
            </w:r>
          </w:p>
        </w:tc>
        <w:tc>
          <w:tcPr>
            <w:tcW w:w="2835" w:type="dxa"/>
            <w:shd w:val="clear" w:color="auto" w:fill="auto"/>
          </w:tcPr>
          <w:p w:rsidR="00E53DCE" w:rsidRPr="0033029C" w:rsidRDefault="00DC4AEB" w:rsidP="00663589">
            <w:pPr>
              <w:spacing w:before="0"/>
              <w:jc w:val="right"/>
              <w:rPr>
                <w:szCs w:val="24"/>
                <w:lang w:val="en-GB"/>
              </w:rPr>
            </w:pPr>
            <w:r>
              <w:rPr>
                <w:bCs/>
                <w:szCs w:val="24"/>
              </w:rPr>
              <w:t>11</w:t>
            </w:r>
            <w:r w:rsidR="00A96D3A" w:rsidRPr="0033029C">
              <w:rPr>
                <w:bCs/>
                <w:szCs w:val="24"/>
              </w:rPr>
              <w:t xml:space="preserve"> de </w:t>
            </w:r>
            <w:proofErr w:type="spellStart"/>
            <w:r w:rsidR="00663589">
              <w:rPr>
                <w:bCs/>
                <w:szCs w:val="24"/>
              </w:rPr>
              <w:t>abril</w:t>
            </w:r>
            <w:proofErr w:type="spellEnd"/>
            <w:r w:rsidR="00A96D3A" w:rsidRPr="0033029C">
              <w:rPr>
                <w:bCs/>
                <w:szCs w:val="24"/>
              </w:rPr>
              <w:t xml:space="preserve"> de 201</w:t>
            </w:r>
            <w:r w:rsidR="00663589">
              <w:rPr>
                <w:bCs/>
                <w:szCs w:val="24"/>
              </w:rPr>
              <w:t>4</w:t>
            </w:r>
          </w:p>
        </w:tc>
      </w:tr>
      <w:tr w:rsidR="00E53DCE" w:rsidRPr="0033029C" w:rsidTr="006160CB">
        <w:tc>
          <w:tcPr>
            <w:tcW w:w="9889" w:type="dxa"/>
            <w:gridSpan w:val="3"/>
            <w:shd w:val="clear" w:color="auto" w:fill="auto"/>
          </w:tcPr>
          <w:p w:rsidR="00E53DCE" w:rsidRPr="0033029C" w:rsidRDefault="00E53DCE" w:rsidP="006160CB">
            <w:pPr>
              <w:spacing w:before="0"/>
              <w:jc w:val="left"/>
              <w:rPr>
                <w:rFonts w:cs="Arial"/>
                <w:szCs w:val="24"/>
                <w:lang w:val="en-GB"/>
              </w:rPr>
            </w:pPr>
          </w:p>
        </w:tc>
      </w:tr>
      <w:tr w:rsidR="00E53DCE" w:rsidRPr="0033029C" w:rsidTr="006160CB">
        <w:tc>
          <w:tcPr>
            <w:tcW w:w="9889" w:type="dxa"/>
            <w:gridSpan w:val="3"/>
            <w:shd w:val="clear" w:color="auto" w:fill="auto"/>
          </w:tcPr>
          <w:p w:rsidR="00E53DCE" w:rsidRPr="0033029C" w:rsidRDefault="00E53DCE" w:rsidP="006160CB">
            <w:pPr>
              <w:spacing w:before="0"/>
              <w:jc w:val="left"/>
              <w:rPr>
                <w:szCs w:val="24"/>
              </w:rPr>
            </w:pPr>
          </w:p>
        </w:tc>
      </w:tr>
      <w:tr w:rsidR="00E53DCE" w:rsidRPr="00FB6519" w:rsidTr="006160CB">
        <w:tc>
          <w:tcPr>
            <w:tcW w:w="9889" w:type="dxa"/>
            <w:gridSpan w:val="3"/>
            <w:shd w:val="clear" w:color="auto" w:fill="auto"/>
          </w:tcPr>
          <w:p w:rsidR="00E53DCE" w:rsidRPr="0033029C" w:rsidRDefault="00FE4822" w:rsidP="006160CB">
            <w:pPr>
              <w:spacing w:before="0"/>
              <w:jc w:val="left"/>
              <w:rPr>
                <w:b/>
                <w:bCs/>
                <w:szCs w:val="24"/>
                <w:lang w:val="es-ES"/>
              </w:rPr>
            </w:pPr>
            <w:r w:rsidRPr="0033029C">
              <w:rPr>
                <w:b/>
                <w:szCs w:val="24"/>
                <w:lang w:val="es-ES"/>
              </w:rPr>
              <w:t>A las Administraciones de los Estados Miembros de la UIT</w:t>
            </w:r>
          </w:p>
          <w:p w:rsidR="00E53DCE" w:rsidRPr="0033029C" w:rsidRDefault="00E53DCE" w:rsidP="006160CB">
            <w:pPr>
              <w:spacing w:before="0"/>
              <w:jc w:val="left"/>
              <w:rPr>
                <w:b/>
                <w:bCs/>
                <w:szCs w:val="24"/>
                <w:lang w:val="es-ES"/>
              </w:rPr>
            </w:pPr>
          </w:p>
        </w:tc>
      </w:tr>
      <w:tr w:rsidR="00E53DCE" w:rsidRPr="00FB6519" w:rsidTr="006160CB">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FB6519" w:rsidTr="006160CB">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FB6519" w:rsidTr="006160CB">
        <w:tc>
          <w:tcPr>
            <w:tcW w:w="1526" w:type="dxa"/>
            <w:shd w:val="clear" w:color="auto" w:fill="auto"/>
          </w:tcPr>
          <w:p w:rsidR="00E53DCE" w:rsidRPr="0033029C" w:rsidRDefault="00A96D3A" w:rsidP="006160CB">
            <w:pPr>
              <w:tabs>
                <w:tab w:val="clear" w:pos="1588"/>
                <w:tab w:val="left" w:pos="1560"/>
              </w:tabs>
              <w:spacing w:before="0"/>
              <w:jc w:val="left"/>
              <w:rPr>
                <w:szCs w:val="24"/>
              </w:rPr>
            </w:pPr>
            <w:proofErr w:type="spellStart"/>
            <w:r w:rsidRPr="0033029C">
              <w:rPr>
                <w:szCs w:val="24"/>
              </w:rPr>
              <w:t>Objeto</w:t>
            </w:r>
            <w:proofErr w:type="spellEnd"/>
            <w:r w:rsidRPr="0033029C">
              <w:rPr>
                <w:szCs w:val="24"/>
              </w:rPr>
              <w:t>:</w:t>
            </w:r>
          </w:p>
        </w:tc>
        <w:tc>
          <w:tcPr>
            <w:tcW w:w="8363" w:type="dxa"/>
            <w:gridSpan w:val="2"/>
            <w:vMerge w:val="restart"/>
            <w:shd w:val="clear" w:color="auto" w:fill="auto"/>
          </w:tcPr>
          <w:p w:rsidR="00E53DCE" w:rsidRPr="00663589" w:rsidRDefault="00663589" w:rsidP="001C1EB5">
            <w:pPr>
              <w:tabs>
                <w:tab w:val="clear" w:pos="1588"/>
                <w:tab w:val="left" w:pos="1560"/>
              </w:tabs>
              <w:spacing w:before="0"/>
              <w:rPr>
                <w:b/>
                <w:bCs/>
                <w:szCs w:val="24"/>
                <w:lang w:val="es-ES_tradnl"/>
              </w:rPr>
            </w:pPr>
            <w:r w:rsidRPr="00663589">
              <w:rPr>
                <w:b/>
                <w:bCs/>
                <w:szCs w:val="24"/>
                <w:lang w:val="es-ES_tradnl"/>
              </w:rPr>
              <w:t xml:space="preserve">Presentación y publicación </w:t>
            </w:r>
            <w:r w:rsidR="00CA31B3">
              <w:rPr>
                <w:b/>
                <w:bCs/>
                <w:szCs w:val="24"/>
                <w:lang w:val="es-ES_tradnl"/>
              </w:rPr>
              <w:t>en</w:t>
            </w:r>
            <w:r w:rsidRPr="00663589">
              <w:rPr>
                <w:b/>
                <w:bCs/>
                <w:szCs w:val="24"/>
                <w:lang w:val="es-ES_tradnl"/>
              </w:rPr>
              <w:t xml:space="preserve"> la web de las notificaciones para información de publicación anticipada (API) </w:t>
            </w:r>
            <w:r w:rsidR="00CA31B3">
              <w:rPr>
                <w:b/>
                <w:bCs/>
                <w:szCs w:val="24"/>
                <w:lang w:val="es-ES_tradnl"/>
              </w:rPr>
              <w:t xml:space="preserve">de las redes o sistemas de satélite sujetos al procedimiento de coordinación </w:t>
            </w:r>
            <w:r w:rsidRPr="00663589">
              <w:rPr>
                <w:b/>
                <w:bCs/>
                <w:szCs w:val="24"/>
                <w:lang w:val="es-ES_tradnl"/>
              </w:rPr>
              <w:t>y de los comentarios de las administraciones con arreglo al número 9.5B (</w:t>
            </w:r>
            <w:proofErr w:type="spellStart"/>
            <w:r w:rsidRPr="00663589">
              <w:rPr>
                <w:b/>
                <w:bCs/>
                <w:szCs w:val="24"/>
                <w:lang w:val="es-ES_tradnl"/>
              </w:rPr>
              <w:t>SpaceWISC</w:t>
            </w:r>
            <w:proofErr w:type="spellEnd"/>
            <w:r w:rsidRPr="00663589">
              <w:rPr>
                <w:b/>
                <w:bCs/>
                <w:szCs w:val="24"/>
                <w:lang w:val="es-ES_tradnl"/>
              </w:rPr>
              <w:t>)</w:t>
            </w:r>
          </w:p>
        </w:tc>
      </w:tr>
      <w:tr w:rsidR="00E53DCE" w:rsidRPr="00FB6519" w:rsidTr="006160CB">
        <w:tc>
          <w:tcPr>
            <w:tcW w:w="1526" w:type="dxa"/>
            <w:shd w:val="clear" w:color="auto" w:fill="auto"/>
          </w:tcPr>
          <w:p w:rsidR="00E53DCE" w:rsidRPr="00663589"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663589" w:rsidRDefault="00E53DCE" w:rsidP="006160CB">
            <w:pPr>
              <w:tabs>
                <w:tab w:val="clear" w:pos="1588"/>
                <w:tab w:val="left" w:pos="1560"/>
              </w:tabs>
              <w:spacing w:before="0"/>
              <w:rPr>
                <w:b/>
                <w:bCs/>
                <w:szCs w:val="24"/>
                <w:lang w:val="es-ES_tradnl"/>
              </w:rPr>
            </w:pPr>
          </w:p>
        </w:tc>
      </w:tr>
      <w:tr w:rsidR="00E53DCE" w:rsidRPr="00FB6519" w:rsidTr="006160CB">
        <w:tc>
          <w:tcPr>
            <w:tcW w:w="1526" w:type="dxa"/>
            <w:shd w:val="clear" w:color="auto" w:fill="auto"/>
          </w:tcPr>
          <w:p w:rsidR="00E53DCE" w:rsidRPr="00663589"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663589" w:rsidRDefault="00E53DCE" w:rsidP="006160CB">
            <w:pPr>
              <w:tabs>
                <w:tab w:val="clear" w:pos="1588"/>
                <w:tab w:val="left" w:pos="1560"/>
              </w:tabs>
              <w:spacing w:before="0"/>
              <w:rPr>
                <w:b/>
                <w:bCs/>
                <w:szCs w:val="24"/>
                <w:lang w:val="es-ES_tradnl"/>
              </w:rPr>
            </w:pPr>
          </w:p>
        </w:tc>
      </w:tr>
      <w:tr w:rsidR="00E53DCE" w:rsidRPr="00FB6519" w:rsidTr="006160CB">
        <w:tc>
          <w:tcPr>
            <w:tcW w:w="9889" w:type="dxa"/>
            <w:gridSpan w:val="3"/>
            <w:shd w:val="clear" w:color="auto" w:fill="auto"/>
          </w:tcPr>
          <w:p w:rsidR="00E53DCE" w:rsidRPr="00663589" w:rsidRDefault="00E53DCE" w:rsidP="00E53DCE">
            <w:pPr>
              <w:tabs>
                <w:tab w:val="clear" w:pos="1588"/>
                <w:tab w:val="left" w:pos="1560"/>
              </w:tabs>
              <w:spacing w:before="0"/>
              <w:jc w:val="left"/>
              <w:rPr>
                <w:szCs w:val="24"/>
                <w:lang w:val="es-ES_tradnl"/>
              </w:rPr>
            </w:pPr>
          </w:p>
        </w:tc>
      </w:tr>
    </w:tbl>
    <w:p w:rsidR="00663589" w:rsidRPr="00286A74" w:rsidRDefault="00663589" w:rsidP="001C1EB5">
      <w:pPr>
        <w:rPr>
          <w:szCs w:val="24"/>
          <w:lang w:val="es-ES_tradnl"/>
        </w:rPr>
      </w:pPr>
      <w:r w:rsidRPr="00286A74">
        <w:rPr>
          <w:szCs w:val="24"/>
          <w:lang w:val="es-ES_tradnl"/>
        </w:rPr>
        <w:t xml:space="preserve">La Conferencia Mundial de Radiocomunicaciones (Ginebra, 2012) (CMR-12), en su Resolución </w:t>
      </w:r>
      <w:r w:rsidRPr="00286A74">
        <w:rPr>
          <w:b/>
          <w:bCs/>
          <w:szCs w:val="24"/>
          <w:lang w:val="es-ES_tradnl"/>
        </w:rPr>
        <w:t>907  (CMR</w:t>
      </w:r>
      <w:r w:rsidRPr="00286A74">
        <w:rPr>
          <w:b/>
          <w:bCs/>
          <w:szCs w:val="24"/>
          <w:lang w:val="es-ES_tradnl"/>
        </w:rPr>
        <w:noBreakHyphen/>
        <w:t xml:space="preserve">12) </w:t>
      </w:r>
      <w:r w:rsidRPr="00286A74">
        <w:rPr>
          <w:szCs w:val="24"/>
          <w:lang w:val="es-ES_tradnl"/>
        </w:rPr>
        <w:t>encarga a la Oficina de Radiocomunicaciones (la Oficina):</w:t>
      </w:r>
    </w:p>
    <w:p w:rsidR="00663589" w:rsidRPr="00286A74" w:rsidRDefault="00B71040" w:rsidP="00DC4AEB">
      <w:pPr>
        <w:rPr>
          <w:rFonts w:eastAsia="TimesNewRoman"/>
          <w:i/>
          <w:iCs/>
          <w:szCs w:val="24"/>
          <w:lang w:val="es-ES_tradnl" w:eastAsia="zh-CN"/>
        </w:rPr>
      </w:pPr>
      <w:r w:rsidRPr="00286A74">
        <w:rPr>
          <w:rFonts w:eastAsia="TimesNewRoman"/>
          <w:i/>
          <w:iCs/>
          <w:szCs w:val="24"/>
          <w:lang w:val="es-ES_tradnl" w:eastAsia="zh-CN"/>
        </w:rPr>
        <w:t>«</w:t>
      </w:r>
      <w:r w:rsidR="00663589" w:rsidRPr="00286A74">
        <w:rPr>
          <w:rFonts w:eastAsia="TimesNewRoman"/>
          <w:i/>
          <w:iCs/>
          <w:szCs w:val="24"/>
          <w:lang w:val="es-ES_tradnl" w:eastAsia="zh-CN"/>
        </w:rPr>
        <w:t>1</w:t>
      </w:r>
      <w:r w:rsidR="00663589" w:rsidRPr="00286A74">
        <w:rPr>
          <w:rFonts w:eastAsia="TimesNewRoman"/>
          <w:i/>
          <w:iCs/>
          <w:szCs w:val="24"/>
          <w:lang w:val="es-ES_tradnl" w:eastAsia="zh-CN"/>
        </w:rPr>
        <w:tab/>
        <w:t>que proporcione a las administraciones los medios técnicos necesarios para garantizar la</w:t>
      </w:r>
      <w:r w:rsidR="00DC4AEB" w:rsidRPr="00286A74">
        <w:rPr>
          <w:rFonts w:eastAsia="TimesNewRoman"/>
          <w:i/>
          <w:iCs/>
          <w:szCs w:val="24"/>
          <w:lang w:val="es-ES_tradnl" w:eastAsia="zh-CN"/>
        </w:rPr>
        <w:t xml:space="preserve"> </w:t>
      </w:r>
      <w:r w:rsidR="00663589" w:rsidRPr="00286A74">
        <w:rPr>
          <w:rFonts w:eastAsia="TimesNewRoman"/>
          <w:i/>
          <w:iCs/>
          <w:szCs w:val="24"/>
          <w:lang w:val="es-ES_tradnl" w:eastAsia="zh-CN"/>
        </w:rPr>
        <w:t>seguridad en la correspondencia electrónica entre las administraciones y la Oficina de</w:t>
      </w:r>
      <w:r w:rsidR="00DC4AEB" w:rsidRPr="00286A74">
        <w:rPr>
          <w:rFonts w:eastAsia="TimesNewRoman"/>
          <w:i/>
          <w:iCs/>
          <w:szCs w:val="24"/>
          <w:lang w:val="es-ES_tradnl" w:eastAsia="zh-CN"/>
        </w:rPr>
        <w:t xml:space="preserve"> </w:t>
      </w:r>
      <w:r w:rsidR="00663589" w:rsidRPr="00286A74">
        <w:rPr>
          <w:rFonts w:eastAsia="TimesNewRoman"/>
          <w:i/>
          <w:iCs/>
          <w:szCs w:val="24"/>
          <w:lang w:val="es-ES_tradnl" w:eastAsia="zh-CN"/>
        </w:rPr>
        <w:t>Radiocomunicaciones;</w:t>
      </w:r>
    </w:p>
    <w:p w:rsidR="00663589" w:rsidRPr="00286A74" w:rsidRDefault="00663589" w:rsidP="00DC4AEB">
      <w:pPr>
        <w:rPr>
          <w:rFonts w:eastAsia="TimesNewRoman"/>
          <w:i/>
          <w:iCs/>
          <w:szCs w:val="24"/>
          <w:lang w:val="es-ES_tradnl" w:eastAsia="zh-CN"/>
        </w:rPr>
      </w:pPr>
      <w:r w:rsidRPr="00286A74">
        <w:rPr>
          <w:rFonts w:eastAsia="TimesNewRoman"/>
          <w:i/>
          <w:iCs/>
          <w:szCs w:val="24"/>
          <w:lang w:val="es-ES_tradnl" w:eastAsia="zh-CN"/>
        </w:rPr>
        <w:t>2</w:t>
      </w:r>
      <w:r w:rsidRPr="00286A74">
        <w:rPr>
          <w:rFonts w:eastAsia="TimesNewRoman"/>
          <w:i/>
          <w:iCs/>
          <w:szCs w:val="24"/>
          <w:lang w:val="es-ES_tradnl" w:eastAsia="zh-CN"/>
        </w:rPr>
        <w:tab/>
        <w:t>que informe a las administraciones de la disponibilidad de esos medios y del programa</w:t>
      </w:r>
      <w:r w:rsidR="00DC4AEB" w:rsidRPr="00286A74">
        <w:rPr>
          <w:rFonts w:eastAsia="TimesNewRoman"/>
          <w:i/>
          <w:iCs/>
          <w:szCs w:val="24"/>
          <w:lang w:val="es-ES_tradnl" w:eastAsia="zh-CN"/>
        </w:rPr>
        <w:t xml:space="preserve"> </w:t>
      </w:r>
      <w:r w:rsidRPr="00286A74">
        <w:rPr>
          <w:rFonts w:eastAsia="TimesNewRoman"/>
          <w:i/>
          <w:iCs/>
          <w:szCs w:val="24"/>
          <w:lang w:val="es-ES_tradnl" w:eastAsia="zh-CN"/>
        </w:rPr>
        <w:t>de aplicación correspondiente;</w:t>
      </w:r>
    </w:p>
    <w:p w:rsidR="00663589" w:rsidRPr="00286A74" w:rsidRDefault="00663589" w:rsidP="001C1EB5">
      <w:pPr>
        <w:rPr>
          <w:rFonts w:eastAsia="TimesNewRoman"/>
          <w:i/>
          <w:iCs/>
          <w:szCs w:val="24"/>
          <w:lang w:val="es-ES_tradnl" w:eastAsia="zh-CN"/>
        </w:rPr>
      </w:pPr>
      <w:r w:rsidRPr="00286A74">
        <w:rPr>
          <w:rFonts w:eastAsia="TimesNewRoman"/>
          <w:i/>
          <w:iCs/>
          <w:szCs w:val="24"/>
          <w:lang w:val="es-ES_tradnl" w:eastAsia="zh-CN"/>
        </w:rPr>
        <w:t>3</w:t>
      </w:r>
      <w:r w:rsidRPr="00286A74">
        <w:rPr>
          <w:rFonts w:eastAsia="TimesNewRoman"/>
          <w:i/>
          <w:iCs/>
          <w:szCs w:val="24"/>
          <w:lang w:val="es-ES_tradnl" w:eastAsia="zh-CN"/>
        </w:rPr>
        <w:tab/>
        <w:t>que acuse recibo de toda la correspondencia electrónica, automáticamente;</w:t>
      </w:r>
    </w:p>
    <w:p w:rsidR="00663589" w:rsidRPr="00286A74" w:rsidRDefault="00663589" w:rsidP="00DC4AEB">
      <w:pPr>
        <w:rPr>
          <w:rFonts w:eastAsia="TimesNewRoman"/>
          <w:szCs w:val="24"/>
          <w:lang w:val="es-ES_tradnl" w:eastAsia="zh-CN"/>
        </w:rPr>
      </w:pPr>
      <w:r w:rsidRPr="00286A74">
        <w:rPr>
          <w:rFonts w:eastAsia="TimesNewRoman"/>
          <w:i/>
          <w:iCs/>
          <w:szCs w:val="24"/>
          <w:lang w:val="es-ES_tradnl" w:eastAsia="zh-CN"/>
        </w:rPr>
        <w:t>4</w:t>
      </w:r>
      <w:r w:rsidRPr="00286A74">
        <w:rPr>
          <w:rFonts w:eastAsia="TimesNewRoman"/>
          <w:i/>
          <w:iCs/>
          <w:szCs w:val="24"/>
          <w:lang w:val="es-ES_tradnl" w:eastAsia="zh-CN"/>
        </w:rPr>
        <w:tab/>
        <w:t>que informe a la próxima Conferencia Mundial de Radiocomunicaciones de la</w:t>
      </w:r>
      <w:r w:rsidR="00DC4AEB" w:rsidRPr="00286A74">
        <w:rPr>
          <w:rFonts w:eastAsia="TimesNewRoman"/>
          <w:i/>
          <w:iCs/>
          <w:szCs w:val="24"/>
          <w:lang w:val="es-ES_tradnl" w:eastAsia="zh-CN"/>
        </w:rPr>
        <w:t xml:space="preserve"> </w:t>
      </w:r>
      <w:r w:rsidRPr="00286A74">
        <w:rPr>
          <w:rFonts w:eastAsia="TimesNewRoman"/>
          <w:i/>
          <w:iCs/>
          <w:szCs w:val="24"/>
          <w:lang w:val="es-ES_tradnl" w:eastAsia="zh-CN"/>
        </w:rPr>
        <w:t>experiencia adquirida en la aplicación de la presente Resolución, con objeto de introducir, si</w:t>
      </w:r>
      <w:r w:rsidR="00DC4AEB" w:rsidRPr="00286A74">
        <w:rPr>
          <w:rFonts w:eastAsia="TimesNewRoman"/>
          <w:i/>
          <w:iCs/>
          <w:szCs w:val="24"/>
          <w:lang w:val="es-ES_tradnl" w:eastAsia="zh-CN"/>
        </w:rPr>
        <w:t xml:space="preserve"> </w:t>
      </w:r>
      <w:r w:rsidRPr="00286A74">
        <w:rPr>
          <w:rFonts w:eastAsia="TimesNewRoman"/>
          <w:i/>
          <w:iCs/>
          <w:szCs w:val="24"/>
          <w:lang w:val="es-ES_tradnl" w:eastAsia="zh-CN"/>
        </w:rPr>
        <w:t>procede, las consiguientes modificaciones al Reglamento de Radiocomunicaciones</w:t>
      </w:r>
      <w:r w:rsidR="00B71040" w:rsidRPr="00286A74">
        <w:rPr>
          <w:rFonts w:eastAsia="TimesNewRoman"/>
          <w:i/>
          <w:iCs/>
          <w:szCs w:val="24"/>
          <w:lang w:val="es-ES_tradnl" w:eastAsia="zh-CN"/>
        </w:rPr>
        <w:t>»</w:t>
      </w:r>
      <w:r w:rsidRPr="00286A74">
        <w:rPr>
          <w:rFonts w:eastAsia="TimesNewRoman"/>
          <w:i/>
          <w:iCs/>
          <w:szCs w:val="24"/>
          <w:lang w:val="es-ES_tradnl" w:eastAsia="zh-CN"/>
        </w:rPr>
        <w:t>.</w:t>
      </w:r>
    </w:p>
    <w:p w:rsidR="00663589" w:rsidRPr="00286A74" w:rsidRDefault="00663589" w:rsidP="001C1EB5">
      <w:pPr>
        <w:rPr>
          <w:szCs w:val="24"/>
          <w:lang w:val="es-ES_tradnl"/>
        </w:rPr>
      </w:pPr>
      <w:r w:rsidRPr="00286A74">
        <w:rPr>
          <w:szCs w:val="24"/>
          <w:lang w:val="es-ES_tradnl"/>
        </w:rPr>
        <w:t xml:space="preserve">La CMR-12 además adoptó la Resolución </w:t>
      </w:r>
      <w:r w:rsidRPr="00286A74">
        <w:rPr>
          <w:b/>
          <w:bCs/>
          <w:szCs w:val="24"/>
          <w:lang w:val="es-ES_tradnl"/>
        </w:rPr>
        <w:t>908 (CMR-12)</w:t>
      </w:r>
      <w:r w:rsidRPr="00286A74">
        <w:rPr>
          <w:szCs w:val="24"/>
          <w:lang w:val="es-ES_tradnl"/>
        </w:rPr>
        <w:t xml:space="preserve"> que encarga al Director de la Oficina de Radiocomunicaciones </w:t>
      </w:r>
      <w:r w:rsidR="00B71040" w:rsidRPr="00286A74">
        <w:rPr>
          <w:szCs w:val="24"/>
          <w:lang w:val="es-ES_tradnl"/>
        </w:rPr>
        <w:t>«</w:t>
      </w:r>
      <w:r w:rsidRPr="00286A74">
        <w:rPr>
          <w:szCs w:val="24"/>
          <w:lang w:val="es-ES_tradnl"/>
        </w:rPr>
        <w:t xml:space="preserve">que ponga en marcha un método electrónico seguro que no requiera el uso de papel para la presentación y publicación electrónica de la API de redes o sistemas de satélites sujetos a </w:t>
      </w:r>
      <w:proofErr w:type="gramStart"/>
      <w:r w:rsidRPr="00286A74">
        <w:rPr>
          <w:szCs w:val="24"/>
          <w:lang w:val="es-ES_tradnl"/>
        </w:rPr>
        <w:t>coordinación …</w:t>
      </w:r>
      <w:proofErr w:type="gramEnd"/>
      <w:r w:rsidRPr="00286A74">
        <w:rPr>
          <w:szCs w:val="24"/>
          <w:lang w:val="es-ES_tradnl"/>
        </w:rPr>
        <w:t>.</w:t>
      </w:r>
      <w:r w:rsidR="00B71040" w:rsidRPr="00286A74">
        <w:rPr>
          <w:szCs w:val="24"/>
          <w:lang w:val="es-ES_tradnl"/>
        </w:rPr>
        <w:t>»</w:t>
      </w:r>
    </w:p>
    <w:p w:rsidR="00663589" w:rsidRPr="00286A74" w:rsidRDefault="00663589" w:rsidP="001C1EB5">
      <w:pPr>
        <w:rPr>
          <w:rFonts w:eastAsia="TimesNewRoman"/>
          <w:szCs w:val="24"/>
          <w:lang w:val="es-ES_tradnl"/>
        </w:rPr>
      </w:pPr>
      <w:r w:rsidRPr="00286A74">
        <w:rPr>
          <w:szCs w:val="24"/>
          <w:lang w:val="es-ES_tradnl"/>
        </w:rPr>
        <w:t xml:space="preserve">Teniendo en cuenta la Resolución </w:t>
      </w:r>
      <w:r w:rsidRPr="00286A74">
        <w:rPr>
          <w:b/>
          <w:bCs/>
          <w:szCs w:val="24"/>
          <w:lang w:val="es-ES_tradnl"/>
        </w:rPr>
        <w:t>907 (CMR-12)</w:t>
      </w:r>
      <w:r w:rsidRPr="00286A74">
        <w:rPr>
          <w:szCs w:val="24"/>
          <w:lang w:val="es-ES_tradnl"/>
        </w:rPr>
        <w:t xml:space="preserve">, y de conformidad con la Resolución </w:t>
      </w:r>
      <w:r w:rsidRPr="00286A74">
        <w:rPr>
          <w:b/>
          <w:bCs/>
          <w:szCs w:val="24"/>
          <w:lang w:val="es-ES_tradnl"/>
        </w:rPr>
        <w:t>908 (CMR-12)</w:t>
      </w:r>
      <w:r w:rsidRPr="00286A74">
        <w:rPr>
          <w:szCs w:val="24"/>
          <w:lang w:val="es-ES_tradnl"/>
        </w:rPr>
        <w:t xml:space="preserve">, la Oficina propone una metodología de presentación y publicación de notificaciones para información de publicación anticipada (API) y de los comentarios remitidos con arreglo al número </w:t>
      </w:r>
      <w:r w:rsidRPr="00286A74">
        <w:rPr>
          <w:b/>
          <w:bCs/>
          <w:szCs w:val="24"/>
          <w:lang w:val="es-ES_tradnl"/>
        </w:rPr>
        <w:t>9.5B</w:t>
      </w:r>
      <w:r w:rsidRPr="00286A74">
        <w:rPr>
          <w:szCs w:val="24"/>
          <w:lang w:val="es-ES_tradnl"/>
        </w:rPr>
        <w:t xml:space="preserve"> del Reglamento de Radiocomunicaciones, utilizando un método electrónico seguro que no requiere el uso de papel en la forma de una interfaz de software denominada </w:t>
      </w:r>
      <w:proofErr w:type="spellStart"/>
      <w:r w:rsidRPr="00286A74">
        <w:rPr>
          <w:szCs w:val="24"/>
          <w:lang w:val="es-ES_tradnl"/>
        </w:rPr>
        <w:t>SpaceWISC</w:t>
      </w:r>
      <w:proofErr w:type="spellEnd"/>
      <w:r w:rsidRPr="00286A74">
        <w:rPr>
          <w:szCs w:val="24"/>
          <w:lang w:val="es-ES_tradnl"/>
        </w:rPr>
        <w:t xml:space="preserve"> (</w:t>
      </w:r>
      <w:proofErr w:type="spellStart"/>
      <w:r w:rsidRPr="00286A74">
        <w:rPr>
          <w:b/>
          <w:bCs/>
          <w:szCs w:val="24"/>
          <w:lang w:val="es-ES_tradnl"/>
        </w:rPr>
        <w:t>S</w:t>
      </w:r>
      <w:r w:rsidRPr="00286A74">
        <w:rPr>
          <w:szCs w:val="24"/>
          <w:lang w:val="es-ES_tradnl"/>
        </w:rPr>
        <w:t>pace</w:t>
      </w:r>
      <w:proofErr w:type="spellEnd"/>
      <w:r w:rsidRPr="00286A74">
        <w:rPr>
          <w:szCs w:val="24"/>
          <w:lang w:val="es-ES_tradnl"/>
        </w:rPr>
        <w:t xml:space="preserve"> </w:t>
      </w:r>
      <w:r w:rsidRPr="00286A74">
        <w:rPr>
          <w:b/>
          <w:bCs/>
          <w:szCs w:val="24"/>
          <w:lang w:val="es-ES_tradnl"/>
        </w:rPr>
        <w:t>W</w:t>
      </w:r>
      <w:r w:rsidRPr="00286A74">
        <w:rPr>
          <w:szCs w:val="24"/>
          <w:lang w:val="es-ES_tradnl"/>
        </w:rPr>
        <w:t>eb-</w:t>
      </w:r>
      <w:proofErr w:type="spellStart"/>
      <w:r w:rsidRPr="00286A74">
        <w:rPr>
          <w:szCs w:val="24"/>
          <w:lang w:val="es-ES_tradnl"/>
        </w:rPr>
        <w:t>based</w:t>
      </w:r>
      <w:proofErr w:type="spellEnd"/>
      <w:r w:rsidRPr="00286A74">
        <w:rPr>
          <w:szCs w:val="24"/>
          <w:lang w:val="es-ES_tradnl"/>
        </w:rPr>
        <w:t xml:space="preserve"> </w:t>
      </w:r>
      <w:r w:rsidRPr="00286A74">
        <w:rPr>
          <w:b/>
          <w:bCs/>
          <w:szCs w:val="24"/>
          <w:lang w:val="es-ES_tradnl"/>
        </w:rPr>
        <w:t>I</w:t>
      </w:r>
      <w:r w:rsidRPr="00286A74">
        <w:rPr>
          <w:szCs w:val="24"/>
          <w:lang w:val="es-ES_tradnl"/>
        </w:rPr>
        <w:t xml:space="preserve">nterface </w:t>
      </w:r>
      <w:proofErr w:type="spellStart"/>
      <w:r w:rsidRPr="00286A74">
        <w:rPr>
          <w:szCs w:val="24"/>
          <w:lang w:val="es-ES_tradnl"/>
        </w:rPr>
        <w:t>for</w:t>
      </w:r>
      <w:proofErr w:type="spellEnd"/>
      <w:r w:rsidRPr="00286A74">
        <w:rPr>
          <w:szCs w:val="24"/>
          <w:lang w:val="es-ES_tradnl"/>
        </w:rPr>
        <w:t xml:space="preserve"> </w:t>
      </w:r>
      <w:proofErr w:type="spellStart"/>
      <w:r w:rsidRPr="00286A74">
        <w:rPr>
          <w:b/>
          <w:bCs/>
          <w:szCs w:val="24"/>
          <w:lang w:val="es-ES_tradnl"/>
        </w:rPr>
        <w:t>S</w:t>
      </w:r>
      <w:r w:rsidRPr="00286A74">
        <w:rPr>
          <w:szCs w:val="24"/>
          <w:lang w:val="es-ES_tradnl"/>
        </w:rPr>
        <w:t>ecure</w:t>
      </w:r>
      <w:proofErr w:type="spellEnd"/>
      <w:r w:rsidRPr="00286A74">
        <w:rPr>
          <w:szCs w:val="24"/>
          <w:lang w:val="es-ES_tradnl"/>
        </w:rPr>
        <w:t xml:space="preserve"> </w:t>
      </w:r>
      <w:proofErr w:type="spellStart"/>
      <w:r w:rsidRPr="00286A74">
        <w:rPr>
          <w:b/>
          <w:bCs/>
          <w:szCs w:val="24"/>
          <w:lang w:val="es-ES_tradnl"/>
        </w:rPr>
        <w:t>C</w:t>
      </w:r>
      <w:r w:rsidRPr="00286A74">
        <w:rPr>
          <w:szCs w:val="24"/>
          <w:lang w:val="es-ES_tradnl"/>
        </w:rPr>
        <w:t>ommunication</w:t>
      </w:r>
      <w:proofErr w:type="spellEnd"/>
      <w:r w:rsidRPr="00286A74">
        <w:rPr>
          <w:szCs w:val="24"/>
          <w:lang w:val="es-ES_tradnl"/>
        </w:rPr>
        <w:t xml:space="preserve"> – Interfaz espacial basada en la web para una comunicación segura). Este nuevo método tiene por objeto sustituir la presentación electrónica de la API para las redes o sistemas de satélites sujetos al procedimiento de coordinación conforme a la </w:t>
      </w:r>
      <w:r w:rsidR="00B71040" w:rsidRPr="00286A74">
        <w:rPr>
          <w:szCs w:val="24"/>
          <w:lang w:val="es-ES_tradnl"/>
        </w:rPr>
        <w:t>s</w:t>
      </w:r>
      <w:r w:rsidRPr="00286A74">
        <w:rPr>
          <w:szCs w:val="24"/>
          <w:lang w:val="es-ES_tradnl"/>
        </w:rPr>
        <w:t xml:space="preserve">ección II del Artículo </w:t>
      </w:r>
      <w:r w:rsidRPr="00286A74">
        <w:rPr>
          <w:b/>
          <w:bCs/>
          <w:szCs w:val="24"/>
          <w:lang w:val="es-ES_tradnl"/>
        </w:rPr>
        <w:t xml:space="preserve">9 </w:t>
      </w:r>
      <w:r w:rsidRPr="00286A74">
        <w:rPr>
          <w:szCs w:val="24"/>
          <w:lang w:val="es-ES_tradnl"/>
        </w:rPr>
        <w:t xml:space="preserve">del RR, actualmente presentado por correo electrónico a la dirección </w:t>
      </w:r>
      <w:hyperlink r:id="rId9" w:history="1">
        <w:r w:rsidRPr="00286A74">
          <w:rPr>
            <w:color w:val="0000FF"/>
            <w:szCs w:val="24"/>
            <w:u w:val="single"/>
            <w:lang w:val="es-ES_tradnl"/>
          </w:rPr>
          <w:t>brmail@itu.int</w:t>
        </w:r>
      </w:hyperlink>
      <w:r w:rsidRPr="00286A74">
        <w:rPr>
          <w:szCs w:val="24"/>
          <w:lang w:val="es-ES_tradnl"/>
        </w:rPr>
        <w:t xml:space="preserve"> y confirmado por fax/carta de conformidad con las Reglas de Procedimiento relativas a la admisibilidad. Este nuevo método también facilitará el procedimiento de presentación de comentarios descrito en el número </w:t>
      </w:r>
      <w:r w:rsidRPr="00286A74">
        <w:rPr>
          <w:b/>
          <w:bCs/>
          <w:szCs w:val="24"/>
          <w:lang w:val="es-ES_tradnl"/>
        </w:rPr>
        <w:t>9.5B</w:t>
      </w:r>
      <w:r w:rsidRPr="00286A74">
        <w:rPr>
          <w:szCs w:val="24"/>
          <w:lang w:val="es-ES_tradnl"/>
        </w:rPr>
        <w:t>.</w:t>
      </w:r>
    </w:p>
    <w:p w:rsidR="00DF4B9A" w:rsidRDefault="00DF4B9A" w:rsidP="00812D5D">
      <w:pPr>
        <w:rPr>
          <w:szCs w:val="24"/>
          <w:lang w:val="es-ES_tradnl"/>
        </w:rPr>
      </w:pPr>
    </w:p>
    <w:p w:rsidR="00DF4B9A" w:rsidRDefault="00DF4B9A" w:rsidP="00812D5D">
      <w:pPr>
        <w:rPr>
          <w:szCs w:val="24"/>
          <w:lang w:val="es-ES_tradnl"/>
        </w:rPr>
      </w:pPr>
    </w:p>
    <w:p w:rsidR="00663589" w:rsidRPr="00286A74" w:rsidRDefault="00663589" w:rsidP="00812D5D">
      <w:pPr>
        <w:rPr>
          <w:szCs w:val="24"/>
          <w:lang w:val="es-ES_tradnl"/>
        </w:rPr>
      </w:pPr>
      <w:r w:rsidRPr="00286A74">
        <w:rPr>
          <w:szCs w:val="24"/>
          <w:lang w:val="es-ES_tradnl"/>
        </w:rPr>
        <w:t xml:space="preserve">A este respecto, la Oficina se complace en proporcionar a las administraciones una plataforma en la cual estará disponible una versión beta del sistema </w:t>
      </w:r>
      <w:proofErr w:type="spellStart"/>
      <w:r w:rsidRPr="00286A74">
        <w:rPr>
          <w:szCs w:val="24"/>
          <w:lang w:val="es-ES_tradnl"/>
        </w:rPr>
        <w:t>SpaceWISC</w:t>
      </w:r>
      <w:proofErr w:type="spellEnd"/>
      <w:r w:rsidRPr="00286A74">
        <w:rPr>
          <w:szCs w:val="24"/>
          <w:lang w:val="es-ES_tradnl"/>
        </w:rPr>
        <w:t xml:space="preserve"> para probarla. La plataforma se encuentra en: </w:t>
      </w:r>
      <w:hyperlink r:id="rId10" w:history="1">
        <w:r w:rsidRPr="00286A74">
          <w:rPr>
            <w:color w:val="0000FF"/>
            <w:szCs w:val="24"/>
            <w:u w:val="single"/>
            <w:lang w:val="es-ES_tradnl"/>
          </w:rPr>
          <w:t>https://extranet.itu.int/itu-r/spacewisc</w:t>
        </w:r>
      </w:hyperlink>
      <w:r w:rsidRPr="00286A74">
        <w:rPr>
          <w:szCs w:val="24"/>
          <w:lang w:val="es-ES_tradnl"/>
        </w:rPr>
        <w:t>.</w:t>
      </w:r>
      <w:r w:rsidR="00FB6519">
        <w:rPr>
          <w:szCs w:val="24"/>
          <w:lang w:val="es-ES_tradnl"/>
        </w:rPr>
        <w:t xml:space="preserve"> </w:t>
      </w:r>
      <w:r w:rsidRPr="00286A74">
        <w:rPr>
          <w:szCs w:val="24"/>
          <w:lang w:val="es-ES_tradnl"/>
        </w:rPr>
        <w:t>A la plataforma de prueba puede accederse desde cualquier navegador web en un PC (Windows), Mac o tableta (</w:t>
      </w:r>
      <w:proofErr w:type="spellStart"/>
      <w:r w:rsidRPr="00286A74">
        <w:rPr>
          <w:szCs w:val="24"/>
          <w:lang w:val="es-ES_tradnl"/>
        </w:rPr>
        <w:t>iOS</w:t>
      </w:r>
      <w:proofErr w:type="spellEnd"/>
      <w:r w:rsidRPr="00286A74">
        <w:rPr>
          <w:szCs w:val="24"/>
          <w:lang w:val="es-ES_tradnl"/>
        </w:rPr>
        <w:t>, Android o de otro tipo). Para evitar problemas de compatibilidad, se insta a los usuarios a utilizar las últimas versiones de los navegadores web. No es necesaria ninguna instalación adicional de software.</w:t>
      </w:r>
    </w:p>
    <w:p w:rsidR="00663589" w:rsidRPr="00286A74" w:rsidRDefault="00663589" w:rsidP="001C1EB5">
      <w:pPr>
        <w:rPr>
          <w:szCs w:val="24"/>
          <w:lang w:val="es-ES_tradnl"/>
        </w:rPr>
      </w:pPr>
      <w:r w:rsidRPr="00286A74">
        <w:rPr>
          <w:szCs w:val="24"/>
          <w:lang w:val="es-ES_tradnl"/>
        </w:rPr>
        <w:t xml:space="preserve">Además de soportar la captura, validación y presentación a la Oficina de notificaciones API por una administración notificante, </w:t>
      </w:r>
      <w:proofErr w:type="spellStart"/>
      <w:r w:rsidRPr="00286A74">
        <w:rPr>
          <w:szCs w:val="24"/>
          <w:lang w:val="es-ES_tradnl"/>
        </w:rPr>
        <w:t>SpaceWISC</w:t>
      </w:r>
      <w:proofErr w:type="spellEnd"/>
      <w:r w:rsidRPr="00286A74">
        <w:rPr>
          <w:szCs w:val="24"/>
          <w:lang w:val="es-ES_tradnl"/>
        </w:rPr>
        <w:t xml:space="preserve"> también soporta la captura, validación y presentación a la </w:t>
      </w:r>
      <w:r w:rsidR="00510454" w:rsidRPr="00286A74">
        <w:rPr>
          <w:szCs w:val="24"/>
          <w:lang w:val="es-ES_tradnl"/>
        </w:rPr>
        <w:t>administración</w:t>
      </w:r>
      <w:r w:rsidRPr="00286A74">
        <w:rPr>
          <w:szCs w:val="24"/>
          <w:lang w:val="es-ES_tradnl"/>
        </w:rPr>
        <w:t xml:space="preserve"> de notificaciones por parte de un operador, así como la carga de notificaciones API capturadas fuera de línea utilizando el software </w:t>
      </w:r>
      <w:proofErr w:type="spellStart"/>
      <w:r w:rsidRPr="00286A74">
        <w:rPr>
          <w:szCs w:val="24"/>
          <w:lang w:val="es-ES_tradnl"/>
        </w:rPr>
        <w:t>SpaceCap</w:t>
      </w:r>
      <w:proofErr w:type="spellEnd"/>
      <w:r w:rsidRPr="00286A74">
        <w:rPr>
          <w:szCs w:val="24"/>
          <w:lang w:val="es-ES_tradnl"/>
        </w:rPr>
        <w:t>.</w:t>
      </w:r>
    </w:p>
    <w:p w:rsidR="00663589" w:rsidRPr="00286A74" w:rsidRDefault="00663589" w:rsidP="001C1EB5">
      <w:pPr>
        <w:rPr>
          <w:szCs w:val="24"/>
          <w:lang w:val="es-ES_tradnl"/>
        </w:rPr>
      </w:pPr>
      <w:r w:rsidRPr="00286A74">
        <w:rPr>
          <w:szCs w:val="24"/>
          <w:lang w:val="es-ES_tradnl"/>
        </w:rPr>
        <w:t xml:space="preserve">Por razones de seguridad, el acceso a la plataforma de prueba </w:t>
      </w:r>
      <w:proofErr w:type="spellStart"/>
      <w:r w:rsidRPr="00286A74">
        <w:rPr>
          <w:szCs w:val="24"/>
          <w:lang w:val="es-ES_tradnl"/>
        </w:rPr>
        <w:t>SpaceWISC</w:t>
      </w:r>
      <w:proofErr w:type="spellEnd"/>
      <w:r w:rsidRPr="00286A74">
        <w:rPr>
          <w:szCs w:val="24"/>
          <w:lang w:val="es-ES_tradnl"/>
        </w:rPr>
        <w:t xml:space="preserve"> queda limitada a los usuarios TIES registrados.</w:t>
      </w:r>
    </w:p>
    <w:p w:rsidR="00663589" w:rsidRPr="00286A74" w:rsidRDefault="00663589" w:rsidP="001C1EB5">
      <w:pPr>
        <w:rPr>
          <w:szCs w:val="24"/>
          <w:lang w:val="es-ES_tradnl"/>
        </w:rPr>
      </w:pPr>
      <w:r w:rsidRPr="00286A74">
        <w:rPr>
          <w:rFonts w:asciiTheme="minorHAnsi" w:hAnsiTheme="minorHAnsi" w:cstheme="minorHAnsi"/>
          <w:szCs w:val="24"/>
          <w:lang w:val="es-ES_tradnl"/>
        </w:rPr>
        <w:t>Toda</w:t>
      </w:r>
      <w:r w:rsidRPr="00286A74">
        <w:rPr>
          <w:szCs w:val="24"/>
          <w:lang w:val="es-ES_tradnl"/>
        </w:rPr>
        <w:t xml:space="preserve"> administración que desee participar en la prueba de </w:t>
      </w:r>
      <w:proofErr w:type="spellStart"/>
      <w:r w:rsidRPr="00286A74">
        <w:rPr>
          <w:szCs w:val="24"/>
          <w:lang w:val="es-ES_tradnl"/>
        </w:rPr>
        <w:t>SpaceWISC</w:t>
      </w:r>
      <w:proofErr w:type="spellEnd"/>
      <w:r w:rsidRPr="00286A74">
        <w:rPr>
          <w:szCs w:val="24"/>
          <w:lang w:val="es-ES_tradnl"/>
        </w:rPr>
        <w:t xml:space="preserve"> debe designar los usuarios TIES adecuados con la Función de gestor. Puede que las administraciones también deseen extender los procesos de prueba a los operadores (véase en el </w:t>
      </w:r>
      <w:r w:rsidRPr="00286A74">
        <w:rPr>
          <w:b/>
          <w:bCs/>
          <w:szCs w:val="24"/>
          <w:lang w:val="es-ES_tradnl"/>
        </w:rPr>
        <w:t>Anexo 1</w:t>
      </w:r>
      <w:r w:rsidRPr="00286A74">
        <w:rPr>
          <w:szCs w:val="24"/>
          <w:lang w:val="es-ES_tradnl"/>
        </w:rPr>
        <w:t xml:space="preserve"> los detalles de las categorías de usuarios </w:t>
      </w:r>
      <w:proofErr w:type="spellStart"/>
      <w:r w:rsidRPr="00286A74">
        <w:rPr>
          <w:szCs w:val="24"/>
          <w:lang w:val="es-ES_tradnl"/>
        </w:rPr>
        <w:t>SpaceWISC</w:t>
      </w:r>
      <w:proofErr w:type="spellEnd"/>
      <w:r w:rsidRPr="00286A74">
        <w:rPr>
          <w:szCs w:val="24"/>
          <w:lang w:val="es-ES_tradnl"/>
        </w:rPr>
        <w:t>).</w:t>
      </w:r>
    </w:p>
    <w:p w:rsidR="00663589" w:rsidRPr="00286A74" w:rsidRDefault="00663589" w:rsidP="001C1EB5">
      <w:pPr>
        <w:rPr>
          <w:szCs w:val="24"/>
          <w:lang w:val="es-ES_tradnl"/>
        </w:rPr>
      </w:pPr>
      <w:r w:rsidRPr="00286A74">
        <w:rPr>
          <w:szCs w:val="24"/>
          <w:lang w:val="es-ES_tradnl"/>
        </w:rPr>
        <w:t xml:space="preserve">El </w:t>
      </w:r>
      <w:r w:rsidRPr="00286A74">
        <w:rPr>
          <w:b/>
          <w:bCs/>
          <w:szCs w:val="24"/>
          <w:lang w:val="es-ES_tradnl"/>
        </w:rPr>
        <w:t>Anexo 2</w:t>
      </w:r>
      <w:r w:rsidRPr="00286A74">
        <w:rPr>
          <w:szCs w:val="24"/>
          <w:lang w:val="es-ES_tradnl"/>
        </w:rPr>
        <w:t xml:space="preserve"> contiene información importante acerca del uso de </w:t>
      </w:r>
      <w:proofErr w:type="spellStart"/>
      <w:r w:rsidRPr="00286A74">
        <w:rPr>
          <w:szCs w:val="24"/>
          <w:lang w:val="es-ES_tradnl"/>
        </w:rPr>
        <w:t>SpaceWISC</w:t>
      </w:r>
      <w:proofErr w:type="spellEnd"/>
      <w:r w:rsidRPr="00286A74">
        <w:rPr>
          <w:szCs w:val="24"/>
          <w:lang w:val="es-ES_tradnl"/>
        </w:rPr>
        <w:t xml:space="preserve"> (primer registro de acceso, gestión de la expiración del temporizador del servidor).</w:t>
      </w:r>
    </w:p>
    <w:p w:rsidR="00663589" w:rsidRPr="00286A74" w:rsidRDefault="00663589" w:rsidP="001C1EB5">
      <w:pPr>
        <w:rPr>
          <w:szCs w:val="24"/>
          <w:lang w:val="es-ES_tradnl"/>
        </w:rPr>
      </w:pPr>
      <w:r w:rsidRPr="00286A74">
        <w:rPr>
          <w:szCs w:val="24"/>
          <w:lang w:val="es-ES_tradnl"/>
        </w:rPr>
        <w:t xml:space="preserve">Para ayudar a las administraciones durante el periodo de prueba de </w:t>
      </w:r>
      <w:proofErr w:type="spellStart"/>
      <w:r w:rsidRPr="00286A74">
        <w:rPr>
          <w:szCs w:val="24"/>
          <w:lang w:val="es-ES_tradnl"/>
        </w:rPr>
        <w:t>SpaceWISC</w:t>
      </w:r>
      <w:proofErr w:type="spellEnd"/>
      <w:r w:rsidRPr="00286A74">
        <w:rPr>
          <w:szCs w:val="24"/>
          <w:lang w:val="es-ES_tradnl"/>
        </w:rPr>
        <w:t xml:space="preserve">, la Oficina mantendrá una línea directa/servicio de asistencia: teléfono </w:t>
      </w:r>
      <w:r w:rsidRPr="00286A74">
        <w:rPr>
          <w:b/>
          <w:bCs/>
          <w:szCs w:val="24"/>
          <w:lang w:val="es-ES_tradnl"/>
        </w:rPr>
        <w:t>+41 22 730 6777</w:t>
      </w:r>
      <w:r w:rsidRPr="00286A74">
        <w:rPr>
          <w:szCs w:val="24"/>
          <w:lang w:val="es-ES_tradnl"/>
        </w:rPr>
        <w:t xml:space="preserve"> (desde las 09.00 h hasta las 17.00 h hora de Ginebra), o correo-e </w:t>
      </w:r>
      <w:hyperlink r:id="rId11" w:history="1">
        <w:r w:rsidRPr="00286A74">
          <w:rPr>
            <w:color w:val="0000FF"/>
            <w:szCs w:val="24"/>
            <w:u w:val="single"/>
            <w:lang w:val="es-ES_tradnl"/>
          </w:rPr>
          <w:t>spacewisc@itu.int</w:t>
        </w:r>
      </w:hyperlink>
      <w:r w:rsidRPr="00286A74">
        <w:rPr>
          <w:szCs w:val="24"/>
          <w:lang w:val="es-ES_tradnl"/>
        </w:rPr>
        <w:t xml:space="preserve">. Para más información, también puede acceder a la página de soporte </w:t>
      </w:r>
      <w:proofErr w:type="spellStart"/>
      <w:r w:rsidRPr="00286A74">
        <w:rPr>
          <w:szCs w:val="24"/>
          <w:lang w:val="es-ES_tradnl"/>
        </w:rPr>
        <w:t>SpceWISC</w:t>
      </w:r>
      <w:proofErr w:type="spellEnd"/>
      <w:r w:rsidRPr="00286A74">
        <w:rPr>
          <w:szCs w:val="24"/>
          <w:lang w:val="es-ES_tradnl"/>
        </w:rPr>
        <w:t xml:space="preserve"> en </w:t>
      </w:r>
      <w:hyperlink r:id="rId12" w:history="1">
        <w:r w:rsidRPr="00286A74">
          <w:rPr>
            <w:color w:val="0000FF"/>
            <w:szCs w:val="24"/>
            <w:u w:val="single"/>
            <w:lang w:val="es-ES_tradnl"/>
          </w:rPr>
          <w:t>http://www.itu.int/ITU-R/go/s-wisc/en</w:t>
        </w:r>
      </w:hyperlink>
      <w:r w:rsidRPr="00286A74">
        <w:rPr>
          <w:szCs w:val="24"/>
          <w:lang w:val="es-ES_tradnl"/>
        </w:rPr>
        <w:t>.</w:t>
      </w:r>
    </w:p>
    <w:p w:rsidR="00663589" w:rsidRPr="00286A74" w:rsidRDefault="00663589" w:rsidP="001C1EB5">
      <w:pPr>
        <w:rPr>
          <w:szCs w:val="24"/>
          <w:lang w:val="es-ES_tradnl"/>
        </w:rPr>
      </w:pPr>
      <w:r w:rsidRPr="00286A74">
        <w:rPr>
          <w:szCs w:val="24"/>
          <w:lang w:val="es-ES_tradnl"/>
        </w:rPr>
        <w:t xml:space="preserve">El Foro de Soporte </w:t>
      </w:r>
      <w:proofErr w:type="spellStart"/>
      <w:r w:rsidRPr="00286A74">
        <w:rPr>
          <w:szCs w:val="24"/>
          <w:lang w:val="es-ES_tradnl"/>
        </w:rPr>
        <w:t>SpaceWISC</w:t>
      </w:r>
      <w:proofErr w:type="spellEnd"/>
      <w:r w:rsidRPr="00286A74">
        <w:rPr>
          <w:szCs w:val="24"/>
          <w:lang w:val="es-ES_tradnl"/>
        </w:rPr>
        <w:t xml:space="preserve"> también está disponible a través del menú principal de la aplicación, ofreciendo al usuario una guía, una sección de preguntas más frecuentes (FAQ) y vídeos didácticos, así como intercambios y compartición de experiencias de los usuarios en forma de mensajes publicados en línea.</w:t>
      </w:r>
    </w:p>
    <w:p w:rsidR="00663589" w:rsidRPr="00286A74" w:rsidRDefault="00663589" w:rsidP="001C1EB5">
      <w:pPr>
        <w:rPr>
          <w:szCs w:val="24"/>
          <w:lang w:val="es-ES_tradnl"/>
        </w:rPr>
      </w:pPr>
      <w:r w:rsidRPr="00286A74">
        <w:rPr>
          <w:szCs w:val="24"/>
          <w:lang w:val="es-ES_tradnl"/>
        </w:rPr>
        <w:t xml:space="preserve">Se invita a las administraciones a que participen activamente en la prueba de la versión beta de la interfaz </w:t>
      </w:r>
      <w:proofErr w:type="spellStart"/>
      <w:r w:rsidRPr="00286A74">
        <w:rPr>
          <w:szCs w:val="24"/>
          <w:lang w:val="es-ES_tradnl"/>
        </w:rPr>
        <w:t>SpaceWISC</w:t>
      </w:r>
      <w:proofErr w:type="spellEnd"/>
      <w:r w:rsidRPr="00286A74">
        <w:rPr>
          <w:szCs w:val="24"/>
          <w:lang w:val="es-ES_tradnl"/>
        </w:rPr>
        <w:t xml:space="preserve"> y que comuniquen a la Oficina, preferentemente a través del foro específico creado al efecto, cualquier comentario, sugerencia o idea para posibles mejoras.</w:t>
      </w:r>
    </w:p>
    <w:p w:rsidR="00663589" w:rsidRPr="00286A74" w:rsidRDefault="00663589" w:rsidP="001C1EB5">
      <w:pPr>
        <w:rPr>
          <w:szCs w:val="24"/>
          <w:lang w:val="es-ES_tradnl"/>
        </w:rPr>
      </w:pPr>
      <w:r w:rsidRPr="00286A74">
        <w:rPr>
          <w:rFonts w:asciiTheme="minorHAnsi" w:hAnsiTheme="minorHAnsi" w:cstheme="minorHAnsi"/>
          <w:szCs w:val="24"/>
          <w:lang w:val="es-ES_tradnl"/>
        </w:rPr>
        <w:t>Está</w:t>
      </w:r>
      <w:r w:rsidRPr="00286A74">
        <w:rPr>
          <w:szCs w:val="24"/>
          <w:lang w:val="es-ES_tradnl"/>
        </w:rPr>
        <w:t xml:space="preserve"> previsto que el periodo de pruebas dure tres meses a partir de la fecha de la presente </w:t>
      </w:r>
      <w:r w:rsidR="00B71040" w:rsidRPr="00286A74">
        <w:rPr>
          <w:szCs w:val="24"/>
          <w:lang w:val="es-ES_tradnl"/>
        </w:rPr>
        <w:t>Carta Circular</w:t>
      </w:r>
      <w:r w:rsidRPr="00286A74">
        <w:rPr>
          <w:szCs w:val="24"/>
          <w:lang w:val="es-ES_tradnl"/>
        </w:rPr>
        <w:t xml:space="preserve">. Mientras tanto, la Oficina propondrá un proyecto de modificación de las Reglas de Procedimiento relativas a la admisibilidad para tener en cuenta la presentación de la API utilizando </w:t>
      </w:r>
      <w:proofErr w:type="spellStart"/>
      <w:r w:rsidRPr="00286A74">
        <w:rPr>
          <w:szCs w:val="24"/>
          <w:lang w:val="es-ES_tradnl"/>
        </w:rPr>
        <w:t>SpaceWISC</w:t>
      </w:r>
      <w:proofErr w:type="spellEnd"/>
      <w:r w:rsidRPr="00286A74">
        <w:rPr>
          <w:szCs w:val="24"/>
          <w:lang w:val="es-ES_tradnl"/>
        </w:rPr>
        <w:t xml:space="preserve">, a tiempo para que pueda ser considerado en la próxima reunión de la Junta del Reglamento de Radiocomunicaciones (RRB), que se celebrará del 30 de julio al 5 de agosto de 2014. Tras la aprobación de las Reglas de Procedimiento relativas a la admisibilidad, la Oficina publicará una nueva </w:t>
      </w:r>
      <w:r w:rsidR="00510454" w:rsidRPr="00286A74">
        <w:rPr>
          <w:szCs w:val="24"/>
          <w:lang w:val="es-ES_tradnl"/>
        </w:rPr>
        <w:t xml:space="preserve">Carta Circular </w:t>
      </w:r>
      <w:r w:rsidRPr="00286A74">
        <w:rPr>
          <w:szCs w:val="24"/>
          <w:lang w:val="es-ES_tradnl"/>
        </w:rPr>
        <w:t xml:space="preserve">con información actualizada sobre </w:t>
      </w:r>
      <w:proofErr w:type="spellStart"/>
      <w:r w:rsidRPr="00286A74">
        <w:rPr>
          <w:szCs w:val="24"/>
          <w:lang w:val="es-ES_tradnl"/>
        </w:rPr>
        <w:t>SpaceWISC</w:t>
      </w:r>
      <w:proofErr w:type="spellEnd"/>
      <w:r w:rsidRPr="00286A74">
        <w:rPr>
          <w:szCs w:val="24"/>
          <w:lang w:val="es-ES_tradnl"/>
        </w:rPr>
        <w:t xml:space="preserve"> y su fecha de implementación.</w:t>
      </w:r>
    </w:p>
    <w:p w:rsidR="00663589" w:rsidRPr="00286A74" w:rsidRDefault="00663589" w:rsidP="001C1EB5">
      <w:pPr>
        <w:rPr>
          <w:szCs w:val="24"/>
          <w:lang w:val="es-ES_tradnl"/>
        </w:rPr>
      </w:pPr>
      <w:r w:rsidRPr="00286A74">
        <w:rPr>
          <w:rFonts w:asciiTheme="minorHAnsi" w:hAnsiTheme="minorHAnsi" w:cstheme="minorHAnsi"/>
          <w:szCs w:val="24"/>
          <w:lang w:val="es-ES_tradnl"/>
        </w:rPr>
        <w:t>El</w:t>
      </w:r>
      <w:r w:rsidRPr="00286A74">
        <w:rPr>
          <w:szCs w:val="24"/>
          <w:lang w:val="es-ES_tradnl"/>
        </w:rPr>
        <w:t xml:space="preserve"> actual procedimiento electrónico para la presentación, a través de la dirección </w:t>
      </w:r>
      <w:hyperlink r:id="rId13" w:history="1">
        <w:r w:rsidRPr="00286A74">
          <w:rPr>
            <w:color w:val="0000FF"/>
            <w:szCs w:val="24"/>
            <w:u w:val="single"/>
            <w:lang w:val="es-ES_tradnl"/>
          </w:rPr>
          <w:t>brmail@itu.int</w:t>
        </w:r>
      </w:hyperlink>
      <w:r w:rsidRPr="00286A74">
        <w:rPr>
          <w:szCs w:val="24"/>
          <w:lang w:val="es-ES_tradnl"/>
        </w:rPr>
        <w:t>, de la API para redes o sistemas de satélites sujetos al procedimiento de coordinación con arreglo a la Sección II del Artículo </w:t>
      </w:r>
      <w:r w:rsidRPr="00286A74">
        <w:rPr>
          <w:b/>
          <w:bCs/>
          <w:szCs w:val="24"/>
          <w:lang w:val="es-ES_tradnl"/>
        </w:rPr>
        <w:t>9</w:t>
      </w:r>
      <w:r w:rsidRPr="00286A74">
        <w:rPr>
          <w:szCs w:val="24"/>
          <w:lang w:val="es-ES_tradnl"/>
        </w:rPr>
        <w:t xml:space="preserve"> del RR, en virtud de la Resolución </w:t>
      </w:r>
      <w:r w:rsidRPr="00286A74">
        <w:rPr>
          <w:b/>
          <w:bCs/>
          <w:szCs w:val="24"/>
          <w:lang w:val="es-ES_tradnl"/>
        </w:rPr>
        <w:t>55 (Rev. CMR-12)</w:t>
      </w:r>
      <w:r w:rsidRPr="00286A74">
        <w:rPr>
          <w:szCs w:val="24"/>
          <w:lang w:val="es-ES_tradnl"/>
        </w:rPr>
        <w:t>, seguirá en vigor hasta nueva orden.</w:t>
      </w:r>
    </w:p>
    <w:p w:rsidR="00514DC2" w:rsidRDefault="00514DC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es-ES_tradnl"/>
        </w:rPr>
      </w:pPr>
      <w:r>
        <w:rPr>
          <w:rFonts w:asciiTheme="minorHAnsi" w:hAnsiTheme="minorHAnsi" w:cstheme="minorHAnsi"/>
          <w:szCs w:val="24"/>
          <w:lang w:val="es-ES_tradnl"/>
        </w:rPr>
        <w:br w:type="page"/>
      </w:r>
    </w:p>
    <w:p w:rsidR="00DF4B9A" w:rsidRDefault="00DF4B9A" w:rsidP="001C1EB5">
      <w:pPr>
        <w:rPr>
          <w:rFonts w:asciiTheme="minorHAnsi" w:hAnsiTheme="minorHAnsi" w:cstheme="minorHAnsi"/>
          <w:szCs w:val="24"/>
          <w:lang w:val="es-ES_tradnl"/>
        </w:rPr>
      </w:pPr>
    </w:p>
    <w:p w:rsidR="00663589" w:rsidRPr="00286A74" w:rsidRDefault="00663589" w:rsidP="001C1EB5">
      <w:pPr>
        <w:rPr>
          <w:szCs w:val="24"/>
          <w:lang w:val="es-ES_tradnl"/>
        </w:rPr>
      </w:pPr>
      <w:r w:rsidRPr="00286A74">
        <w:rPr>
          <w:rFonts w:asciiTheme="minorHAnsi" w:hAnsiTheme="minorHAnsi" w:cstheme="minorHAnsi"/>
          <w:szCs w:val="24"/>
          <w:lang w:val="es-ES_tradnl"/>
        </w:rPr>
        <w:t>La</w:t>
      </w:r>
      <w:r w:rsidRPr="00286A74">
        <w:rPr>
          <w:szCs w:val="24"/>
          <w:lang w:val="es-ES_tradnl"/>
        </w:rPr>
        <w:t xml:space="preserve"> Oficina queda a disposición de su administración, a través de la dirección </w:t>
      </w:r>
      <w:hyperlink r:id="rId14" w:history="1">
        <w:r w:rsidRPr="00286A74">
          <w:rPr>
            <w:color w:val="0000FF"/>
            <w:szCs w:val="24"/>
            <w:u w:val="single"/>
            <w:lang w:val="es-ES_tradnl"/>
          </w:rPr>
          <w:t>brmail@itu.int</w:t>
        </w:r>
      </w:hyperlink>
      <w:r w:rsidRPr="00286A74">
        <w:rPr>
          <w:szCs w:val="24"/>
          <w:lang w:val="es-ES_tradnl"/>
        </w:rPr>
        <w:t xml:space="preserve"> para cualquier aclaración adicional que pueda necesitar respecto al contenido de la presente </w:t>
      </w:r>
      <w:r w:rsidR="00510454" w:rsidRPr="00286A74">
        <w:rPr>
          <w:szCs w:val="24"/>
          <w:lang w:val="es-ES_tradnl"/>
        </w:rPr>
        <w:t>Carta Circular</w:t>
      </w:r>
      <w:r w:rsidRPr="00286A74">
        <w:rPr>
          <w:szCs w:val="24"/>
          <w:lang w:val="es-ES_tradnl"/>
        </w:rPr>
        <w:t>.</w:t>
      </w:r>
    </w:p>
    <w:p w:rsidR="00663589" w:rsidRPr="00286A74" w:rsidRDefault="00663589" w:rsidP="00514DC2">
      <w:pPr>
        <w:spacing w:before="960"/>
        <w:rPr>
          <w:szCs w:val="24"/>
          <w:lang w:val="es-ES_tradnl"/>
        </w:rPr>
      </w:pPr>
      <w:r w:rsidRPr="00286A74">
        <w:rPr>
          <w:rFonts w:asciiTheme="minorHAnsi" w:hAnsiTheme="minorHAnsi" w:cstheme="minorHAnsi"/>
          <w:szCs w:val="24"/>
          <w:lang w:val="es-ES_tradnl"/>
        </w:rPr>
        <w:t xml:space="preserve">François </w:t>
      </w:r>
      <w:proofErr w:type="spellStart"/>
      <w:r w:rsidRPr="00286A74">
        <w:rPr>
          <w:rFonts w:asciiTheme="minorHAnsi" w:hAnsiTheme="minorHAnsi" w:cstheme="minorHAnsi"/>
          <w:szCs w:val="24"/>
          <w:lang w:val="es-ES_tradnl"/>
        </w:rPr>
        <w:t>Rancy</w:t>
      </w:r>
      <w:proofErr w:type="spellEnd"/>
    </w:p>
    <w:p w:rsidR="00663589" w:rsidRPr="00286A74" w:rsidRDefault="00663589" w:rsidP="00663589">
      <w:pPr>
        <w:spacing w:before="0" w:after="120" w:line="240" w:lineRule="auto"/>
        <w:jc w:val="left"/>
        <w:rPr>
          <w:rFonts w:cstheme="minorHAnsi"/>
          <w:szCs w:val="24"/>
          <w:lang w:val="es-ES_tradnl"/>
        </w:rPr>
      </w:pPr>
      <w:r w:rsidRPr="00286A74">
        <w:rPr>
          <w:rFonts w:cstheme="minorHAnsi"/>
          <w:szCs w:val="24"/>
          <w:lang w:val="es-ES_tradnl"/>
        </w:rPr>
        <w:t>Director</w:t>
      </w:r>
    </w:p>
    <w:p w:rsidR="00663589" w:rsidRPr="00663589" w:rsidRDefault="00663589" w:rsidP="00DF4B9A">
      <w:pPr>
        <w:spacing w:before="10920" w:after="120" w:line="240" w:lineRule="auto"/>
        <w:jc w:val="left"/>
        <w:rPr>
          <w:rFonts w:cstheme="minorHAnsi"/>
          <w:b/>
          <w:sz w:val="22"/>
          <w:lang w:val="es-ES_tradnl"/>
        </w:rPr>
      </w:pPr>
      <w:r w:rsidRPr="00663589">
        <w:rPr>
          <w:b/>
          <w:sz w:val="18"/>
          <w:szCs w:val="18"/>
          <w:u w:val="single"/>
          <w:lang w:val="es-ES_tradnl"/>
        </w:rPr>
        <w:t>Distribución</w:t>
      </w:r>
      <w:r w:rsidRPr="00663589">
        <w:rPr>
          <w:b/>
          <w:sz w:val="18"/>
          <w:szCs w:val="18"/>
          <w:lang w:val="es-ES_tradnl"/>
        </w:rPr>
        <w:t>:</w:t>
      </w:r>
    </w:p>
    <w:p w:rsidR="00663589" w:rsidRPr="00663589" w:rsidRDefault="00663589" w:rsidP="00663589">
      <w:pPr>
        <w:tabs>
          <w:tab w:val="clear" w:pos="794"/>
          <w:tab w:val="left" w:pos="284"/>
        </w:tabs>
        <w:spacing w:before="80" w:line="240" w:lineRule="auto"/>
        <w:ind w:left="794" w:hanging="794"/>
        <w:rPr>
          <w:sz w:val="18"/>
          <w:szCs w:val="18"/>
          <w:lang w:val="es-ES_tradnl"/>
        </w:rPr>
      </w:pPr>
      <w:r w:rsidRPr="00663589">
        <w:rPr>
          <w:sz w:val="18"/>
          <w:szCs w:val="18"/>
          <w:lang w:val="es-ES_tradnl"/>
        </w:rPr>
        <w:t>–</w:t>
      </w:r>
      <w:r w:rsidRPr="00663589">
        <w:rPr>
          <w:sz w:val="18"/>
          <w:szCs w:val="18"/>
          <w:lang w:val="es-ES_tradnl"/>
        </w:rPr>
        <w:tab/>
        <w:t>Administraciones de los Estados Miembros de la UIT.</w:t>
      </w:r>
    </w:p>
    <w:p w:rsidR="00663589" w:rsidRPr="00663589" w:rsidRDefault="00663589" w:rsidP="00663589">
      <w:pPr>
        <w:tabs>
          <w:tab w:val="clear" w:pos="794"/>
          <w:tab w:val="left" w:pos="284"/>
        </w:tabs>
        <w:spacing w:before="0" w:line="240" w:lineRule="auto"/>
        <w:ind w:left="794" w:hanging="794"/>
        <w:rPr>
          <w:sz w:val="18"/>
          <w:szCs w:val="18"/>
          <w:lang w:val="es-ES_tradnl"/>
        </w:rPr>
      </w:pPr>
      <w:r w:rsidRPr="00663589">
        <w:rPr>
          <w:sz w:val="18"/>
          <w:szCs w:val="18"/>
          <w:lang w:val="es-ES_tradnl"/>
        </w:rPr>
        <w:t>–</w:t>
      </w:r>
      <w:r w:rsidRPr="00663589">
        <w:rPr>
          <w:sz w:val="18"/>
          <w:szCs w:val="18"/>
          <w:lang w:val="es-ES_tradnl"/>
        </w:rPr>
        <w:tab/>
        <w:t>Miembros de la Junta del Reglamento de Radiocomunicaciones.</w:t>
      </w:r>
      <w:r w:rsidRPr="00663589">
        <w:rPr>
          <w:sz w:val="18"/>
          <w:szCs w:val="18"/>
          <w:lang w:val="es-ES_tradnl"/>
        </w:rPr>
        <w:br w:type="page"/>
      </w:r>
    </w:p>
    <w:p w:rsidR="00663589" w:rsidRPr="002F6F95" w:rsidRDefault="00663589" w:rsidP="009D0D58">
      <w:pPr>
        <w:pStyle w:val="AnnexNoTitle"/>
        <w:rPr>
          <w:szCs w:val="24"/>
          <w:lang w:val="es-ES_tradnl"/>
        </w:rPr>
      </w:pPr>
      <w:r w:rsidRPr="002F6F95">
        <w:rPr>
          <w:b w:val="0"/>
          <w:bCs/>
          <w:szCs w:val="24"/>
          <w:lang w:val="es-ES_tradnl"/>
        </w:rPr>
        <w:lastRenderedPageBreak/>
        <w:t>ANEXO 1</w:t>
      </w:r>
      <w:r w:rsidR="009D0D58" w:rsidRPr="002F6F95">
        <w:rPr>
          <w:szCs w:val="24"/>
          <w:lang w:val="es-ES_tradnl"/>
        </w:rPr>
        <w:br/>
      </w:r>
      <w:r w:rsidR="009D0D58" w:rsidRPr="002F6F95">
        <w:rPr>
          <w:szCs w:val="24"/>
          <w:lang w:val="es-ES_tradnl"/>
        </w:rPr>
        <w:br/>
      </w:r>
      <w:r w:rsidRPr="002F6F95">
        <w:rPr>
          <w:szCs w:val="24"/>
          <w:lang w:val="es-ES_tradnl"/>
        </w:rPr>
        <w:t xml:space="preserve">Categoría de los usuarios de </w:t>
      </w:r>
      <w:proofErr w:type="spellStart"/>
      <w:r w:rsidRPr="002F6F95">
        <w:rPr>
          <w:szCs w:val="24"/>
          <w:lang w:val="es-ES_tradnl"/>
        </w:rPr>
        <w:t>SpaceWISC</w:t>
      </w:r>
      <w:proofErr w:type="spellEnd"/>
    </w:p>
    <w:p w:rsidR="008C08FE" w:rsidRPr="002F6F95" w:rsidRDefault="008C08FE" w:rsidP="008C08FE">
      <w:pPr>
        <w:rPr>
          <w:szCs w:val="24"/>
          <w:lang w:val="es-ES_tradnl"/>
        </w:rPr>
      </w:pPr>
    </w:p>
    <w:p w:rsidR="00663589" w:rsidRPr="002F6F95" w:rsidRDefault="00663589" w:rsidP="00BF1DCC">
      <w:pPr>
        <w:pStyle w:val="enumlev1"/>
        <w:jc w:val="left"/>
        <w:rPr>
          <w:szCs w:val="24"/>
          <w:lang w:val="es-ES_tradnl"/>
        </w:rPr>
      </w:pPr>
      <w:r w:rsidRPr="002F6F95">
        <w:rPr>
          <w:szCs w:val="24"/>
          <w:lang w:val="es-ES_tradnl"/>
        </w:rPr>
        <w:t>1.1</w:t>
      </w:r>
      <w:r w:rsidRPr="002F6F95">
        <w:rPr>
          <w:szCs w:val="24"/>
          <w:lang w:val="es-ES_tradnl"/>
        </w:rPr>
        <w:tab/>
      </w:r>
      <w:r w:rsidRPr="002F6F95">
        <w:rPr>
          <w:i/>
          <w:iCs/>
          <w:szCs w:val="24"/>
          <w:lang w:val="es-ES_tradnl"/>
        </w:rPr>
        <w:t>Función de Gestor</w:t>
      </w:r>
      <w:r w:rsidRPr="002F6F95">
        <w:rPr>
          <w:szCs w:val="24"/>
          <w:lang w:val="es-ES_tradnl"/>
        </w:rPr>
        <w:t xml:space="preserve"> – la desempeñará un miembro (o representante) de una administración que goce de todos los privilegios necesarios para crear notificaciones API, presentarlas a la Oficina y controlar los derechos de acceso de otros miembros de la administración (por ejemplo, autorización de añadir y/o suprimir administraciones y operadores/usuarios para su administración), así como llevar a cabo funciones relativas al cometido de una Administración o un Operador.</w:t>
      </w:r>
    </w:p>
    <w:p w:rsidR="00663589" w:rsidRPr="002F6F95" w:rsidRDefault="00663589" w:rsidP="00BF1DCC">
      <w:pPr>
        <w:pStyle w:val="enumlev1"/>
        <w:jc w:val="left"/>
        <w:rPr>
          <w:szCs w:val="24"/>
          <w:lang w:val="es-ES_tradnl"/>
        </w:rPr>
      </w:pPr>
      <w:r w:rsidRPr="002F6F95">
        <w:rPr>
          <w:szCs w:val="24"/>
          <w:lang w:val="es-ES_tradnl"/>
        </w:rPr>
        <w:t>1.2</w:t>
      </w:r>
      <w:r w:rsidRPr="002F6F95">
        <w:rPr>
          <w:szCs w:val="24"/>
          <w:lang w:val="es-ES_tradnl"/>
        </w:rPr>
        <w:tab/>
      </w:r>
      <w:r w:rsidRPr="002F6F95">
        <w:rPr>
          <w:i/>
          <w:iCs/>
          <w:szCs w:val="24"/>
          <w:lang w:val="es-ES_tradnl"/>
        </w:rPr>
        <w:t>Función de Administración</w:t>
      </w:r>
      <w:r w:rsidRPr="002F6F95">
        <w:rPr>
          <w:szCs w:val="24"/>
          <w:lang w:val="es-ES_tradnl"/>
        </w:rPr>
        <w:t xml:space="preserve"> – la desempeñarán los miembros (o representantes) de la administración responsable del procesamiento de las notificaciones API y autorizadas por el miembro de la administración con la función de Gestor. Estarán autorizadas a crear notificaciones API y presentarlas a la Oficina. Las cuentas con una función de Administración pueden añadir/suprimir cuentas con una función de Operador. El mismo miembro (o representante) de una administración puede desempeñar funciones de Gestor y de Administración.</w:t>
      </w:r>
    </w:p>
    <w:p w:rsidR="00663589" w:rsidRPr="002F6F95" w:rsidRDefault="00663589" w:rsidP="00BF1DCC">
      <w:pPr>
        <w:pStyle w:val="enumlev1"/>
        <w:jc w:val="left"/>
        <w:rPr>
          <w:szCs w:val="24"/>
          <w:lang w:val="es-ES_tradnl"/>
        </w:rPr>
      </w:pPr>
      <w:r w:rsidRPr="002F6F95">
        <w:rPr>
          <w:szCs w:val="24"/>
          <w:lang w:val="es-ES_tradnl"/>
        </w:rPr>
        <w:t>1.3</w:t>
      </w:r>
      <w:r w:rsidRPr="002F6F95">
        <w:rPr>
          <w:szCs w:val="24"/>
          <w:lang w:val="es-ES_tradnl"/>
        </w:rPr>
        <w:tab/>
      </w:r>
      <w:r w:rsidRPr="002F6F95">
        <w:rPr>
          <w:i/>
          <w:iCs/>
          <w:szCs w:val="24"/>
          <w:lang w:val="es-ES_tradnl"/>
        </w:rPr>
        <w:t>Función de Operador</w:t>
      </w:r>
      <w:r w:rsidRPr="002F6F95">
        <w:rPr>
          <w:szCs w:val="24"/>
          <w:lang w:val="es-ES_tradnl"/>
        </w:rPr>
        <w:t xml:space="preserve"> – estará autorizado a capturar, editar y actualizar sus propias notificaciones API y, una vez completadas, presentarlas a su administración. Las cuentas con esa función no gozarán de los privilegios necesarios para presentar las notificaciones API directamente a la Oficina.</w:t>
      </w:r>
    </w:p>
    <w:p w:rsidR="00663589" w:rsidRPr="002F6F95" w:rsidRDefault="00663589" w:rsidP="00BF1DCC">
      <w:pPr>
        <w:pStyle w:val="enumlev1"/>
        <w:jc w:val="left"/>
        <w:rPr>
          <w:szCs w:val="24"/>
          <w:lang w:val="es-ES_tradnl"/>
        </w:rPr>
      </w:pPr>
      <w:r w:rsidRPr="002F6F95">
        <w:rPr>
          <w:szCs w:val="24"/>
          <w:lang w:val="es-ES_tradnl"/>
        </w:rPr>
        <w:t>2</w:t>
      </w:r>
      <w:r w:rsidRPr="002F6F95">
        <w:rPr>
          <w:szCs w:val="24"/>
          <w:lang w:val="es-ES_tradnl"/>
        </w:rPr>
        <w:tab/>
      </w:r>
      <w:r w:rsidRPr="002F6F95">
        <w:rPr>
          <w:szCs w:val="24"/>
          <w:u w:val="single"/>
          <w:lang w:val="es-ES_tradnl"/>
        </w:rPr>
        <w:t xml:space="preserve">La Oficina será responsable del registro de cuentas con la </w:t>
      </w:r>
      <w:r w:rsidRPr="002F6F95">
        <w:rPr>
          <w:i/>
          <w:iCs/>
          <w:szCs w:val="24"/>
          <w:u w:val="single"/>
          <w:lang w:val="es-ES_tradnl"/>
        </w:rPr>
        <w:t>función de Gestor</w:t>
      </w:r>
      <w:r w:rsidRPr="002F6F95">
        <w:rPr>
          <w:szCs w:val="24"/>
          <w:lang w:val="es-ES_tradnl"/>
        </w:rPr>
        <w:t xml:space="preserve">. Para ello, se invita a las administraciones a comunicar a la Oficina, a través del fax +41 22 730 5785, la lista inicial de una o más personas (o entidades) a las que se ha confiado la función de Gestor, indicando el nombre de la persona, el cargo que ocupa, la dirección de correo-e, el número de teléfono y el </w:t>
      </w:r>
      <w:r w:rsidRPr="002F6F95">
        <w:rPr>
          <w:szCs w:val="24"/>
          <w:u w:val="single"/>
          <w:lang w:val="es-ES_tradnl"/>
        </w:rPr>
        <w:t>nombre de usuario</w:t>
      </w:r>
      <w:r w:rsidRPr="002F6F95">
        <w:rPr>
          <w:szCs w:val="24"/>
          <w:lang w:val="es-ES_tradnl"/>
        </w:rPr>
        <w:t xml:space="preserve"> TIES. Se solicita a las Administraciones que mantengan informada a la Oficina de cualquier actualización relativa a cuentas con los privilegios de la </w:t>
      </w:r>
      <w:r w:rsidRPr="002F6F95">
        <w:rPr>
          <w:i/>
          <w:iCs/>
          <w:szCs w:val="24"/>
          <w:lang w:val="es-ES_tradnl"/>
        </w:rPr>
        <w:t>función de Gestor</w:t>
      </w:r>
      <w:r w:rsidRPr="002F6F95">
        <w:rPr>
          <w:szCs w:val="24"/>
          <w:lang w:val="es-ES_tradnl"/>
        </w:rPr>
        <w:t xml:space="preserve"> registrada en la base de datos de la Oficina.</w:t>
      </w:r>
    </w:p>
    <w:p w:rsidR="00663589" w:rsidRPr="002F6F95" w:rsidRDefault="00663589" w:rsidP="00BF1DCC">
      <w:pPr>
        <w:pStyle w:val="enumlev1"/>
        <w:jc w:val="left"/>
        <w:rPr>
          <w:szCs w:val="24"/>
          <w:lang w:val="es-ES_tradnl"/>
        </w:rPr>
      </w:pPr>
      <w:r w:rsidRPr="002F6F95">
        <w:rPr>
          <w:szCs w:val="24"/>
          <w:lang w:val="es-ES_tradnl"/>
        </w:rPr>
        <w:t>2.1</w:t>
      </w:r>
      <w:r w:rsidRPr="002F6F95">
        <w:rPr>
          <w:szCs w:val="24"/>
          <w:lang w:val="es-ES_tradnl"/>
        </w:rPr>
        <w:tab/>
        <w:t xml:space="preserve">Para desempeñar la </w:t>
      </w:r>
      <w:r w:rsidRPr="002F6F95">
        <w:rPr>
          <w:i/>
          <w:iCs/>
          <w:szCs w:val="24"/>
          <w:lang w:val="es-ES_tradnl"/>
        </w:rPr>
        <w:t>función de Gestor, Administración u Operador</w:t>
      </w:r>
      <w:r w:rsidRPr="002F6F95">
        <w:rPr>
          <w:szCs w:val="24"/>
          <w:lang w:val="es-ES_tradnl"/>
        </w:rPr>
        <w:t xml:space="preserve">, es un requisito previo imprescindible ser el titular de una cuenta TIES. Las instrucciones para solicitar una cuenta TIES aparecen en </w:t>
      </w:r>
      <w:hyperlink r:id="rId15" w:history="1">
        <w:r w:rsidRPr="002F6F95">
          <w:rPr>
            <w:rStyle w:val="Hyperlink"/>
            <w:szCs w:val="24"/>
            <w:lang w:val="es-ES_tradnl"/>
          </w:rPr>
          <w:t>http://www.itu.int/TIES/</w:t>
        </w:r>
      </w:hyperlink>
      <w:r w:rsidRPr="002F6F95">
        <w:rPr>
          <w:szCs w:val="24"/>
          <w:lang w:val="es-ES_tradnl"/>
        </w:rPr>
        <w:t>.</w:t>
      </w:r>
    </w:p>
    <w:p w:rsidR="00663589" w:rsidRPr="002F6F95" w:rsidRDefault="00663589" w:rsidP="00BF1DCC">
      <w:pPr>
        <w:pStyle w:val="enumlev1"/>
        <w:jc w:val="left"/>
        <w:rPr>
          <w:szCs w:val="24"/>
          <w:lang w:val="es-ES_tradnl"/>
        </w:rPr>
      </w:pPr>
      <w:r w:rsidRPr="002F6F95">
        <w:rPr>
          <w:szCs w:val="24"/>
          <w:lang w:val="es-ES_tradnl"/>
        </w:rPr>
        <w:t>2.2</w:t>
      </w:r>
      <w:r w:rsidRPr="002F6F95">
        <w:rPr>
          <w:szCs w:val="24"/>
          <w:lang w:val="es-ES_tradnl"/>
        </w:rPr>
        <w:tab/>
        <w:t xml:space="preserve">Las personas (o entidades) con una </w:t>
      </w:r>
      <w:r w:rsidRPr="002F6F95">
        <w:rPr>
          <w:i/>
          <w:iCs/>
          <w:szCs w:val="24"/>
          <w:lang w:val="es-ES_tradnl"/>
        </w:rPr>
        <w:t>función de Gestor</w:t>
      </w:r>
      <w:r w:rsidRPr="002F6F95">
        <w:rPr>
          <w:szCs w:val="24"/>
          <w:lang w:val="es-ES_tradnl"/>
        </w:rPr>
        <w:t xml:space="preserve"> serán responsables de añadir y/o suprimir cuentas para la función de </w:t>
      </w:r>
      <w:r w:rsidRPr="002F6F95">
        <w:rPr>
          <w:i/>
          <w:iCs/>
          <w:szCs w:val="24"/>
          <w:lang w:val="es-ES_tradnl"/>
        </w:rPr>
        <w:t>Administración u Operador</w:t>
      </w:r>
      <w:r w:rsidRPr="002F6F95">
        <w:rPr>
          <w:szCs w:val="24"/>
          <w:lang w:val="es-ES_tradnl"/>
        </w:rPr>
        <w:t>.</w:t>
      </w:r>
    </w:p>
    <w:p w:rsidR="00663589" w:rsidRPr="002F6F95" w:rsidRDefault="00663589" w:rsidP="009D0D58">
      <w:pPr>
        <w:pStyle w:val="enumlev1"/>
        <w:rPr>
          <w:szCs w:val="24"/>
          <w:lang w:val="es-ES_tradnl" w:eastAsia="zh-CN"/>
        </w:rPr>
      </w:pPr>
      <w:r w:rsidRPr="002F6F95">
        <w:rPr>
          <w:szCs w:val="24"/>
          <w:lang w:val="es-ES_tradnl"/>
        </w:rPr>
        <w:tab/>
      </w:r>
    </w:p>
    <w:p w:rsidR="00663589" w:rsidRPr="002F6F95" w:rsidRDefault="00663589" w:rsidP="00510454">
      <w:pPr>
        <w:pStyle w:val="AnnexNoTitle"/>
        <w:spacing w:before="240"/>
        <w:rPr>
          <w:szCs w:val="24"/>
          <w:lang w:val="es-ES_tradnl"/>
        </w:rPr>
      </w:pPr>
      <w:r w:rsidRPr="002F6F95">
        <w:rPr>
          <w:szCs w:val="24"/>
          <w:lang w:val="es-ES_tradnl" w:eastAsia="zh-CN"/>
        </w:rPr>
        <w:br w:type="page"/>
      </w:r>
      <w:r w:rsidRPr="002F6F95">
        <w:rPr>
          <w:b w:val="0"/>
          <w:bCs/>
          <w:szCs w:val="24"/>
          <w:lang w:val="es-ES_tradnl"/>
        </w:rPr>
        <w:lastRenderedPageBreak/>
        <w:t>ANEXO 2</w:t>
      </w:r>
      <w:r w:rsidR="009D0D58" w:rsidRPr="002F6F95">
        <w:rPr>
          <w:szCs w:val="24"/>
          <w:lang w:val="es-ES_tradnl"/>
        </w:rPr>
        <w:br/>
      </w:r>
      <w:r w:rsidR="009D0D58" w:rsidRPr="002F6F95">
        <w:rPr>
          <w:szCs w:val="24"/>
          <w:lang w:val="es-ES_tradnl"/>
        </w:rPr>
        <w:br/>
      </w:r>
      <w:r w:rsidRPr="002F6F95">
        <w:rPr>
          <w:szCs w:val="24"/>
          <w:lang w:val="es-ES_tradnl"/>
        </w:rPr>
        <w:t xml:space="preserve">Funcionamiento de </w:t>
      </w:r>
      <w:proofErr w:type="spellStart"/>
      <w:r w:rsidRPr="002F6F95">
        <w:rPr>
          <w:szCs w:val="24"/>
          <w:lang w:val="es-ES_tradnl"/>
        </w:rPr>
        <w:t>SpaceWISC</w:t>
      </w:r>
      <w:proofErr w:type="spellEnd"/>
    </w:p>
    <w:p w:rsidR="008C08FE" w:rsidRPr="002F6F95" w:rsidRDefault="008C08FE" w:rsidP="008C08FE">
      <w:pPr>
        <w:jc w:val="left"/>
        <w:rPr>
          <w:szCs w:val="24"/>
          <w:lang w:val="es-ES_tradnl"/>
        </w:rPr>
      </w:pPr>
    </w:p>
    <w:p w:rsidR="00663589" w:rsidRPr="002F6F95" w:rsidRDefault="00663589" w:rsidP="008C08FE">
      <w:pPr>
        <w:jc w:val="left"/>
        <w:rPr>
          <w:szCs w:val="24"/>
          <w:lang w:val="es-ES_tradnl"/>
        </w:rPr>
      </w:pPr>
      <w:r w:rsidRPr="002F6F95">
        <w:rPr>
          <w:szCs w:val="24"/>
          <w:lang w:val="es-ES_tradnl"/>
        </w:rPr>
        <w:t xml:space="preserve">El primer registro de acceso a </w:t>
      </w:r>
      <w:proofErr w:type="spellStart"/>
      <w:r w:rsidRPr="002F6F95">
        <w:rPr>
          <w:szCs w:val="24"/>
          <w:lang w:val="es-ES_tradnl"/>
        </w:rPr>
        <w:t>SpaceWISC</w:t>
      </w:r>
      <w:proofErr w:type="spellEnd"/>
      <w:r w:rsidRPr="002F6F95">
        <w:rPr>
          <w:szCs w:val="24"/>
          <w:lang w:val="es-ES_tradnl"/>
        </w:rPr>
        <w:t xml:space="preserve"> puede llevar algún tiempo debido a las verificaciones de seguridad del sistema.</w:t>
      </w:r>
    </w:p>
    <w:p w:rsidR="00663589" w:rsidRPr="002F6F95" w:rsidRDefault="00663589" w:rsidP="009D0D58">
      <w:pPr>
        <w:jc w:val="left"/>
        <w:rPr>
          <w:szCs w:val="24"/>
          <w:lang w:val="es-ES_tradnl"/>
        </w:rPr>
      </w:pPr>
      <w:r w:rsidRPr="002F6F95">
        <w:rPr>
          <w:szCs w:val="24"/>
          <w:lang w:val="es-ES_tradnl"/>
        </w:rPr>
        <w:t xml:space="preserve">La pantalla del registro de acceso a </w:t>
      </w:r>
      <w:proofErr w:type="spellStart"/>
      <w:r w:rsidRPr="002F6F95">
        <w:rPr>
          <w:szCs w:val="24"/>
          <w:lang w:val="es-ES_tradnl"/>
        </w:rPr>
        <w:t>SpaceWISC</w:t>
      </w:r>
      <w:proofErr w:type="spellEnd"/>
      <w:r w:rsidRPr="002F6F95">
        <w:rPr>
          <w:szCs w:val="24"/>
          <w:lang w:val="es-ES_tradnl"/>
        </w:rPr>
        <w:t xml:space="preserve"> muestra dos opciones:</w:t>
      </w:r>
    </w:p>
    <w:p w:rsidR="00663589" w:rsidRPr="002F6F95" w:rsidRDefault="00663589" w:rsidP="009D0D58">
      <w:pPr>
        <w:pStyle w:val="enumlev1"/>
        <w:rPr>
          <w:szCs w:val="24"/>
          <w:lang w:val="es-ES_tradnl"/>
        </w:rPr>
      </w:pPr>
      <w:r w:rsidRPr="002F6F95">
        <w:rPr>
          <w:szCs w:val="24"/>
          <w:lang w:val="es-ES_tradnl"/>
        </w:rPr>
        <w:t>1</w:t>
      </w:r>
      <w:r w:rsidRPr="002F6F95">
        <w:rPr>
          <w:szCs w:val="24"/>
          <w:lang w:val="es-ES_tradnl"/>
        </w:rPr>
        <w:tab/>
        <w:t>Es un ordenador público o compartido</w:t>
      </w:r>
    </w:p>
    <w:p w:rsidR="00663589" w:rsidRPr="002F6F95" w:rsidRDefault="00663589" w:rsidP="009D0D58">
      <w:pPr>
        <w:pStyle w:val="enumlev1"/>
        <w:rPr>
          <w:szCs w:val="24"/>
          <w:lang w:val="es-ES_tradnl"/>
        </w:rPr>
      </w:pPr>
      <w:r w:rsidRPr="002F6F95">
        <w:rPr>
          <w:szCs w:val="24"/>
          <w:lang w:val="es-ES_tradnl"/>
        </w:rPr>
        <w:t>2</w:t>
      </w:r>
      <w:r w:rsidRPr="002F6F95">
        <w:rPr>
          <w:szCs w:val="24"/>
          <w:lang w:val="es-ES_tradnl"/>
        </w:rPr>
        <w:tab/>
        <w:t>Es un ordenador privado</w:t>
      </w:r>
    </w:p>
    <w:p w:rsidR="00663589" w:rsidRPr="002F6F95" w:rsidRDefault="00663589" w:rsidP="009D0D58">
      <w:pPr>
        <w:jc w:val="left"/>
        <w:rPr>
          <w:szCs w:val="24"/>
          <w:lang w:val="es-ES_tradnl"/>
        </w:rPr>
      </w:pPr>
      <w:r w:rsidRPr="002F6F95">
        <w:rPr>
          <w:szCs w:val="24"/>
          <w:lang w:val="es-ES_tradnl"/>
        </w:rPr>
        <w:t xml:space="preserve">Se aconseja a los usuarios seleccionar la segunda opción </w:t>
      </w:r>
      <w:r w:rsidR="00B71040" w:rsidRPr="002F6F95">
        <w:rPr>
          <w:szCs w:val="24"/>
          <w:lang w:val="es-ES_tradnl"/>
        </w:rPr>
        <w:t>«</w:t>
      </w:r>
      <w:r w:rsidRPr="002F6F95">
        <w:rPr>
          <w:szCs w:val="24"/>
          <w:lang w:val="es-ES_tradnl"/>
        </w:rPr>
        <w:t>Es un ordenador privado</w:t>
      </w:r>
      <w:r w:rsidR="00B71040" w:rsidRPr="002F6F95">
        <w:rPr>
          <w:szCs w:val="24"/>
          <w:lang w:val="es-ES_tradnl"/>
        </w:rPr>
        <w:t>»</w:t>
      </w:r>
      <w:r w:rsidRPr="002F6F95">
        <w:rPr>
          <w:szCs w:val="24"/>
          <w:lang w:val="es-ES_tradnl"/>
        </w:rPr>
        <w:t xml:space="preserve">. Sin embargo, si un usuario debe trabajar con un ordenador público, debe seleccionar la primera opción </w:t>
      </w:r>
      <w:r w:rsidR="00B71040" w:rsidRPr="002F6F95">
        <w:rPr>
          <w:szCs w:val="24"/>
          <w:lang w:val="es-ES_tradnl"/>
        </w:rPr>
        <w:t>«</w:t>
      </w:r>
      <w:r w:rsidRPr="002F6F95">
        <w:rPr>
          <w:szCs w:val="24"/>
          <w:lang w:val="es-ES_tradnl"/>
        </w:rPr>
        <w:t>Es un ordenador público o compartido</w:t>
      </w:r>
      <w:r w:rsidR="00B71040" w:rsidRPr="002F6F95">
        <w:rPr>
          <w:szCs w:val="24"/>
          <w:lang w:val="es-ES_tradnl"/>
        </w:rPr>
        <w:t>»</w:t>
      </w:r>
      <w:r w:rsidRPr="002F6F95">
        <w:rPr>
          <w:szCs w:val="24"/>
          <w:lang w:val="es-ES_tradnl"/>
        </w:rPr>
        <w:t xml:space="preserve">, en cuyo caso pueden producirse frecuentes expiraciones del temporizador del servidor y tras cada una de ellas es preciso un nuevo registro de acceso a </w:t>
      </w:r>
      <w:proofErr w:type="spellStart"/>
      <w:r w:rsidRPr="002F6F95">
        <w:rPr>
          <w:szCs w:val="24"/>
          <w:lang w:val="es-ES_tradnl"/>
        </w:rPr>
        <w:t>SpaceWISC</w:t>
      </w:r>
      <w:proofErr w:type="spellEnd"/>
      <w:r w:rsidRPr="002F6F95">
        <w:rPr>
          <w:szCs w:val="24"/>
          <w:lang w:val="es-ES_tradnl"/>
        </w:rPr>
        <w:t>.</w:t>
      </w:r>
    </w:p>
    <w:p w:rsidR="00663589" w:rsidRPr="002F6F95" w:rsidRDefault="00663589" w:rsidP="009D0D58">
      <w:pPr>
        <w:jc w:val="left"/>
        <w:rPr>
          <w:szCs w:val="24"/>
          <w:lang w:val="es-ES_tradnl"/>
        </w:rPr>
      </w:pPr>
      <w:r w:rsidRPr="002F6F95">
        <w:rPr>
          <w:szCs w:val="24"/>
          <w:lang w:val="es-ES_tradnl"/>
        </w:rPr>
        <w:t xml:space="preserve">Si durante la captura de una notificación API se pierde la conexión a Internet o la conexión con el servidor </w:t>
      </w:r>
      <w:proofErr w:type="spellStart"/>
      <w:r w:rsidRPr="002F6F95">
        <w:rPr>
          <w:szCs w:val="24"/>
          <w:lang w:val="es-ES_tradnl"/>
        </w:rPr>
        <w:t>SpaceWISC</w:t>
      </w:r>
      <w:proofErr w:type="spellEnd"/>
      <w:r w:rsidRPr="002F6F95">
        <w:rPr>
          <w:szCs w:val="24"/>
          <w:lang w:val="es-ES_tradnl"/>
        </w:rPr>
        <w:t xml:space="preserve"> (por ejemplo debido a una expiración del temporizador) la API capturada se almacenará en el sistema y podrá recuperarse del menú Proyecto de Notificaciones (</w:t>
      </w:r>
      <w:r w:rsidR="00510454" w:rsidRPr="002F6F95">
        <w:rPr>
          <w:szCs w:val="24"/>
          <w:lang w:val="es-ES_tradnl"/>
        </w:rPr>
        <w:t>«</w:t>
      </w:r>
      <w:proofErr w:type="spellStart"/>
      <w:r w:rsidRPr="002F6F95">
        <w:rPr>
          <w:szCs w:val="24"/>
          <w:lang w:val="es-ES_tradnl"/>
        </w:rPr>
        <w:t>Draft</w:t>
      </w:r>
      <w:proofErr w:type="spellEnd"/>
      <w:r w:rsidRPr="002F6F95">
        <w:rPr>
          <w:szCs w:val="24"/>
          <w:lang w:val="es-ES_tradnl"/>
        </w:rPr>
        <w:t xml:space="preserve"> </w:t>
      </w:r>
      <w:proofErr w:type="spellStart"/>
      <w:r w:rsidRPr="002F6F95">
        <w:rPr>
          <w:szCs w:val="24"/>
          <w:lang w:val="es-ES_tradnl"/>
        </w:rPr>
        <w:t>Filings</w:t>
      </w:r>
      <w:proofErr w:type="spellEnd"/>
      <w:r w:rsidR="00510454" w:rsidRPr="002F6F95">
        <w:rPr>
          <w:szCs w:val="24"/>
          <w:lang w:val="es-ES_tradnl"/>
        </w:rPr>
        <w:t>»</w:t>
      </w:r>
      <w:r w:rsidRPr="002F6F95">
        <w:rPr>
          <w:szCs w:val="24"/>
          <w:lang w:val="es-ES_tradnl"/>
        </w:rPr>
        <w:t>).</w:t>
      </w:r>
    </w:p>
    <w:p w:rsidR="00663589" w:rsidRPr="002F6F95" w:rsidRDefault="00663589" w:rsidP="00510454">
      <w:pPr>
        <w:jc w:val="left"/>
        <w:rPr>
          <w:szCs w:val="24"/>
          <w:lang w:val="es-ES_tradnl"/>
        </w:rPr>
      </w:pPr>
      <w:r w:rsidRPr="002F6F95">
        <w:rPr>
          <w:szCs w:val="24"/>
          <w:lang w:val="es-ES_tradnl"/>
        </w:rPr>
        <w:t xml:space="preserve">Durante la captura de datos de una notificación API, la API se bloquea por defecto para su edición por el usuario actual. Si este usuario desea desbloquear la notificación para permitir a otros usuarios autorizados editarla, el </w:t>
      </w:r>
      <w:r w:rsidR="00510454" w:rsidRPr="002F6F95">
        <w:rPr>
          <w:szCs w:val="24"/>
          <w:lang w:val="es-ES_tradnl"/>
        </w:rPr>
        <w:t>«</w:t>
      </w:r>
      <w:r w:rsidRPr="002F6F95">
        <w:rPr>
          <w:szCs w:val="24"/>
          <w:lang w:val="es-ES_tradnl"/>
        </w:rPr>
        <w:t>propietario de la notificación API</w:t>
      </w:r>
      <w:r w:rsidR="00510454" w:rsidRPr="002F6F95">
        <w:rPr>
          <w:szCs w:val="24"/>
          <w:lang w:val="es-ES_tradnl"/>
        </w:rPr>
        <w:t>»</w:t>
      </w:r>
      <w:r w:rsidRPr="002F6F95">
        <w:rPr>
          <w:szCs w:val="24"/>
          <w:lang w:val="es-ES_tradnl"/>
        </w:rPr>
        <w:t xml:space="preserve"> debe hacer clic en el botón desbloquear. Otros usuarios de la misma administración encontrarán esta notificación API </w:t>
      </w:r>
      <w:r w:rsidR="00510454" w:rsidRPr="002F6F95">
        <w:rPr>
          <w:szCs w:val="24"/>
          <w:lang w:val="es-ES_tradnl"/>
        </w:rPr>
        <w:t>«</w:t>
      </w:r>
      <w:r w:rsidRPr="002F6F95">
        <w:rPr>
          <w:szCs w:val="24"/>
          <w:lang w:val="es-ES_tradnl"/>
        </w:rPr>
        <w:t>desbloqueada</w:t>
      </w:r>
      <w:r w:rsidR="00510454" w:rsidRPr="002F6F95">
        <w:rPr>
          <w:szCs w:val="24"/>
          <w:lang w:val="es-ES_tradnl"/>
        </w:rPr>
        <w:t>»</w:t>
      </w:r>
      <w:r w:rsidRPr="002F6F95">
        <w:rPr>
          <w:szCs w:val="24"/>
          <w:lang w:val="es-ES_tradnl"/>
        </w:rPr>
        <w:t xml:space="preserve"> en el menú Proyecto de Notificación para su edición, validación o presentación a la Oficina, según el caso.</w:t>
      </w:r>
    </w:p>
    <w:p w:rsidR="00663589" w:rsidRPr="002F6F95" w:rsidRDefault="00663589" w:rsidP="004104C3">
      <w:pPr>
        <w:jc w:val="left"/>
        <w:rPr>
          <w:szCs w:val="24"/>
          <w:lang w:val="es-ES_tradnl"/>
        </w:rPr>
      </w:pPr>
      <w:r w:rsidRPr="002F6F95">
        <w:rPr>
          <w:szCs w:val="24"/>
          <w:lang w:val="es-ES_tradnl"/>
        </w:rPr>
        <w:t xml:space="preserve">La versión beta de </w:t>
      </w:r>
      <w:proofErr w:type="spellStart"/>
      <w:r w:rsidRPr="002F6F95">
        <w:rPr>
          <w:szCs w:val="24"/>
          <w:lang w:val="es-ES_tradnl"/>
        </w:rPr>
        <w:t>SpaceWISC</w:t>
      </w:r>
      <w:proofErr w:type="spellEnd"/>
      <w:r w:rsidRPr="002F6F95">
        <w:rPr>
          <w:szCs w:val="24"/>
          <w:lang w:val="es-ES_tradnl"/>
        </w:rPr>
        <w:t xml:space="preserve"> maneja sólo la presentación de nuevas notificaciones API. Las modificaciones a dichas notificaciones ya presentadas a la oficina</w:t>
      </w:r>
      <w:bookmarkStart w:id="0" w:name="_GoBack"/>
      <w:bookmarkEnd w:id="0"/>
      <w:r w:rsidRPr="002F6F95">
        <w:rPr>
          <w:szCs w:val="24"/>
          <w:lang w:val="es-ES_tradnl"/>
        </w:rPr>
        <w:t xml:space="preserve"> se implementarán en una versión posterior del software.</w:t>
      </w:r>
    </w:p>
    <w:p w:rsidR="00532B40" w:rsidRPr="002F6F95" w:rsidRDefault="00532B40" w:rsidP="0032202E">
      <w:pPr>
        <w:pStyle w:val="Reasons"/>
        <w:rPr>
          <w:szCs w:val="24"/>
          <w:lang w:val="es-ES_tradnl"/>
        </w:rPr>
      </w:pPr>
    </w:p>
    <w:p w:rsidR="00532B40" w:rsidRPr="002F6F95" w:rsidRDefault="00532B40" w:rsidP="0032202E">
      <w:pPr>
        <w:pStyle w:val="Reasons"/>
        <w:rPr>
          <w:szCs w:val="24"/>
          <w:lang w:val="es-ES_tradnl"/>
        </w:rPr>
      </w:pPr>
    </w:p>
    <w:p w:rsidR="00532B40" w:rsidRPr="002F6F95" w:rsidRDefault="00532B40">
      <w:pPr>
        <w:jc w:val="center"/>
        <w:rPr>
          <w:szCs w:val="24"/>
        </w:rPr>
      </w:pPr>
      <w:r w:rsidRPr="002F6F95">
        <w:rPr>
          <w:szCs w:val="24"/>
        </w:rPr>
        <w:t>______________</w:t>
      </w:r>
    </w:p>
    <w:p w:rsidR="00FE4822" w:rsidRPr="002F6F95" w:rsidRDefault="00FE4822" w:rsidP="00031E64">
      <w:pPr>
        <w:rPr>
          <w:szCs w:val="24"/>
        </w:rPr>
      </w:pPr>
    </w:p>
    <w:sectPr w:rsidR="00FE4822" w:rsidRPr="002F6F95" w:rsidSect="00031E64">
      <w:headerReference w:type="even" r:id="rId16"/>
      <w:headerReference w:type="default" r:id="rId17"/>
      <w:footerReference w:type="even" r:id="rId18"/>
      <w:footerReference w:type="default" r:id="rId19"/>
      <w:headerReference w:type="first" r:id="rId20"/>
      <w:footerReference w:type="first" r:id="rId2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589" w:rsidRDefault="00663589">
      <w:r>
        <w:separator/>
      </w:r>
    </w:p>
  </w:endnote>
  <w:endnote w:type="continuationSeparator" w:id="0">
    <w:p w:rsidR="00663589" w:rsidRDefault="00663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EB5" w:rsidRDefault="001C1E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EB5" w:rsidRDefault="001C1E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915AF" w:rsidRDefault="00E915AF" w:rsidP="00F424BF">
    <w:pPr>
      <w:pStyle w:val="FirstFooter"/>
      <w:spacing w:before="0" w:line="240" w:lineRule="auto"/>
      <w:ind w:left="-397" w:right="-397"/>
      <w:rPr>
        <w:vanish/>
        <w:sz w:val="22"/>
        <w:szCs w:val="18"/>
      </w:rPr>
    </w:pPr>
  </w:p>
  <w:p w:rsidR="00E915AF" w:rsidRPr="00A96D3A" w:rsidRDefault="00A96D3A" w:rsidP="00A96D3A">
    <w:pPr>
      <w:pStyle w:val="FirstFooter"/>
      <w:spacing w:line="240" w:lineRule="auto"/>
      <w:ind w:left="-397" w:right="-397"/>
      <w:jc w:val="center"/>
      <w:rPr>
        <w:sz w:val="18"/>
        <w:szCs w:val="18"/>
        <w:lang w:val="es-ES"/>
      </w:rPr>
    </w:pPr>
    <w:r w:rsidRPr="00A96D3A">
      <w:rPr>
        <w:sz w:val="18"/>
        <w:szCs w:val="18"/>
        <w:lang w:val="es-ES"/>
      </w:rPr>
      <w:t xml:space="preserve">Unión Internacional de Telecomunicaciones • Place des </w:t>
    </w:r>
    <w:proofErr w:type="spellStart"/>
    <w:r w:rsidRPr="00A96D3A">
      <w:rPr>
        <w:sz w:val="18"/>
        <w:szCs w:val="18"/>
        <w:lang w:val="es-ES"/>
      </w:rPr>
      <w:t>Nations</w:t>
    </w:r>
    <w:proofErr w:type="spellEnd"/>
    <w:r w:rsidRPr="00A96D3A">
      <w:rPr>
        <w:sz w:val="18"/>
        <w:szCs w:val="18"/>
        <w:lang w:val="es-ES"/>
      </w:rPr>
      <w:t xml:space="preserve"> • CH</w:t>
    </w:r>
    <w:r w:rsidRPr="00A96D3A">
      <w:rPr>
        <w:sz w:val="18"/>
        <w:szCs w:val="18"/>
        <w:lang w:val="es-ES"/>
      </w:rPr>
      <w:noBreakHyphen/>
      <w:t>1211 Ginebra 20 • Suiza</w:t>
    </w:r>
    <w:r w:rsidRPr="00A96D3A">
      <w:rPr>
        <w:sz w:val="18"/>
        <w:szCs w:val="18"/>
        <w:lang w:val="es-ES"/>
      </w:rPr>
      <w:br/>
      <w:t xml:space="preserve">Tel: +41 22 730 5111 • Fax: +41 22 733 7256 • Correo-e: </w:t>
    </w:r>
    <w:hyperlink r:id="rId1" w:history="1">
      <w:r w:rsidRPr="00A96D3A">
        <w:rPr>
          <w:rStyle w:val="Hyperlink"/>
          <w:sz w:val="18"/>
          <w:szCs w:val="18"/>
          <w:lang w:val="es-ES"/>
        </w:rPr>
        <w:t>itumail@itu.int</w:t>
      </w:r>
    </w:hyperlink>
    <w:r w:rsidRPr="00A96D3A">
      <w:rPr>
        <w:sz w:val="18"/>
        <w:szCs w:val="18"/>
        <w:lang w:val="es-ES"/>
      </w:rPr>
      <w:t xml:space="preserve"> • </w:t>
    </w:r>
    <w:hyperlink r:id="rId2" w:history="1">
      <w:r w:rsidRPr="00A96D3A">
        <w:rPr>
          <w:rStyle w:val="Hyperlink"/>
          <w:sz w:val="18"/>
          <w:szCs w:val="18"/>
          <w:lang w:val="es-ES"/>
        </w:rPr>
        <w:t>www.itu.int</w:t>
      </w:r>
    </w:hyperlink>
    <w:r w:rsidRPr="00A96D3A">
      <w:rPr>
        <w:sz w:val="18"/>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589" w:rsidRDefault="00663589">
      <w:r>
        <w:t>____________________</w:t>
      </w:r>
    </w:p>
  </w:footnote>
  <w:footnote w:type="continuationSeparator" w:id="0">
    <w:p w:rsidR="00663589" w:rsidRDefault="00663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3149505"/>
      <w:docPartObj>
        <w:docPartGallery w:val="Page Numbers (Top of Page)"/>
        <w:docPartUnique/>
      </w:docPartObj>
    </w:sdtPr>
    <w:sdtEndPr>
      <w:rPr>
        <w:noProof/>
        <w:sz w:val="18"/>
        <w:szCs w:val="18"/>
      </w:rPr>
    </w:sdtEndPr>
    <w:sdtContent>
      <w:p w:rsidR="005E4644" w:rsidRPr="001C1EB5" w:rsidRDefault="001C1EB5">
        <w:pPr>
          <w:pStyle w:val="Header"/>
          <w:jc w:val="center"/>
          <w:rPr>
            <w:sz w:val="18"/>
            <w:szCs w:val="18"/>
          </w:rPr>
        </w:pPr>
        <w:r>
          <w:t xml:space="preserve">- </w:t>
        </w:r>
        <w:r w:rsidR="005E4644" w:rsidRPr="001C1EB5">
          <w:rPr>
            <w:sz w:val="18"/>
            <w:szCs w:val="18"/>
          </w:rPr>
          <w:fldChar w:fldCharType="begin"/>
        </w:r>
        <w:r w:rsidR="005E4644" w:rsidRPr="001C1EB5">
          <w:rPr>
            <w:sz w:val="18"/>
            <w:szCs w:val="18"/>
          </w:rPr>
          <w:instrText xml:space="preserve"> PAGE   \* MERGEFORMAT </w:instrText>
        </w:r>
        <w:r w:rsidR="005E4644" w:rsidRPr="001C1EB5">
          <w:rPr>
            <w:sz w:val="18"/>
            <w:szCs w:val="18"/>
          </w:rPr>
          <w:fldChar w:fldCharType="separate"/>
        </w:r>
        <w:r w:rsidR="004104C3">
          <w:rPr>
            <w:noProof/>
            <w:sz w:val="18"/>
            <w:szCs w:val="18"/>
          </w:rPr>
          <w:t>4</w:t>
        </w:r>
        <w:r w:rsidR="005E4644" w:rsidRPr="001C1EB5">
          <w:rPr>
            <w:noProof/>
            <w:sz w:val="18"/>
            <w:szCs w:val="18"/>
          </w:rPr>
          <w:fldChar w:fldCharType="end"/>
        </w:r>
        <w:r>
          <w:rPr>
            <w:noProof/>
            <w:sz w:val="18"/>
            <w:szCs w:val="18"/>
          </w:rPr>
          <w:t xml:space="preserve"> -</w:t>
        </w:r>
      </w:p>
    </w:sdtContent>
  </w:sdt>
  <w:p w:rsidR="00E915AF" w:rsidRPr="00D239B4" w:rsidRDefault="00E915AF" w:rsidP="00D239B4">
    <w:pPr>
      <w:pStyle w:val="Header"/>
      <w:rPr>
        <w:sz w:val="18"/>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EB5" w:rsidRPr="001C1EB5" w:rsidRDefault="004104C3" w:rsidP="001C1EB5">
    <w:pPr>
      <w:pStyle w:val="Header"/>
      <w:jc w:val="center"/>
      <w:rPr>
        <w:sz w:val="18"/>
        <w:szCs w:val="18"/>
      </w:rPr>
    </w:pPr>
    <w:sdt>
      <w:sdtPr>
        <w:id w:val="2129282430"/>
        <w:docPartObj>
          <w:docPartGallery w:val="Page Numbers (Top of Page)"/>
          <w:docPartUnique/>
        </w:docPartObj>
      </w:sdtPr>
      <w:sdtEndPr>
        <w:rPr>
          <w:noProof/>
          <w:sz w:val="18"/>
          <w:szCs w:val="18"/>
        </w:rPr>
      </w:sdtEndPr>
      <w:sdtContent>
        <w:r w:rsidR="001C1EB5">
          <w:t xml:space="preserve">- </w:t>
        </w:r>
        <w:r w:rsidR="001C1EB5" w:rsidRPr="001C1EB5">
          <w:rPr>
            <w:sz w:val="18"/>
            <w:szCs w:val="18"/>
          </w:rPr>
          <w:fldChar w:fldCharType="begin"/>
        </w:r>
        <w:r w:rsidR="001C1EB5" w:rsidRPr="001C1EB5">
          <w:rPr>
            <w:sz w:val="18"/>
            <w:szCs w:val="18"/>
          </w:rPr>
          <w:instrText xml:space="preserve"> PAGE   \* MERGEFORMAT </w:instrText>
        </w:r>
        <w:r w:rsidR="001C1EB5" w:rsidRPr="001C1EB5">
          <w:rPr>
            <w:sz w:val="18"/>
            <w:szCs w:val="18"/>
          </w:rPr>
          <w:fldChar w:fldCharType="separate"/>
        </w:r>
        <w:r>
          <w:rPr>
            <w:noProof/>
            <w:sz w:val="18"/>
            <w:szCs w:val="18"/>
          </w:rPr>
          <w:t>5</w:t>
        </w:r>
        <w:r w:rsidR="001C1EB5" w:rsidRPr="001C1EB5">
          <w:rPr>
            <w:noProof/>
            <w:sz w:val="18"/>
            <w:szCs w:val="18"/>
          </w:rPr>
          <w:fldChar w:fldCharType="end"/>
        </w:r>
        <w:r w:rsidR="001C1EB5">
          <w:rPr>
            <w:noProof/>
            <w:sz w:val="18"/>
            <w:szCs w:val="18"/>
          </w:rPr>
          <w:t xml:space="preserve"> -</w:t>
        </w:r>
      </w:sdtContent>
    </w:sdt>
  </w:p>
  <w:p w:rsidR="00E915AF" w:rsidRPr="0008635A" w:rsidRDefault="00E915AF" w:rsidP="001C1EB5">
    <w:pPr>
      <w:pStyle w:val="Header"/>
      <w:rPr>
        <w:iCs/>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5798EE83" wp14:editId="2102FE3E">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663589"/>
    <w:rsid w:val="00006A31"/>
    <w:rsid w:val="00006C82"/>
    <w:rsid w:val="00010E30"/>
    <w:rsid w:val="00015C76"/>
    <w:rsid w:val="00026CF8"/>
    <w:rsid w:val="00030BD7"/>
    <w:rsid w:val="00031E64"/>
    <w:rsid w:val="00034340"/>
    <w:rsid w:val="00035CB3"/>
    <w:rsid w:val="00035EE4"/>
    <w:rsid w:val="00045A8D"/>
    <w:rsid w:val="0005167A"/>
    <w:rsid w:val="00054E5D"/>
    <w:rsid w:val="00070258"/>
    <w:rsid w:val="0007323C"/>
    <w:rsid w:val="0008635A"/>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1EB5"/>
    <w:rsid w:val="001C6971"/>
    <w:rsid w:val="001D2785"/>
    <w:rsid w:val="001D7070"/>
    <w:rsid w:val="001F2170"/>
    <w:rsid w:val="001F3948"/>
    <w:rsid w:val="001F5A49"/>
    <w:rsid w:val="00201097"/>
    <w:rsid w:val="00201B6E"/>
    <w:rsid w:val="002302B3"/>
    <w:rsid w:val="00230C66"/>
    <w:rsid w:val="00235A29"/>
    <w:rsid w:val="00241526"/>
    <w:rsid w:val="002443A2"/>
    <w:rsid w:val="00261D77"/>
    <w:rsid w:val="00266E74"/>
    <w:rsid w:val="00283C3B"/>
    <w:rsid w:val="002861E6"/>
    <w:rsid w:val="00286A74"/>
    <w:rsid w:val="00287D18"/>
    <w:rsid w:val="002A2618"/>
    <w:rsid w:val="002A5DD7"/>
    <w:rsid w:val="002B0CAC"/>
    <w:rsid w:val="002D5A15"/>
    <w:rsid w:val="002D5BDD"/>
    <w:rsid w:val="002E3D27"/>
    <w:rsid w:val="002F0890"/>
    <w:rsid w:val="002F2531"/>
    <w:rsid w:val="002F4967"/>
    <w:rsid w:val="002F6F95"/>
    <w:rsid w:val="00316935"/>
    <w:rsid w:val="003266ED"/>
    <w:rsid w:val="00326C68"/>
    <w:rsid w:val="0033029C"/>
    <w:rsid w:val="003370B8"/>
    <w:rsid w:val="00345D38"/>
    <w:rsid w:val="00347AAF"/>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104C3"/>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10454"/>
    <w:rsid w:val="00514DC2"/>
    <w:rsid w:val="005224A1"/>
    <w:rsid w:val="00532B40"/>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4644"/>
    <w:rsid w:val="005E5EB3"/>
    <w:rsid w:val="005F3CB6"/>
    <w:rsid w:val="005F657C"/>
    <w:rsid w:val="00602D53"/>
    <w:rsid w:val="006047E5"/>
    <w:rsid w:val="006140EE"/>
    <w:rsid w:val="0064371D"/>
    <w:rsid w:val="00650543"/>
    <w:rsid w:val="00650B2A"/>
    <w:rsid w:val="00651777"/>
    <w:rsid w:val="006550F8"/>
    <w:rsid w:val="00663589"/>
    <w:rsid w:val="006829F3"/>
    <w:rsid w:val="006A518B"/>
    <w:rsid w:val="006B0590"/>
    <w:rsid w:val="006B49DA"/>
    <w:rsid w:val="006B6AC0"/>
    <w:rsid w:val="006C53F8"/>
    <w:rsid w:val="006C7CDE"/>
    <w:rsid w:val="007234B1"/>
    <w:rsid w:val="00723D08"/>
    <w:rsid w:val="00725FDA"/>
    <w:rsid w:val="00727816"/>
    <w:rsid w:val="00730B9A"/>
    <w:rsid w:val="00750CFA"/>
    <w:rsid w:val="007553DA"/>
    <w:rsid w:val="00775DB8"/>
    <w:rsid w:val="00780628"/>
    <w:rsid w:val="00782354"/>
    <w:rsid w:val="007921A7"/>
    <w:rsid w:val="007B3DB1"/>
    <w:rsid w:val="007D183E"/>
    <w:rsid w:val="007D43D0"/>
    <w:rsid w:val="007E1833"/>
    <w:rsid w:val="007E3F13"/>
    <w:rsid w:val="007F751A"/>
    <w:rsid w:val="00800012"/>
    <w:rsid w:val="0080261F"/>
    <w:rsid w:val="00806160"/>
    <w:rsid w:val="00812D5D"/>
    <w:rsid w:val="008143A4"/>
    <w:rsid w:val="0081513E"/>
    <w:rsid w:val="00854131"/>
    <w:rsid w:val="0085652D"/>
    <w:rsid w:val="0087694B"/>
    <w:rsid w:val="00880F4D"/>
    <w:rsid w:val="008B35A3"/>
    <w:rsid w:val="008B37E1"/>
    <w:rsid w:val="008B45F8"/>
    <w:rsid w:val="008C08FE"/>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76E9F"/>
    <w:rsid w:val="0098013E"/>
    <w:rsid w:val="00981B54"/>
    <w:rsid w:val="009842C3"/>
    <w:rsid w:val="009A009A"/>
    <w:rsid w:val="009A6BB6"/>
    <w:rsid w:val="009B3F43"/>
    <w:rsid w:val="009B5CFA"/>
    <w:rsid w:val="009C161F"/>
    <w:rsid w:val="009C56B4"/>
    <w:rsid w:val="009D0D58"/>
    <w:rsid w:val="009D51A2"/>
    <w:rsid w:val="009E04A8"/>
    <w:rsid w:val="009E4AEC"/>
    <w:rsid w:val="009E5BD8"/>
    <w:rsid w:val="009E681E"/>
    <w:rsid w:val="00A119E6"/>
    <w:rsid w:val="00A20FBC"/>
    <w:rsid w:val="00A31370"/>
    <w:rsid w:val="00A34D6F"/>
    <w:rsid w:val="00A41F91"/>
    <w:rsid w:val="00A63355"/>
    <w:rsid w:val="00A7596D"/>
    <w:rsid w:val="00A963DF"/>
    <w:rsid w:val="00A96D3A"/>
    <w:rsid w:val="00AC0C22"/>
    <w:rsid w:val="00AC3896"/>
    <w:rsid w:val="00AD2CF2"/>
    <w:rsid w:val="00AE2D88"/>
    <w:rsid w:val="00AE6F6F"/>
    <w:rsid w:val="00AF3325"/>
    <w:rsid w:val="00AF34D9"/>
    <w:rsid w:val="00AF70DA"/>
    <w:rsid w:val="00B019D3"/>
    <w:rsid w:val="00B34CF9"/>
    <w:rsid w:val="00B37559"/>
    <w:rsid w:val="00B4054B"/>
    <w:rsid w:val="00B5115A"/>
    <w:rsid w:val="00B579B0"/>
    <w:rsid w:val="00B57D11"/>
    <w:rsid w:val="00B649D7"/>
    <w:rsid w:val="00B71040"/>
    <w:rsid w:val="00B81C2F"/>
    <w:rsid w:val="00B90743"/>
    <w:rsid w:val="00B90C45"/>
    <w:rsid w:val="00B933BE"/>
    <w:rsid w:val="00BD6738"/>
    <w:rsid w:val="00BD7E5E"/>
    <w:rsid w:val="00BE63DB"/>
    <w:rsid w:val="00BE6574"/>
    <w:rsid w:val="00BF1DCC"/>
    <w:rsid w:val="00C07319"/>
    <w:rsid w:val="00C16FD2"/>
    <w:rsid w:val="00C23882"/>
    <w:rsid w:val="00C4395E"/>
    <w:rsid w:val="00C47FFD"/>
    <w:rsid w:val="00C51E92"/>
    <w:rsid w:val="00C57E2C"/>
    <w:rsid w:val="00C608B7"/>
    <w:rsid w:val="00C65712"/>
    <w:rsid w:val="00C66F24"/>
    <w:rsid w:val="00C76D7F"/>
    <w:rsid w:val="00C813AA"/>
    <w:rsid w:val="00C9291E"/>
    <w:rsid w:val="00CA31B3"/>
    <w:rsid w:val="00CA3F44"/>
    <w:rsid w:val="00CA4E58"/>
    <w:rsid w:val="00CB3771"/>
    <w:rsid w:val="00CB44BF"/>
    <w:rsid w:val="00CB5153"/>
    <w:rsid w:val="00CE076A"/>
    <w:rsid w:val="00CE463D"/>
    <w:rsid w:val="00D10BA0"/>
    <w:rsid w:val="00D21694"/>
    <w:rsid w:val="00D239B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C4AEB"/>
    <w:rsid w:val="00DE66A5"/>
    <w:rsid w:val="00DF2B50"/>
    <w:rsid w:val="00DF4B9A"/>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03CB"/>
    <w:rsid w:val="00F8310E"/>
    <w:rsid w:val="00F914DD"/>
    <w:rsid w:val="00FA2358"/>
    <w:rsid w:val="00FB2592"/>
    <w:rsid w:val="00FB2810"/>
    <w:rsid w:val="00FB6519"/>
    <w:rsid w:val="00FB7A2C"/>
    <w:rsid w:val="00FC2947"/>
    <w:rsid w:val="00FE0818"/>
    <w:rsid w:val="00FE4822"/>
    <w:rsid w:val="00FE6FB1"/>
    <w:rsid w:val="00FF33EF"/>
    <w:rsid w:val="00FF78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paragraph" w:customStyle="1" w:styleId="Reasons">
    <w:name w:val="Reasons"/>
    <w:basedOn w:val="Normal"/>
    <w:qFormat/>
    <w:rsid w:val="00532B4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basedOn w:val="DefaultParagraphFont"/>
    <w:link w:val="Header"/>
    <w:uiPriority w:val="99"/>
    <w:rsid w:val="005E4644"/>
    <w:rPr>
      <w:sz w:val="24"/>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paragraph" w:customStyle="1" w:styleId="Reasons">
    <w:name w:val="Reasons"/>
    <w:basedOn w:val="Normal"/>
    <w:qFormat/>
    <w:rsid w:val="00532B4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basedOn w:val="DefaultParagraphFont"/>
    <w:link w:val="Header"/>
    <w:uiPriority w:val="99"/>
    <w:rsid w:val="005E4644"/>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rmail@itu.in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itu.int/ITU-R/go/s-wisc/e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pacewisc@itu.int" TargetMode="External"/><Relationship Id="rId5" Type="http://schemas.openxmlformats.org/officeDocument/2006/relationships/settings" Target="settings.xml"/><Relationship Id="rId15" Type="http://schemas.openxmlformats.org/officeDocument/2006/relationships/hyperlink" Target="http://www.itu.int/TIES/" TargetMode="External"/><Relationship Id="rId23" Type="http://schemas.openxmlformats.org/officeDocument/2006/relationships/theme" Target="theme/theme1.xml"/><Relationship Id="rId10" Type="http://schemas.openxmlformats.org/officeDocument/2006/relationships/hyperlink" Target="https://extranet.itu.int/itu-r/spacewisc"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brmail@itu.int" TargetMode="External"/><Relationship Id="rId14" Type="http://schemas.openxmlformats.org/officeDocument/2006/relationships/hyperlink" Target="mailto:brmail@itu.int"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9F19E-C7AF-4048-8A22-3BC928DDD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PS_NewBRcirc.dotx</Template>
  <TotalTime>33</TotalTime>
  <Pages>5</Pages>
  <Words>1589</Words>
  <Characters>9250</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10818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Mendoza Siles, Sidma Jeanneth</dc:creator>
  <cp:lastModifiedBy>Mondino, Martine</cp:lastModifiedBy>
  <cp:revision>17</cp:revision>
  <cp:lastPrinted>2014-04-10T08:38:00Z</cp:lastPrinted>
  <dcterms:created xsi:type="dcterms:W3CDTF">2014-04-09T13:40:00Z</dcterms:created>
  <dcterms:modified xsi:type="dcterms:W3CDTF">2014-04-10T13:52:00Z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