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734AFD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34AFD">
              <w:rPr>
                <w:b/>
                <w:bCs/>
                <w:sz w:val="24"/>
                <w:szCs w:val="24"/>
                <w:lang w:val="fr-CH"/>
              </w:rPr>
              <w:t>356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FF750C" w:rsidP="00C248A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Geneva, </w:t>
            </w:r>
            <w:r w:rsidR="00C248A5">
              <w:rPr>
                <w:sz w:val="24"/>
                <w:szCs w:val="24"/>
                <w:lang w:val="en-GB"/>
              </w:rPr>
              <w:t>4</w:t>
            </w:r>
            <w:r w:rsidR="007600EF">
              <w:rPr>
                <w:sz w:val="24"/>
                <w:szCs w:val="24"/>
                <w:lang w:val="en-GB"/>
              </w:rPr>
              <w:t xml:space="preserve"> </w:t>
            </w:r>
            <w:r w:rsidR="00C248A5">
              <w:rPr>
                <w:sz w:val="24"/>
                <w:szCs w:val="24"/>
                <w:lang w:val="en-GB"/>
              </w:rPr>
              <w:t>February</w:t>
            </w:r>
            <w:r w:rsidR="00AB4694">
              <w:rPr>
                <w:sz w:val="24"/>
                <w:szCs w:val="24"/>
                <w:lang w:val="en-GB"/>
              </w:rPr>
              <w:t xml:space="preserve"> 201</w:t>
            </w:r>
            <w:r w:rsidR="007600EF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C248A5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C248A5">
              <w:rPr>
                <w:b/>
                <w:bCs/>
                <w:sz w:val="24"/>
                <w:szCs w:val="24"/>
                <w:lang w:val="en-GB"/>
              </w:rPr>
              <w:t>Publication of calculated power control values for Appendix 30A Regions 1 and 3 feeder-link Plan and List assignments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248A5" w:rsidRPr="00C248A5" w:rsidRDefault="00C248A5" w:rsidP="00005E4E">
      <w:pPr>
        <w:spacing w:before="0" w:line="240" w:lineRule="auto"/>
        <w:rPr>
          <w:rFonts w:eastAsia="SimSun"/>
          <w:sz w:val="24"/>
          <w:szCs w:val="24"/>
          <w:lang w:val="en-GB"/>
        </w:rPr>
      </w:pPr>
      <w:r w:rsidRPr="00C248A5">
        <w:rPr>
          <w:rFonts w:eastAsia="SimSun"/>
          <w:sz w:val="24"/>
          <w:szCs w:val="24"/>
          <w:lang w:val="en-GB"/>
        </w:rPr>
        <w:t xml:space="preserve">The World </w:t>
      </w:r>
      <w:proofErr w:type="spellStart"/>
      <w:r w:rsidRPr="00C248A5">
        <w:rPr>
          <w:rFonts w:eastAsia="SimSun"/>
          <w:sz w:val="24"/>
          <w:szCs w:val="24"/>
          <w:lang w:val="en-GB"/>
        </w:rPr>
        <w:t>Radiocommunication</w:t>
      </w:r>
      <w:proofErr w:type="spellEnd"/>
      <w:r w:rsidRPr="00C248A5">
        <w:rPr>
          <w:rFonts w:eastAsia="SimSun"/>
          <w:sz w:val="24"/>
          <w:szCs w:val="24"/>
          <w:lang w:val="en-GB"/>
        </w:rPr>
        <w:t xml:space="preserve"> Conference 2000 (Istanbul, WRC-2000) adopted the revised Plans for the Broadcasting-Satellite Service and the associated feeder-link for Regions 1 and 3 as well as the Regions 1 and </w:t>
      </w:r>
      <w:proofErr w:type="gramStart"/>
      <w:r w:rsidRPr="00C248A5">
        <w:rPr>
          <w:rFonts w:eastAsia="SimSun"/>
          <w:sz w:val="24"/>
          <w:szCs w:val="24"/>
          <w:lang w:val="en-GB"/>
        </w:rPr>
        <w:t>3 downlink</w:t>
      </w:r>
      <w:proofErr w:type="gramEnd"/>
      <w:r w:rsidRPr="00C248A5">
        <w:rPr>
          <w:rFonts w:eastAsia="SimSun"/>
          <w:sz w:val="24"/>
          <w:szCs w:val="24"/>
          <w:lang w:val="en-GB"/>
        </w:rPr>
        <w:t xml:space="preserve"> and feeder-link Lists of additional uses. The Conference also adopted Footnote 32 to Article 9A of Appendix </w:t>
      </w:r>
      <w:r w:rsidRPr="00C248A5">
        <w:rPr>
          <w:rFonts w:eastAsia="SimSun"/>
          <w:b/>
          <w:bCs/>
          <w:sz w:val="24"/>
          <w:szCs w:val="24"/>
          <w:lang w:val="en-GB"/>
        </w:rPr>
        <w:t>30A</w:t>
      </w:r>
      <w:r w:rsidRPr="00C248A5">
        <w:rPr>
          <w:rFonts w:eastAsia="SimSun"/>
          <w:sz w:val="24"/>
          <w:szCs w:val="24"/>
          <w:lang w:val="en-GB"/>
        </w:rPr>
        <w:t xml:space="preserve"> that applies to assignments in the Regions 1 and 3 Plan, stating that power control values</w:t>
      </w:r>
      <w:r w:rsidRPr="00C248A5" w:rsidDel="00125D8F">
        <w:rPr>
          <w:rFonts w:eastAsia="SimSun"/>
          <w:position w:val="6"/>
          <w:sz w:val="18"/>
          <w:szCs w:val="24"/>
          <w:lang w:val="en-GB"/>
        </w:rPr>
        <w:t xml:space="preserve"> </w:t>
      </w:r>
      <w:r w:rsidRPr="00C248A5">
        <w:rPr>
          <w:rFonts w:eastAsia="SimSun"/>
          <w:sz w:val="24"/>
          <w:szCs w:val="24"/>
          <w:lang w:val="en-GB"/>
        </w:rPr>
        <w:t>(p</w:t>
      </w:r>
      <w:proofErr w:type="spellStart"/>
      <w:r w:rsidRPr="00C248A5">
        <w:rPr>
          <w:rFonts w:eastAsia="SimSun"/>
          <w:sz w:val="24"/>
          <w:szCs w:val="20"/>
        </w:rPr>
        <w:t>ermitted</w:t>
      </w:r>
      <w:proofErr w:type="spellEnd"/>
      <w:r w:rsidRPr="00C248A5">
        <w:rPr>
          <w:rFonts w:eastAsia="SimSun"/>
          <w:sz w:val="24"/>
          <w:szCs w:val="20"/>
        </w:rPr>
        <w:t xml:space="preserve"> increase in earth station </w:t>
      </w:r>
      <w:proofErr w:type="spellStart"/>
      <w:r w:rsidRPr="00C248A5">
        <w:rPr>
          <w:rFonts w:eastAsia="SimSun"/>
          <w:sz w:val="24"/>
          <w:szCs w:val="20"/>
        </w:rPr>
        <w:t>e.i.r.p</w:t>
      </w:r>
      <w:proofErr w:type="spellEnd"/>
      <w:r w:rsidRPr="00C248A5">
        <w:rPr>
          <w:rFonts w:eastAsia="SimSun"/>
          <w:sz w:val="24"/>
          <w:szCs w:val="20"/>
        </w:rPr>
        <w:t xml:space="preserve"> (dB) to overcome rain fading</w:t>
      </w:r>
      <w:r w:rsidRPr="00C248A5">
        <w:rPr>
          <w:rFonts w:eastAsia="SimSun"/>
          <w:sz w:val="24"/>
          <w:szCs w:val="24"/>
          <w:lang w:val="en-GB"/>
        </w:rPr>
        <w:t>) will be calculated after WRC-2000.</w:t>
      </w:r>
    </w:p>
    <w:p w:rsidR="00C248A5" w:rsidRPr="00C248A5" w:rsidRDefault="00C248A5" w:rsidP="00545493">
      <w:pPr>
        <w:spacing w:line="240" w:lineRule="auto"/>
        <w:rPr>
          <w:rFonts w:eastAsia="SimSun"/>
          <w:sz w:val="24"/>
          <w:szCs w:val="24"/>
          <w:lang w:val="en-GB"/>
        </w:rPr>
      </w:pPr>
      <w:r w:rsidRPr="00C248A5">
        <w:rPr>
          <w:rFonts w:eastAsia="SimSun"/>
          <w:sz w:val="24"/>
          <w:szCs w:val="24"/>
          <w:lang w:val="en-GB"/>
        </w:rPr>
        <w:t>The Bureau is pleased to inform administrations that it has completed the development of a new version of the Power Control calculation software application (GIBC/</w:t>
      </w:r>
      <w:r w:rsidRPr="00C248A5">
        <w:rPr>
          <w:rFonts w:eastAsia="SimSun"/>
          <w:b/>
          <w:bCs/>
          <w:sz w:val="24"/>
          <w:szCs w:val="24"/>
          <w:lang w:val="en-GB"/>
        </w:rPr>
        <w:t>Power Control</w:t>
      </w:r>
      <w:r w:rsidRPr="00C248A5">
        <w:rPr>
          <w:rFonts w:eastAsia="SimSun"/>
          <w:sz w:val="24"/>
          <w:szCs w:val="24"/>
          <w:lang w:val="en-GB"/>
        </w:rPr>
        <w:t xml:space="preserve"> version 1.0.0.0) using the procedure contained in § 3.11 of Annex 3 to Appendix </w:t>
      </w:r>
      <w:r w:rsidRPr="00C248A5">
        <w:rPr>
          <w:rFonts w:eastAsia="SimSun"/>
          <w:b/>
          <w:bCs/>
          <w:sz w:val="24"/>
          <w:szCs w:val="24"/>
          <w:lang w:val="en-GB"/>
        </w:rPr>
        <w:t xml:space="preserve">30A </w:t>
      </w:r>
      <w:r w:rsidRPr="00C248A5">
        <w:rPr>
          <w:rFonts w:eastAsia="SimSun"/>
          <w:sz w:val="24"/>
          <w:szCs w:val="24"/>
          <w:lang w:val="en-GB"/>
        </w:rPr>
        <w:t xml:space="preserve">(Rev.WRC-12). In this new version, the Bureau has incorporated all modifications to the technical criteria adopted by WRCs </w:t>
      </w:r>
      <w:r w:rsidR="00545493">
        <w:rPr>
          <w:rFonts w:eastAsia="SimSun"/>
          <w:sz w:val="24"/>
          <w:szCs w:val="24"/>
          <w:lang w:val="en-GB"/>
        </w:rPr>
        <w:t xml:space="preserve">since 2000 </w:t>
      </w:r>
      <w:bookmarkStart w:id="0" w:name="_GoBack"/>
      <w:bookmarkEnd w:id="0"/>
      <w:r w:rsidRPr="00C248A5">
        <w:rPr>
          <w:rFonts w:eastAsia="SimSun"/>
          <w:sz w:val="24"/>
          <w:szCs w:val="24"/>
          <w:lang w:val="en-GB"/>
        </w:rPr>
        <w:t>in a new programming environment.</w:t>
      </w:r>
    </w:p>
    <w:p w:rsidR="00C248A5" w:rsidRPr="00C248A5" w:rsidRDefault="00C248A5" w:rsidP="00D56183">
      <w:pPr>
        <w:spacing w:line="240" w:lineRule="auto"/>
        <w:rPr>
          <w:sz w:val="24"/>
          <w:szCs w:val="24"/>
          <w:lang w:val="en-GB"/>
        </w:rPr>
      </w:pPr>
      <w:r w:rsidRPr="00C248A5">
        <w:rPr>
          <w:sz w:val="24"/>
          <w:szCs w:val="24"/>
          <w:lang w:val="en-GB"/>
        </w:rPr>
        <w:t xml:space="preserve">Pursuant to the above-mentioned Footnote 32, the Bureau has computed power control values for all assignments in the Regions 1 and 3 </w:t>
      </w:r>
      <w:proofErr w:type="gramStart"/>
      <w:r w:rsidRPr="00C248A5">
        <w:rPr>
          <w:sz w:val="24"/>
          <w:szCs w:val="24"/>
          <w:lang w:val="en-GB"/>
        </w:rPr>
        <w:t>feeder-link</w:t>
      </w:r>
      <w:proofErr w:type="gramEnd"/>
      <w:r w:rsidRPr="00C248A5">
        <w:rPr>
          <w:sz w:val="24"/>
          <w:szCs w:val="24"/>
          <w:lang w:val="en-GB"/>
        </w:rPr>
        <w:t xml:space="preserve"> Plan as adopted by WRC-2000. The Bureau has </w:t>
      </w:r>
      <w:r w:rsidRPr="00C248A5">
        <w:rPr>
          <w:color w:val="000000"/>
          <w:sz w:val="24"/>
          <w:szCs w:val="24"/>
          <w:lang w:val="en-GB"/>
        </w:rPr>
        <w:t xml:space="preserve">posted the calculated power control values </w:t>
      </w:r>
      <w:r w:rsidRPr="00C248A5">
        <w:rPr>
          <w:sz w:val="24"/>
          <w:szCs w:val="24"/>
          <w:lang w:val="en-GB"/>
        </w:rPr>
        <w:t xml:space="preserve">in tabular format </w:t>
      </w:r>
      <w:r w:rsidRPr="00C248A5">
        <w:rPr>
          <w:color w:val="000000"/>
          <w:sz w:val="24"/>
          <w:szCs w:val="24"/>
          <w:lang w:val="en-GB"/>
        </w:rPr>
        <w:t>on the</w:t>
      </w:r>
      <w:r w:rsidRPr="00C248A5">
        <w:rPr>
          <w:sz w:val="24"/>
          <w:szCs w:val="24"/>
          <w:lang w:val="en-GB"/>
        </w:rPr>
        <w:t xml:space="preserve"> ITU website at the following address: </w:t>
      </w:r>
    </w:p>
    <w:p w:rsidR="00C248A5" w:rsidRPr="00C248A5" w:rsidRDefault="00C248A5" w:rsidP="00D56183">
      <w:pPr>
        <w:spacing w:line="240" w:lineRule="auto"/>
        <w:jc w:val="center"/>
        <w:rPr>
          <w:b/>
          <w:bCs/>
          <w:color w:val="0000FF"/>
          <w:sz w:val="24"/>
          <w:szCs w:val="24"/>
          <w:u w:val="single"/>
          <w:lang w:val="en-GB"/>
        </w:rPr>
      </w:pPr>
      <w:r w:rsidRPr="00C248A5">
        <w:rPr>
          <w:b/>
          <w:bCs/>
          <w:color w:val="0000FF"/>
          <w:sz w:val="24"/>
          <w:szCs w:val="24"/>
          <w:u w:val="single"/>
          <w:lang w:val="en-GB"/>
        </w:rPr>
        <w:t>http://www.itu.int/en/ITU-R/space/plans/Pages/AP30-30A.aspx</w:t>
      </w:r>
    </w:p>
    <w:p w:rsidR="00C248A5" w:rsidRPr="00C248A5" w:rsidRDefault="00C248A5" w:rsidP="00D56183">
      <w:pPr>
        <w:spacing w:line="240" w:lineRule="auto"/>
        <w:rPr>
          <w:rFonts w:eastAsia="SimSun"/>
          <w:sz w:val="24"/>
          <w:szCs w:val="24"/>
          <w:lang w:val="en-GB"/>
        </w:rPr>
      </w:pPr>
      <w:r w:rsidRPr="00C248A5">
        <w:rPr>
          <w:rFonts w:eastAsia="SimSun"/>
          <w:sz w:val="24"/>
          <w:szCs w:val="24"/>
          <w:lang w:val="en-GB"/>
        </w:rPr>
        <w:t>The same information is also included in the BR IFIC (Space Services) DVD-ROM No. 2762 of 4</w:t>
      </w:r>
      <w:r w:rsidR="00FF750C">
        <w:rPr>
          <w:rFonts w:eastAsia="SimSun"/>
          <w:sz w:val="24"/>
          <w:szCs w:val="24"/>
          <w:lang w:val="en-GB"/>
        </w:rPr>
        <w:t> </w:t>
      </w:r>
      <w:r w:rsidRPr="00C248A5">
        <w:rPr>
          <w:rFonts w:eastAsia="SimSun"/>
          <w:sz w:val="24"/>
          <w:szCs w:val="24"/>
          <w:lang w:val="en-GB"/>
        </w:rPr>
        <w:t>February 2014. The GIBC/</w:t>
      </w:r>
      <w:r w:rsidRPr="00C248A5">
        <w:rPr>
          <w:rFonts w:eastAsia="SimSun"/>
          <w:b/>
          <w:bCs/>
          <w:sz w:val="24"/>
          <w:szCs w:val="24"/>
          <w:lang w:val="en-GB"/>
        </w:rPr>
        <w:t>Power Control</w:t>
      </w:r>
      <w:r w:rsidRPr="00C248A5">
        <w:rPr>
          <w:rFonts w:eastAsia="SimSun"/>
          <w:sz w:val="24"/>
          <w:szCs w:val="24"/>
          <w:lang w:val="en-GB"/>
        </w:rPr>
        <w:t xml:space="preserve"> software application is also made available to administrations in this BR IFIC.</w:t>
      </w:r>
    </w:p>
    <w:p w:rsidR="0067739C" w:rsidRDefault="00C248A5" w:rsidP="00D56183">
      <w:pPr>
        <w:spacing w:line="240" w:lineRule="auto"/>
        <w:rPr>
          <w:rFonts w:eastAsia="SimSun"/>
          <w:sz w:val="24"/>
          <w:szCs w:val="24"/>
          <w:lang w:val="en-GB" w:eastAsia="zh-CN"/>
        </w:rPr>
      </w:pPr>
      <w:r w:rsidRPr="00C248A5">
        <w:rPr>
          <w:rFonts w:eastAsia="SimSun"/>
          <w:sz w:val="24"/>
          <w:szCs w:val="24"/>
          <w:lang w:val="en-GB"/>
        </w:rPr>
        <w:t xml:space="preserve">The Bureau has also calculated power control values for assignments in the Regions 1 and 3 </w:t>
      </w:r>
      <w:proofErr w:type="gramStart"/>
      <w:r w:rsidRPr="00C248A5">
        <w:rPr>
          <w:rFonts w:eastAsia="SimSun"/>
          <w:sz w:val="24"/>
          <w:szCs w:val="24"/>
          <w:lang w:val="en-GB"/>
        </w:rPr>
        <w:t>feeder-link</w:t>
      </w:r>
      <w:proofErr w:type="gramEnd"/>
      <w:r w:rsidRPr="00C248A5">
        <w:rPr>
          <w:rFonts w:eastAsia="SimSun"/>
          <w:sz w:val="24"/>
          <w:szCs w:val="24"/>
          <w:lang w:val="en-GB"/>
        </w:rPr>
        <w:t xml:space="preserve"> List with a request to use power control (i.e. a power control value was submitted under Appendix </w:t>
      </w:r>
      <w:r w:rsidRPr="00C248A5">
        <w:rPr>
          <w:rFonts w:eastAsia="SimSun"/>
          <w:b/>
          <w:bCs/>
          <w:sz w:val="24"/>
          <w:szCs w:val="24"/>
          <w:lang w:val="en-GB"/>
        </w:rPr>
        <w:t>4</w:t>
      </w:r>
      <w:r w:rsidRPr="00C248A5">
        <w:rPr>
          <w:rFonts w:eastAsia="SimSun"/>
          <w:sz w:val="24"/>
          <w:szCs w:val="24"/>
          <w:lang w:val="en-GB"/>
        </w:rPr>
        <w:t xml:space="preserve"> data item C.8.i). </w:t>
      </w:r>
      <w:r w:rsidRPr="00C248A5">
        <w:rPr>
          <w:rFonts w:eastAsia="SimSun"/>
          <w:sz w:val="24"/>
          <w:szCs w:val="24"/>
          <w:lang w:val="en-GB" w:eastAsia="zh-CN"/>
        </w:rPr>
        <w:t xml:space="preserve">The calculated power control values have also been posted on the above-mentioned ITU website and included in the same BR IFIC </w:t>
      </w:r>
      <w:r w:rsidRPr="00C248A5">
        <w:rPr>
          <w:rFonts w:eastAsia="SimSun"/>
          <w:sz w:val="24"/>
          <w:szCs w:val="24"/>
          <w:lang w:val="en-GB"/>
        </w:rPr>
        <w:t>No. 2762 of 4 February</w:t>
      </w:r>
      <w:r w:rsidRPr="00C248A5">
        <w:rPr>
          <w:rFonts w:eastAsia="SimSun"/>
          <w:sz w:val="24"/>
          <w:szCs w:val="24"/>
          <w:lang w:val="en-GB" w:eastAsia="zh-CN"/>
        </w:rPr>
        <w:t xml:space="preserve"> 2014. </w:t>
      </w:r>
    </w:p>
    <w:p w:rsidR="0067739C" w:rsidRDefault="006773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24"/>
          <w:szCs w:val="24"/>
          <w:lang w:val="en-GB" w:eastAsia="zh-CN"/>
        </w:rPr>
      </w:pPr>
      <w:r>
        <w:rPr>
          <w:rFonts w:eastAsia="SimSun"/>
          <w:sz w:val="24"/>
          <w:szCs w:val="24"/>
          <w:lang w:val="en-GB" w:eastAsia="zh-CN"/>
        </w:rPr>
        <w:br w:type="page"/>
      </w:r>
    </w:p>
    <w:p w:rsidR="00C248A5" w:rsidRPr="00C248A5" w:rsidRDefault="00C248A5" w:rsidP="00C248A5">
      <w:pPr>
        <w:spacing w:before="0" w:line="240" w:lineRule="auto"/>
        <w:rPr>
          <w:rFonts w:eastAsia="SimSun"/>
          <w:sz w:val="24"/>
          <w:szCs w:val="24"/>
          <w:lang w:val="en-GB"/>
        </w:rPr>
      </w:pPr>
      <w:r w:rsidRPr="00C248A5">
        <w:rPr>
          <w:rFonts w:eastAsia="SimSun"/>
          <w:sz w:val="24"/>
          <w:szCs w:val="24"/>
          <w:lang w:val="en-GB"/>
        </w:rPr>
        <w:lastRenderedPageBreak/>
        <w:t xml:space="preserve">Nevertheless, § 3.11 of Annex 3 to Appendix </w:t>
      </w:r>
      <w:r w:rsidRPr="00C248A5">
        <w:rPr>
          <w:rFonts w:eastAsia="SimSun"/>
          <w:b/>
          <w:bCs/>
          <w:sz w:val="24"/>
          <w:szCs w:val="24"/>
          <w:lang w:val="en-GB"/>
        </w:rPr>
        <w:t>30A</w:t>
      </w:r>
      <w:r w:rsidRPr="00C248A5">
        <w:rPr>
          <w:rFonts w:eastAsia="SimSun"/>
          <w:sz w:val="24"/>
          <w:szCs w:val="24"/>
          <w:lang w:val="en-GB"/>
        </w:rPr>
        <w:t xml:space="preserve"> and the associated Rules of Procedure on power control mention that the use of power control applies only for an assignment in the Regions 1 and 3 feeder-link Plan without reference to an application to the List. The Bureau will report this inconsistency to WRC-15 and seek clarification on whether an assignment in the Regions 1 and 3 feeder-link List can use power control in accordance with  § 3.11 of Annex 3 to Appendix </w:t>
      </w:r>
      <w:r w:rsidRPr="00C248A5">
        <w:rPr>
          <w:rFonts w:eastAsia="SimSun"/>
          <w:b/>
          <w:bCs/>
          <w:sz w:val="24"/>
          <w:szCs w:val="24"/>
          <w:lang w:val="en-GB"/>
        </w:rPr>
        <w:t>30A.</w:t>
      </w:r>
    </w:p>
    <w:p w:rsidR="00C248A5" w:rsidRPr="00C248A5" w:rsidRDefault="00C248A5" w:rsidP="00D56183">
      <w:pPr>
        <w:spacing w:line="240" w:lineRule="auto"/>
        <w:rPr>
          <w:rFonts w:eastAsia="SimSun"/>
          <w:sz w:val="24"/>
          <w:szCs w:val="24"/>
          <w:lang w:val="en-GB"/>
        </w:rPr>
      </w:pPr>
      <w:r w:rsidRPr="00C248A5">
        <w:rPr>
          <w:rFonts w:eastAsia="SimSun"/>
          <w:sz w:val="24"/>
          <w:szCs w:val="24"/>
          <w:lang w:val="en-GB"/>
        </w:rPr>
        <w:t xml:space="preserve">With regard to the assignments included by WRC-2000 in the Regions 1 and 3 </w:t>
      </w:r>
      <w:proofErr w:type="gramStart"/>
      <w:r w:rsidRPr="00C248A5">
        <w:rPr>
          <w:rFonts w:eastAsia="SimSun"/>
          <w:sz w:val="24"/>
          <w:szCs w:val="24"/>
          <w:lang w:val="en-GB"/>
        </w:rPr>
        <w:t>feeder-link</w:t>
      </w:r>
      <w:proofErr w:type="gramEnd"/>
      <w:r w:rsidRPr="00C248A5">
        <w:rPr>
          <w:rFonts w:eastAsia="SimSun"/>
          <w:sz w:val="24"/>
          <w:szCs w:val="24"/>
          <w:lang w:val="en-GB"/>
        </w:rPr>
        <w:t xml:space="preserve"> List, the SPS_ALL database used for calculation contains only assignments in the Regions 1 and 3 feeder-link Plan and those in the List as adopted by WRC-2000 with the removal of assignments which were subsequently cancelled.</w:t>
      </w:r>
    </w:p>
    <w:p w:rsidR="00C248A5" w:rsidRPr="00C248A5" w:rsidRDefault="00C248A5" w:rsidP="00D56183">
      <w:pPr>
        <w:spacing w:line="240" w:lineRule="auto"/>
        <w:rPr>
          <w:rFonts w:eastAsia="SimSun"/>
          <w:sz w:val="24"/>
          <w:szCs w:val="24"/>
          <w:lang w:val="en-GB"/>
        </w:rPr>
      </w:pPr>
      <w:r w:rsidRPr="00C248A5">
        <w:rPr>
          <w:rFonts w:eastAsia="SimSun"/>
          <w:sz w:val="24"/>
          <w:szCs w:val="24"/>
          <w:lang w:val="en-GB"/>
        </w:rPr>
        <w:t xml:space="preserve">With regard to the assignments included after WRC-2000 in the Regions 1 and 3 </w:t>
      </w:r>
      <w:proofErr w:type="gramStart"/>
      <w:r w:rsidRPr="00C248A5">
        <w:rPr>
          <w:rFonts w:eastAsia="SimSun"/>
          <w:sz w:val="24"/>
          <w:szCs w:val="24"/>
          <w:lang w:val="en-GB"/>
        </w:rPr>
        <w:t>feeder-link</w:t>
      </w:r>
      <w:proofErr w:type="gramEnd"/>
      <w:r w:rsidRPr="00C248A5">
        <w:rPr>
          <w:rFonts w:eastAsia="SimSun"/>
          <w:sz w:val="24"/>
          <w:szCs w:val="24"/>
          <w:lang w:val="en-GB"/>
        </w:rPr>
        <w:t xml:space="preserve"> List, the Bureau used the SPS_ALL_IFIC2759 database of 10 December 2013 as a basic input data source in order to avoid unnecessary constraints imposed by submissions which have already been cancelled. The corresponding SPS_ALL database used for computation for each assignment was created as follows:</w:t>
      </w:r>
    </w:p>
    <w:p w:rsidR="00C248A5" w:rsidRPr="00C248A5" w:rsidRDefault="00C248A5" w:rsidP="00D56183">
      <w:pPr>
        <w:numPr>
          <w:ilvl w:val="0"/>
          <w:numId w:val="3"/>
        </w:numPr>
        <w:spacing w:line="240" w:lineRule="auto"/>
        <w:ind w:hanging="720"/>
        <w:rPr>
          <w:rFonts w:eastAsia="SimSun"/>
          <w:sz w:val="24"/>
          <w:szCs w:val="24"/>
          <w:lang w:val="en-GB"/>
        </w:rPr>
      </w:pPr>
      <w:r w:rsidRPr="00C248A5">
        <w:rPr>
          <w:rFonts w:eastAsia="SimSun"/>
          <w:sz w:val="24"/>
          <w:szCs w:val="24"/>
          <w:lang w:val="en-GB"/>
        </w:rPr>
        <w:t>feeder-link assignments, including Article 4 pending submissions which did not exist on or before the date of receipt of the request for entry in the List of the subject assignment, were first removed fro</w:t>
      </w:r>
      <w:r w:rsidR="0067739C">
        <w:rPr>
          <w:rFonts w:eastAsia="SimSun"/>
          <w:sz w:val="24"/>
          <w:szCs w:val="24"/>
          <w:lang w:val="en-GB"/>
        </w:rPr>
        <w:t>m the SPS_ALL_IFIC2759 database;</w:t>
      </w:r>
    </w:p>
    <w:p w:rsidR="00C248A5" w:rsidRDefault="00C248A5" w:rsidP="00D56183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eastAsia="SimSun"/>
          <w:sz w:val="24"/>
          <w:szCs w:val="24"/>
          <w:lang w:val="en-GB"/>
        </w:rPr>
      </w:pPr>
      <w:r w:rsidRPr="00C248A5">
        <w:rPr>
          <w:rFonts w:eastAsia="SimSun"/>
          <w:sz w:val="24"/>
          <w:szCs w:val="24"/>
          <w:lang w:val="en-GB"/>
        </w:rPr>
        <w:t>status of assignments in the List for which the Part B submission was received after the date of  receipt of the request for entry in the List of the subject assignment were changed to pending status (receive-only) in order to reflect the situation at the time they entered into the List.</w:t>
      </w:r>
    </w:p>
    <w:p w:rsidR="00C248A5" w:rsidRPr="00C248A5" w:rsidRDefault="00C248A5" w:rsidP="00D56183">
      <w:pPr>
        <w:spacing w:line="240" w:lineRule="auto"/>
        <w:rPr>
          <w:sz w:val="24"/>
          <w:szCs w:val="24"/>
          <w:lang w:val="en-GB"/>
        </w:rPr>
      </w:pPr>
      <w:r w:rsidRPr="00C248A5">
        <w:rPr>
          <w:sz w:val="24"/>
          <w:szCs w:val="24"/>
          <w:lang w:val="en-GB"/>
        </w:rPr>
        <w:t xml:space="preserve">For a new assignment entering into the Appendix </w:t>
      </w:r>
      <w:r w:rsidRPr="00C248A5">
        <w:rPr>
          <w:b/>
          <w:bCs/>
          <w:sz w:val="24"/>
          <w:szCs w:val="24"/>
          <w:lang w:val="en-GB"/>
        </w:rPr>
        <w:t>30A</w:t>
      </w:r>
      <w:r w:rsidRPr="00C248A5">
        <w:rPr>
          <w:sz w:val="24"/>
          <w:szCs w:val="24"/>
          <w:lang w:val="en-GB"/>
        </w:rPr>
        <w:t xml:space="preserve"> Regions 1 and 3 feeder-link List after BR IFIC (Space Services) No. </w:t>
      </w:r>
      <w:r w:rsidRPr="00C248A5">
        <w:rPr>
          <w:sz w:val="24"/>
          <w:szCs w:val="24"/>
          <w:lang w:val="en-GB" w:eastAsia="zh-CN"/>
        </w:rPr>
        <w:t>2759 of</w:t>
      </w:r>
      <w:r w:rsidRPr="00C248A5">
        <w:rPr>
          <w:sz w:val="24"/>
          <w:szCs w:val="24"/>
          <w:lang w:val="en-GB"/>
        </w:rPr>
        <w:t xml:space="preserve"> 10 December 2013 with a request to use power control, the power control value will be calculated using the SPS_ALL database at the time of the new assignment entering into the List. </w:t>
      </w:r>
    </w:p>
    <w:p w:rsidR="00C248A5" w:rsidRPr="00C248A5" w:rsidRDefault="00C248A5" w:rsidP="00D56183">
      <w:pPr>
        <w:spacing w:line="240" w:lineRule="auto"/>
        <w:rPr>
          <w:sz w:val="24"/>
          <w:szCs w:val="24"/>
          <w:lang w:val="en-GB"/>
        </w:rPr>
      </w:pPr>
      <w:r w:rsidRPr="00C248A5">
        <w:rPr>
          <w:sz w:val="24"/>
          <w:szCs w:val="24"/>
          <w:lang w:val="en-GB"/>
        </w:rPr>
        <w:t xml:space="preserve">The Bureau remains at the disposal of your Administration via the </w:t>
      </w:r>
      <w:r w:rsidRPr="00C248A5">
        <w:rPr>
          <w:b/>
          <w:bCs/>
          <w:sz w:val="24"/>
          <w:szCs w:val="24"/>
          <w:lang w:val="en-GB"/>
        </w:rPr>
        <w:t>brmail@itu.int</w:t>
      </w:r>
      <w:r w:rsidRPr="00C248A5">
        <w:rPr>
          <w:sz w:val="24"/>
          <w:szCs w:val="24"/>
          <w:lang w:val="en-GB"/>
        </w:rPr>
        <w:t xml:space="preserve"> address for any clarification you may require with </w:t>
      </w:r>
      <w:r w:rsidRPr="00C248A5">
        <w:rPr>
          <w:sz w:val="24"/>
          <w:szCs w:val="20"/>
          <w:lang w:val="en-GB"/>
        </w:rPr>
        <w:t>respect</w:t>
      </w:r>
      <w:r w:rsidRPr="00C248A5" w:rsidDel="00E971C2">
        <w:rPr>
          <w:sz w:val="24"/>
          <w:szCs w:val="24"/>
          <w:lang w:val="en-GB"/>
        </w:rPr>
        <w:t xml:space="preserve"> </w:t>
      </w:r>
      <w:r w:rsidRPr="00C248A5">
        <w:rPr>
          <w:sz w:val="24"/>
          <w:szCs w:val="24"/>
          <w:lang w:val="en-GB"/>
        </w:rPr>
        <w:t xml:space="preserve">to the subjects covered in this Circular Letter. </w:t>
      </w:r>
    </w:p>
    <w:p w:rsidR="0065722D" w:rsidRDefault="0065722D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65722D" w:rsidRDefault="0065722D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65722D" w:rsidRDefault="0065722D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031E64" w:rsidRPr="00795485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795485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67739C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67739C">
        <w:rPr>
          <w:sz w:val="18"/>
          <w:szCs w:val="18"/>
        </w:rPr>
        <w:t>–</w:t>
      </w:r>
      <w:r w:rsidRPr="0067739C">
        <w:rPr>
          <w:sz w:val="18"/>
          <w:szCs w:val="18"/>
        </w:rPr>
        <w:tab/>
        <w:t>Administrations of Member States of ITU</w:t>
      </w:r>
    </w:p>
    <w:p w:rsidR="00AB4694" w:rsidRPr="0067739C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67739C">
        <w:rPr>
          <w:sz w:val="18"/>
          <w:szCs w:val="18"/>
        </w:rPr>
        <w:t>–</w:t>
      </w:r>
      <w:r w:rsidRPr="0067739C">
        <w:rPr>
          <w:sz w:val="18"/>
          <w:szCs w:val="18"/>
        </w:rPr>
        <w:tab/>
        <w:t>Members of the Radio Regulations Board</w:t>
      </w:r>
    </w:p>
    <w:p w:rsidR="00AB4694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sectPr w:rsidR="00AB469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E5" w:rsidRDefault="00171BE5">
      <w:r>
        <w:separator/>
      </w:r>
    </w:p>
  </w:endnote>
  <w:endnote w:type="continuationSeparator" w:id="0">
    <w:p w:rsidR="00171BE5" w:rsidRDefault="0017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E5" w:rsidRDefault="00171BE5">
      <w:r>
        <w:t>____________________</w:t>
      </w:r>
    </w:p>
  </w:footnote>
  <w:footnote w:type="continuationSeparator" w:id="0">
    <w:p w:rsidR="00171BE5" w:rsidRDefault="0017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AE" w:rsidRPr="00F042AE" w:rsidRDefault="00E915AF" w:rsidP="00F042AE">
    <w:pPr>
      <w:pStyle w:val="Header"/>
      <w:rPr>
        <w:sz w:val="18"/>
        <w:szCs w:val="18"/>
      </w:rPr>
    </w:pPr>
    <w:r>
      <w:tab/>
    </w:r>
    <w:r>
      <w:tab/>
    </w:r>
    <w:r w:rsidR="00F042AE" w:rsidRPr="00F042AE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366986966"/>
        <w:docPartObj>
          <w:docPartGallery w:val="Page Numbers (Top of Page)"/>
          <w:docPartUnique/>
        </w:docPartObj>
      </w:sdtPr>
      <w:sdtEndPr/>
      <w:sdtContent>
        <w:r w:rsidR="00F042AE" w:rsidRPr="00F042AE">
          <w:rPr>
            <w:sz w:val="18"/>
            <w:szCs w:val="18"/>
          </w:rPr>
          <w:fldChar w:fldCharType="begin"/>
        </w:r>
        <w:r w:rsidR="00F042AE" w:rsidRPr="00F042AE">
          <w:rPr>
            <w:sz w:val="18"/>
            <w:szCs w:val="18"/>
          </w:rPr>
          <w:instrText xml:space="preserve"> PAGE   \* MERGEFORMAT </w:instrText>
        </w:r>
        <w:r w:rsidR="00F042AE" w:rsidRPr="00F042AE">
          <w:rPr>
            <w:sz w:val="18"/>
            <w:szCs w:val="18"/>
          </w:rPr>
          <w:fldChar w:fldCharType="separate"/>
        </w:r>
        <w:r w:rsidR="00545493">
          <w:rPr>
            <w:noProof/>
            <w:sz w:val="18"/>
            <w:szCs w:val="18"/>
          </w:rPr>
          <w:t>2</w:t>
        </w:r>
        <w:r w:rsidR="00F042AE" w:rsidRPr="00F042AE">
          <w:rPr>
            <w:sz w:val="18"/>
            <w:szCs w:val="18"/>
          </w:rPr>
          <w:fldChar w:fldCharType="end"/>
        </w:r>
        <w:r w:rsidR="00F042AE" w:rsidRPr="00F042AE">
          <w:rPr>
            <w:sz w:val="18"/>
            <w:szCs w:val="18"/>
          </w:rPr>
          <w:t xml:space="preserve"> -</w:t>
        </w:r>
      </w:sdtContent>
    </w:sdt>
  </w:p>
  <w:p w:rsidR="00E915AF" w:rsidRPr="0067739C" w:rsidRDefault="00E915AF" w:rsidP="00F042A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67739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s-ES_tradnl" w:eastAsia="zh-CN"/>
      </w:rPr>
      <w:drawing>
        <wp:inline distT="0" distB="0" distL="0" distR="0" wp14:anchorId="536A76F5" wp14:editId="366264B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604C77"/>
    <w:multiLevelType w:val="hybridMultilevel"/>
    <w:tmpl w:val="7898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53436A42"/>
    <w:multiLevelType w:val="hybridMultilevel"/>
    <w:tmpl w:val="C0B6AD7C"/>
    <w:lvl w:ilvl="0" w:tplc="EE8E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5E4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0AF7"/>
    <w:rsid w:val="00171BE5"/>
    <w:rsid w:val="00187CA3"/>
    <w:rsid w:val="00196710"/>
    <w:rsid w:val="00197324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24B2D"/>
    <w:rsid w:val="002302B3"/>
    <w:rsid w:val="00230C66"/>
    <w:rsid w:val="00235A29"/>
    <w:rsid w:val="00241526"/>
    <w:rsid w:val="002443A2"/>
    <w:rsid w:val="002467EE"/>
    <w:rsid w:val="0025347B"/>
    <w:rsid w:val="00266E74"/>
    <w:rsid w:val="00283C3B"/>
    <w:rsid w:val="002861E6"/>
    <w:rsid w:val="00287D18"/>
    <w:rsid w:val="002A2618"/>
    <w:rsid w:val="002A5DD7"/>
    <w:rsid w:val="002B0CAC"/>
    <w:rsid w:val="002C1820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523"/>
    <w:rsid w:val="003836D4"/>
    <w:rsid w:val="00397A5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256"/>
    <w:rsid w:val="004326DB"/>
    <w:rsid w:val="0043682E"/>
    <w:rsid w:val="004429A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B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5493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44E8"/>
    <w:rsid w:val="0064371D"/>
    <w:rsid w:val="00650B2A"/>
    <w:rsid w:val="00651777"/>
    <w:rsid w:val="006550F8"/>
    <w:rsid w:val="0065722D"/>
    <w:rsid w:val="00661CD2"/>
    <w:rsid w:val="0067739C"/>
    <w:rsid w:val="006829F3"/>
    <w:rsid w:val="006A518B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34AFD"/>
    <w:rsid w:val="00750CFA"/>
    <w:rsid w:val="007553DA"/>
    <w:rsid w:val="007600EF"/>
    <w:rsid w:val="00782354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42F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55A5A"/>
    <w:rsid w:val="00963D9D"/>
    <w:rsid w:val="0098013E"/>
    <w:rsid w:val="00981B54"/>
    <w:rsid w:val="009842C3"/>
    <w:rsid w:val="009A009A"/>
    <w:rsid w:val="009A6BB6"/>
    <w:rsid w:val="009B3F43"/>
    <w:rsid w:val="009B5CFA"/>
    <w:rsid w:val="009B6B71"/>
    <w:rsid w:val="009C161F"/>
    <w:rsid w:val="009C1F31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50C"/>
    <w:rsid w:val="00A63355"/>
    <w:rsid w:val="00A7596D"/>
    <w:rsid w:val="00A963DF"/>
    <w:rsid w:val="00AB4694"/>
    <w:rsid w:val="00AB5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222C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E7AB0"/>
    <w:rsid w:val="00C07319"/>
    <w:rsid w:val="00C16FD2"/>
    <w:rsid w:val="00C248A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6183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042AE"/>
    <w:rsid w:val="00F26F9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4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07BF-F322-4684-941E-7958740E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182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Da Silva, Antoine</cp:lastModifiedBy>
  <cp:revision>19</cp:revision>
  <cp:lastPrinted>2014-01-10T08:23:00Z</cp:lastPrinted>
  <dcterms:created xsi:type="dcterms:W3CDTF">2014-01-08T10:40:00Z</dcterms:created>
  <dcterms:modified xsi:type="dcterms:W3CDTF">2014-01-20T10:24:00Z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