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154A1B" w:rsidRPr="00E673B8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40641C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40641C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40641C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40641C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40641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8E27BB" w:rsidTr="00BF3448">
        <w:tc>
          <w:tcPr>
            <w:tcW w:w="6912" w:type="dxa"/>
            <w:gridSpan w:val="2"/>
            <w:shd w:val="clear" w:color="auto" w:fill="auto"/>
          </w:tcPr>
          <w:p w:rsidR="00B77485" w:rsidRPr="00FB05F7" w:rsidRDefault="00B77485" w:rsidP="00B32AA8">
            <w:pPr>
              <w:rPr>
                <w:rtl/>
                <w:lang w:bidi="ar-SY"/>
              </w:rPr>
            </w:pPr>
            <w:r w:rsidRPr="008E27BB">
              <w:rPr>
                <w:rFonts w:hint="cs"/>
                <w:rtl/>
                <w:lang w:bidi="ar-AE"/>
              </w:rPr>
              <w:t>الرسالة ال</w:t>
            </w:r>
            <w:r w:rsidR="003F47F3" w:rsidRPr="008E27BB">
              <w:rPr>
                <w:rFonts w:hint="cs"/>
                <w:rtl/>
                <w:lang w:bidi="ar-AE"/>
              </w:rPr>
              <w:t>‍</w:t>
            </w:r>
            <w:r w:rsidRPr="008E27BB">
              <w:rPr>
                <w:rFonts w:hint="cs"/>
                <w:rtl/>
                <w:lang w:bidi="ar-AE"/>
              </w:rPr>
              <w:t>معممة</w:t>
            </w:r>
            <w:r w:rsidR="0040641C">
              <w:rPr>
                <w:rtl/>
                <w:lang w:bidi="ar-AE"/>
              </w:rPr>
              <w:tab/>
            </w:r>
            <w:r w:rsidR="0040641C">
              <w:rPr>
                <w:rFonts w:hint="cs"/>
                <w:rtl/>
                <w:lang w:bidi="ar-AE"/>
              </w:rPr>
              <w:br/>
            </w:r>
            <w:r w:rsidR="00FB2217">
              <w:rPr>
                <w:b/>
                <w:bCs/>
              </w:rPr>
              <w:t>CR</w:t>
            </w:r>
            <w:r w:rsidRPr="0040641C">
              <w:rPr>
                <w:b/>
                <w:bCs/>
              </w:rPr>
              <w:t>/</w:t>
            </w:r>
            <w:r w:rsidR="00B32AA8">
              <w:rPr>
                <w:b/>
                <w:bCs/>
              </w:rPr>
              <w:t>356</w:t>
            </w:r>
          </w:p>
        </w:tc>
        <w:tc>
          <w:tcPr>
            <w:tcW w:w="2977" w:type="dxa"/>
            <w:shd w:val="clear" w:color="auto" w:fill="auto"/>
          </w:tcPr>
          <w:p w:rsidR="00B83DAF" w:rsidRPr="008E27BB" w:rsidRDefault="00B32AA8" w:rsidP="00B32AA8">
            <w:pPr>
              <w:jc w:val="right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جنيف، </w:t>
            </w:r>
            <w:r>
              <w:t>4</w:t>
            </w:r>
            <w:r w:rsidR="00125B91" w:rsidRPr="008E27B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فبراير </w:t>
            </w:r>
            <w:r>
              <w:t>2014</w:t>
            </w:r>
          </w:p>
        </w:tc>
      </w:tr>
      <w:tr w:rsidR="00B77485" w:rsidRPr="008E27BB" w:rsidTr="006803F9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40641C"/>
        </w:tc>
      </w:tr>
      <w:tr w:rsidR="00B77485" w:rsidRPr="008E27BB" w:rsidTr="00AA497A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40641C"/>
        </w:tc>
      </w:tr>
      <w:tr w:rsidR="00B77485" w:rsidRPr="008E27BB" w:rsidTr="00302AE5">
        <w:tc>
          <w:tcPr>
            <w:tcW w:w="9889" w:type="dxa"/>
            <w:gridSpan w:val="3"/>
            <w:shd w:val="clear" w:color="auto" w:fill="auto"/>
          </w:tcPr>
          <w:p w:rsidR="00B77485" w:rsidRPr="0040641C" w:rsidRDefault="00FB05F7" w:rsidP="0062547B">
            <w:pPr>
              <w:rPr>
                <w:b/>
                <w:bCs/>
                <w:rtl/>
                <w:lang w:bidi="ar-SY"/>
              </w:rPr>
            </w:pPr>
            <w:r w:rsidRPr="0040641C">
              <w:rPr>
                <w:b/>
                <w:bCs/>
                <w:rtl/>
              </w:rPr>
              <w:t>إلى إدارات الدول الأعضاء في الات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حاد</w:t>
            </w:r>
          </w:p>
        </w:tc>
      </w:tr>
      <w:tr w:rsidR="00FB05F7" w:rsidRPr="008E27BB" w:rsidTr="00752666">
        <w:tc>
          <w:tcPr>
            <w:tcW w:w="9889" w:type="dxa"/>
            <w:gridSpan w:val="3"/>
            <w:shd w:val="clear" w:color="auto" w:fill="auto"/>
          </w:tcPr>
          <w:p w:rsidR="00FB05F7" w:rsidRPr="008E27BB" w:rsidRDefault="00FB05F7" w:rsidP="00B14E56">
            <w:pPr>
              <w:spacing w:before="0"/>
            </w:pPr>
          </w:p>
        </w:tc>
      </w:tr>
      <w:tr w:rsidR="0096482F" w:rsidRPr="008E27BB" w:rsidTr="00752666">
        <w:tc>
          <w:tcPr>
            <w:tcW w:w="9889" w:type="dxa"/>
            <w:gridSpan w:val="3"/>
            <w:shd w:val="clear" w:color="auto" w:fill="auto"/>
          </w:tcPr>
          <w:p w:rsidR="0096482F" w:rsidRPr="008E27BB" w:rsidRDefault="0096482F" w:rsidP="00B14E56">
            <w:pPr>
              <w:spacing w:before="0"/>
            </w:pPr>
          </w:p>
        </w:tc>
      </w:tr>
      <w:tr w:rsidR="00B77485" w:rsidRPr="008E27BB" w:rsidTr="00752666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B14E56">
            <w:pPr>
              <w:spacing w:before="0"/>
            </w:pP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  <w:r w:rsidRPr="008E27BB">
              <w:rPr>
                <w:rtl/>
              </w:rPr>
              <w:t>ال</w:t>
            </w:r>
            <w:r w:rsidR="00125B91" w:rsidRPr="008E27BB">
              <w:rPr>
                <w:rFonts w:hint="cs"/>
                <w:rtl/>
              </w:rPr>
              <w:t>‍</w:t>
            </w:r>
            <w:r w:rsidRPr="008E27BB">
              <w:rPr>
                <w:rtl/>
              </w:rPr>
              <w:t>موضوع</w:t>
            </w:r>
            <w:r w:rsidRPr="008E27BB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195371" w:rsidRPr="0065473C" w:rsidRDefault="00FD6093" w:rsidP="00601F36">
            <w:pPr>
              <w:spacing w:before="60"/>
              <w:rPr>
                <w:b/>
                <w:bCs/>
              </w:rPr>
            </w:pPr>
            <w:r w:rsidRPr="0075388E">
              <w:rPr>
                <w:rFonts w:hint="cs"/>
                <w:b/>
                <w:bCs/>
                <w:spacing w:val="-2"/>
                <w:rtl/>
              </w:rPr>
              <w:t xml:space="preserve">نشر القيم المحسوبة للتحكم في القدرة فيما يتعلق بتخصيصات خطة </w:t>
            </w:r>
            <w:r>
              <w:rPr>
                <w:rFonts w:hint="cs"/>
                <w:b/>
                <w:bCs/>
                <w:spacing w:val="-2"/>
                <w:rtl/>
              </w:rPr>
              <w:t>و</w:t>
            </w:r>
            <w:r w:rsidRPr="0075388E">
              <w:rPr>
                <w:rFonts w:hint="cs"/>
                <w:b/>
                <w:bCs/>
                <w:spacing w:val="-2"/>
                <w:rtl/>
              </w:rPr>
              <w:t xml:space="preserve">قائمة وصلات التغذية للإقليمين </w:t>
            </w:r>
            <w:r w:rsidRPr="0075388E">
              <w:rPr>
                <w:b/>
                <w:bCs/>
                <w:spacing w:val="-2"/>
              </w:rPr>
              <w:t>1</w:t>
            </w:r>
            <w:r w:rsidRPr="0075388E">
              <w:rPr>
                <w:rFonts w:hint="cs"/>
                <w:b/>
                <w:bCs/>
                <w:spacing w:val="-2"/>
                <w:rtl/>
              </w:rPr>
              <w:t xml:space="preserve"> و</w:t>
            </w:r>
            <w:r w:rsidRPr="0075388E">
              <w:rPr>
                <w:b/>
                <w:bCs/>
                <w:spacing w:val="-2"/>
              </w:rPr>
              <w:t>3</w:t>
            </w:r>
            <w:r w:rsidRPr="0075388E">
              <w:rPr>
                <w:rFonts w:hint="cs"/>
                <w:b/>
                <w:bCs/>
                <w:spacing w:val="-2"/>
                <w:rtl/>
              </w:rPr>
              <w:t xml:space="preserve"> </w:t>
            </w:r>
            <w:r>
              <w:rPr>
                <w:rFonts w:hint="cs"/>
                <w:b/>
                <w:bCs/>
                <w:spacing w:val="-2"/>
                <w:rtl/>
              </w:rPr>
              <w:t>بموجب</w:t>
            </w:r>
            <w:r w:rsidRPr="0075388E">
              <w:rPr>
                <w:rFonts w:hint="cs"/>
                <w:b/>
                <w:bCs/>
                <w:spacing w:val="-2"/>
                <w:rtl/>
              </w:rPr>
              <w:t xml:space="preserve"> التذييل </w:t>
            </w:r>
            <w:r w:rsidRPr="0075388E">
              <w:rPr>
                <w:b/>
                <w:bCs/>
                <w:spacing w:val="-2"/>
              </w:rPr>
              <w:t>30A</w:t>
            </w: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</w:tr>
      <w:tr w:rsidR="00FD6093" w:rsidRPr="008E27BB" w:rsidTr="00B77485">
        <w:tc>
          <w:tcPr>
            <w:tcW w:w="1383" w:type="dxa"/>
            <w:shd w:val="clear" w:color="auto" w:fill="auto"/>
          </w:tcPr>
          <w:p w:rsidR="00FD6093" w:rsidRPr="008E27BB" w:rsidRDefault="00FD6093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shd w:val="clear" w:color="auto" w:fill="auto"/>
          </w:tcPr>
          <w:p w:rsidR="00FD6093" w:rsidRPr="008E27BB" w:rsidRDefault="00FD6093" w:rsidP="0040641C">
            <w:pPr>
              <w:rPr>
                <w:lang w:val="fr-FR"/>
              </w:rPr>
            </w:pPr>
          </w:p>
        </w:tc>
      </w:tr>
    </w:tbl>
    <w:p w:rsidR="00FD6093" w:rsidRPr="00FD6093" w:rsidRDefault="00FD6093" w:rsidP="00DE6397">
      <w:pPr>
        <w:rPr>
          <w:rtl/>
        </w:rPr>
      </w:pPr>
      <w:bookmarkStart w:id="0" w:name="CurrentLocation"/>
      <w:bookmarkEnd w:id="0"/>
      <w:r w:rsidRPr="00FD6093">
        <w:rPr>
          <w:rFonts w:hint="cs"/>
          <w:rtl/>
        </w:rPr>
        <w:t xml:space="preserve">اعتمد المؤتمر العالمي للاتصالات الراديوية لعام </w:t>
      </w:r>
      <w:r w:rsidRPr="00FD6093">
        <w:t>2000</w:t>
      </w:r>
      <w:r w:rsidRPr="00FD6093">
        <w:rPr>
          <w:rFonts w:hint="cs"/>
          <w:rtl/>
        </w:rPr>
        <w:t xml:space="preserve"> (إسطنبول، </w:t>
      </w:r>
      <w:r w:rsidRPr="00FD6093">
        <w:t>2000</w:t>
      </w:r>
      <w:r w:rsidRPr="00FD6093">
        <w:rPr>
          <w:rFonts w:hint="cs"/>
          <w:rtl/>
        </w:rPr>
        <w:t xml:space="preserve">) </w:t>
      </w:r>
      <w:r w:rsidR="00DE6397">
        <w:t>(WRC</w:t>
      </w:r>
      <w:r w:rsidR="00DE6397">
        <w:noBreakHyphen/>
        <w:t>2000)</w:t>
      </w:r>
      <w:r w:rsidR="00DE6397">
        <w:rPr>
          <w:rFonts w:hint="cs"/>
          <w:rtl/>
        </w:rPr>
        <w:t xml:space="preserve"> </w:t>
      </w:r>
      <w:r w:rsidRPr="00FD6093">
        <w:rPr>
          <w:rFonts w:hint="cs"/>
          <w:rtl/>
        </w:rPr>
        <w:t xml:space="preserve">الخطط المنقحة بشأن خدمة الإذاعة الساتلية ووصلات التغذية المرتبطة بها للإقليمين </w:t>
      </w:r>
      <w:r w:rsidR="00DE6397">
        <w:t>1</w:t>
      </w:r>
      <w:r w:rsidRPr="00FD6093">
        <w:rPr>
          <w:rFonts w:hint="cs"/>
          <w:rtl/>
        </w:rPr>
        <w:t xml:space="preserve"> و</w:t>
      </w:r>
      <w:r w:rsidRPr="00FD6093">
        <w:t>3</w:t>
      </w:r>
      <w:r w:rsidRPr="00FD6093">
        <w:rPr>
          <w:rFonts w:hint="cs"/>
          <w:rtl/>
        </w:rPr>
        <w:t xml:space="preserve"> فضلاً عن قوائم الوصلات الهابطة ووصلات التغذية للاستعمالات الإضافية في الإقليمين </w:t>
      </w:r>
      <w:r w:rsidRPr="00FD6093">
        <w:t>1</w:t>
      </w:r>
      <w:r w:rsidRPr="00FD6093">
        <w:rPr>
          <w:rFonts w:hint="cs"/>
          <w:rtl/>
        </w:rPr>
        <w:t xml:space="preserve"> و</w:t>
      </w:r>
      <w:r w:rsidRPr="00FD6093">
        <w:t>3</w:t>
      </w:r>
      <w:r w:rsidRPr="00FD6093">
        <w:rPr>
          <w:rFonts w:hint="cs"/>
          <w:rtl/>
        </w:rPr>
        <w:t xml:space="preserve">. واعتمد المؤتمر أيضاً الحاشية </w:t>
      </w:r>
      <w:r w:rsidRPr="00FD6093">
        <w:t>32</w:t>
      </w:r>
      <w:r w:rsidRPr="00FD6093">
        <w:rPr>
          <w:rFonts w:hint="cs"/>
          <w:rtl/>
        </w:rPr>
        <w:t xml:space="preserve"> للمادة </w:t>
      </w:r>
      <w:r w:rsidRPr="00FD6093">
        <w:t>9A</w:t>
      </w:r>
      <w:r w:rsidRPr="00FD6093">
        <w:rPr>
          <w:rFonts w:hint="cs"/>
          <w:rtl/>
        </w:rPr>
        <w:t xml:space="preserve"> من التذييل </w:t>
      </w:r>
      <w:r w:rsidRPr="00FD6093">
        <w:rPr>
          <w:b/>
          <w:bCs/>
        </w:rPr>
        <w:t>30A</w:t>
      </w:r>
      <w:r w:rsidRPr="00FD6093">
        <w:rPr>
          <w:rFonts w:hint="cs"/>
          <w:rtl/>
        </w:rPr>
        <w:t xml:space="preserve"> التي تنطبق على التخصيصات في</w:t>
      </w:r>
      <w:r w:rsidR="00DE6397">
        <w:rPr>
          <w:rFonts w:hint="eastAsia"/>
          <w:rtl/>
        </w:rPr>
        <w:t> </w:t>
      </w:r>
      <w:r w:rsidRPr="00FD6093">
        <w:rPr>
          <w:rFonts w:hint="cs"/>
          <w:rtl/>
        </w:rPr>
        <w:t xml:space="preserve">خطة الإقليمين </w:t>
      </w:r>
      <w:r w:rsidRPr="00FD6093">
        <w:t>1</w:t>
      </w:r>
      <w:r w:rsidRPr="00FD6093">
        <w:rPr>
          <w:rFonts w:hint="cs"/>
          <w:rtl/>
        </w:rPr>
        <w:t xml:space="preserve"> و</w:t>
      </w:r>
      <w:r w:rsidRPr="00FD6093">
        <w:t>3</w:t>
      </w:r>
      <w:r w:rsidRPr="00FD6093">
        <w:rPr>
          <w:rFonts w:hint="cs"/>
          <w:rtl/>
        </w:rPr>
        <w:t>، والتي تنص على أن يتم حساب قيم التحك</w:t>
      </w:r>
      <w:bookmarkStart w:id="1" w:name="_GoBack"/>
      <w:bookmarkEnd w:id="1"/>
      <w:r w:rsidRPr="00FD6093">
        <w:rPr>
          <w:rFonts w:hint="cs"/>
          <w:rtl/>
        </w:rPr>
        <w:t xml:space="preserve">م في القدرة (زيادة مسموح بها في القدرة المشعة المكافئة المتناحية </w:t>
      </w:r>
      <w:r w:rsidRPr="00FD6093">
        <w:t>(dB)</w:t>
      </w:r>
      <w:r w:rsidRPr="00FD6093">
        <w:rPr>
          <w:rFonts w:hint="cs"/>
          <w:rtl/>
        </w:rPr>
        <w:t xml:space="preserve"> </w:t>
      </w:r>
      <w:r w:rsidR="00DE6397">
        <w:rPr>
          <w:rFonts w:hint="cs"/>
          <w:rtl/>
        </w:rPr>
        <w:t xml:space="preserve">لمحطة أرضية </w:t>
      </w:r>
      <w:r w:rsidRPr="00FD6093">
        <w:rPr>
          <w:rFonts w:hint="cs"/>
          <w:rtl/>
        </w:rPr>
        <w:t xml:space="preserve">من أجل التغلب على </w:t>
      </w:r>
      <w:r w:rsidR="00DE6397">
        <w:rPr>
          <w:rFonts w:hint="cs"/>
          <w:rtl/>
        </w:rPr>
        <w:t>الخبو بسبب المطر</w:t>
      </w:r>
      <w:r w:rsidRPr="00FD6093">
        <w:rPr>
          <w:rFonts w:hint="cs"/>
          <w:rtl/>
        </w:rPr>
        <w:t xml:space="preserve">) بعد المؤتمر العالمي للاتصالات الراديوية لعام </w:t>
      </w:r>
      <w:r w:rsidRPr="00FD6093">
        <w:t>2000</w:t>
      </w:r>
      <w:r w:rsidRPr="00FD6093">
        <w:rPr>
          <w:rFonts w:hint="cs"/>
          <w:rtl/>
        </w:rPr>
        <w:t>.</w:t>
      </w:r>
    </w:p>
    <w:p w:rsidR="00FD6093" w:rsidRPr="00FD6093" w:rsidRDefault="00D4071E" w:rsidP="00D4071E">
      <w:pPr>
        <w:spacing w:before="160"/>
        <w:rPr>
          <w:rtl/>
        </w:rPr>
      </w:pPr>
      <w:r w:rsidRPr="00D4071E">
        <w:rPr>
          <w:rFonts w:hint="cs"/>
          <w:rtl/>
        </w:rPr>
        <w:t xml:space="preserve">ويسر المكتب أن يحيط الإدارات علماً أنه قد استكمل إعداد نسخة جديدة من تطبيق برمجية حساب التحكم في القدرة </w:t>
      </w:r>
      <w:r w:rsidRPr="00D4071E">
        <w:rPr>
          <w:lang w:val="en-GB"/>
        </w:rPr>
        <w:t>(GIBC/</w:t>
      </w:r>
      <w:r w:rsidRPr="00D4071E">
        <w:rPr>
          <w:b/>
          <w:bCs/>
          <w:lang w:val="en-GB"/>
        </w:rPr>
        <w:t>Power Control</w:t>
      </w:r>
      <w:r w:rsidRPr="00D4071E">
        <w:rPr>
          <w:lang w:val="en-GB"/>
        </w:rPr>
        <w:t xml:space="preserve"> version 1.0.0.0)</w:t>
      </w:r>
      <w:r w:rsidRPr="00D4071E">
        <w:rPr>
          <w:rFonts w:hint="cs"/>
          <w:rtl/>
        </w:rPr>
        <w:t xml:space="preserve"> باستعمال الإجراء الوارد في الفقرة </w:t>
      </w:r>
      <w:r w:rsidRPr="00D4071E">
        <w:t>11.3</w:t>
      </w:r>
      <w:r w:rsidRPr="00D4071E">
        <w:rPr>
          <w:rFonts w:hint="cs"/>
          <w:rtl/>
        </w:rPr>
        <w:t xml:space="preserve"> من الملحق </w:t>
      </w:r>
      <w:r w:rsidRPr="00D4071E">
        <w:t>3</w:t>
      </w:r>
      <w:r w:rsidRPr="00D4071E">
        <w:rPr>
          <w:rFonts w:hint="cs"/>
          <w:rtl/>
        </w:rPr>
        <w:t xml:space="preserve"> بالتذييل </w:t>
      </w:r>
      <w:r w:rsidRPr="00D4071E">
        <w:rPr>
          <w:b/>
          <w:bCs/>
        </w:rPr>
        <w:t>30A</w:t>
      </w:r>
      <w:r w:rsidRPr="00D4071E">
        <w:rPr>
          <w:rFonts w:hint="cs"/>
          <w:rtl/>
        </w:rPr>
        <w:t xml:space="preserve"> (المراجَع في المؤتمر العالمي للاتصالات الراديوية لعام </w:t>
      </w:r>
      <w:r w:rsidRPr="00D4071E">
        <w:t>2012</w:t>
      </w:r>
      <w:r w:rsidRPr="00D4071E">
        <w:rPr>
          <w:rFonts w:hint="cs"/>
          <w:rtl/>
        </w:rPr>
        <w:t xml:space="preserve">). وقد أدرج المكتب في هذه النسخة الجديدة جميع التعديلات على المعايير التقنية التي اعتمدتها المؤتمرات العالمية للاتصالات الراديوية منذ عام </w:t>
      </w:r>
      <w:r w:rsidRPr="00D4071E">
        <w:t>2000</w:t>
      </w:r>
      <w:r w:rsidRPr="00D4071E">
        <w:rPr>
          <w:rFonts w:hint="cs"/>
          <w:rtl/>
        </w:rPr>
        <w:t xml:space="preserve"> في بيئة برمجية جديدة.</w:t>
      </w:r>
    </w:p>
    <w:p w:rsidR="00FD6093" w:rsidRPr="00FD6093" w:rsidRDefault="00FD6093" w:rsidP="00865B69">
      <w:pPr>
        <w:spacing w:before="160"/>
        <w:rPr>
          <w:rtl/>
        </w:rPr>
      </w:pPr>
      <w:r w:rsidRPr="00FD6093">
        <w:rPr>
          <w:rFonts w:hint="cs"/>
          <w:rtl/>
        </w:rPr>
        <w:t xml:space="preserve">ووفقاً للحاشية </w:t>
      </w:r>
      <w:r w:rsidRPr="00FD6093">
        <w:t>32</w:t>
      </w:r>
      <w:r w:rsidRPr="00FD6093">
        <w:rPr>
          <w:rFonts w:hint="cs"/>
          <w:rtl/>
        </w:rPr>
        <w:t xml:space="preserve"> المذكورة أعلاه، قام المكتب بحساب قيم التحكم في القدرة فيما يتعلق بجميع التخصيصات في خطة وصلات التغذية للإقليمين </w:t>
      </w:r>
      <w:r w:rsidRPr="00FD6093">
        <w:t>1</w:t>
      </w:r>
      <w:r w:rsidRPr="00FD6093">
        <w:rPr>
          <w:rFonts w:hint="cs"/>
          <w:rtl/>
        </w:rPr>
        <w:t xml:space="preserve"> و</w:t>
      </w:r>
      <w:r w:rsidRPr="00FD6093">
        <w:t>3</w:t>
      </w:r>
      <w:r w:rsidRPr="00FD6093">
        <w:rPr>
          <w:rFonts w:hint="cs"/>
          <w:rtl/>
        </w:rPr>
        <w:t xml:space="preserve"> بصيغتها المعتمدة في المؤتمر العالمي للاتصالات الراديوية لعام </w:t>
      </w:r>
      <w:r w:rsidRPr="00FD6093">
        <w:t>2000</w:t>
      </w:r>
      <w:r w:rsidRPr="00FD6093">
        <w:rPr>
          <w:rFonts w:hint="cs"/>
          <w:rtl/>
        </w:rPr>
        <w:t xml:space="preserve">. </w:t>
      </w:r>
      <w:r w:rsidR="00DE6397">
        <w:rPr>
          <w:rFonts w:hint="cs"/>
          <w:rtl/>
        </w:rPr>
        <w:t xml:space="preserve">ونشر </w:t>
      </w:r>
      <w:r w:rsidRPr="00FD6093">
        <w:rPr>
          <w:rFonts w:hint="cs"/>
          <w:rtl/>
        </w:rPr>
        <w:t xml:space="preserve">المكتب القيم </w:t>
      </w:r>
      <w:r w:rsidR="00DE6397">
        <w:rPr>
          <w:rFonts w:hint="cs"/>
          <w:rtl/>
        </w:rPr>
        <w:t xml:space="preserve">المحسوبة </w:t>
      </w:r>
      <w:r w:rsidRPr="00FD6093">
        <w:rPr>
          <w:rFonts w:hint="cs"/>
          <w:rtl/>
        </w:rPr>
        <w:t>للتحكم في</w:t>
      </w:r>
      <w:r w:rsidR="00DE6397">
        <w:rPr>
          <w:rFonts w:hint="eastAsia"/>
          <w:rtl/>
        </w:rPr>
        <w:t> </w:t>
      </w:r>
      <w:r w:rsidRPr="00FD6093">
        <w:rPr>
          <w:rFonts w:hint="cs"/>
          <w:rtl/>
        </w:rPr>
        <w:t xml:space="preserve">القدرة في شكل جداول في الموقع الإلكتروني </w:t>
      </w:r>
      <w:r w:rsidR="00DE6397">
        <w:rPr>
          <w:rFonts w:hint="cs"/>
          <w:rtl/>
        </w:rPr>
        <w:t>للاتحاد</w:t>
      </w:r>
      <w:r w:rsidRPr="00FD6093">
        <w:rPr>
          <w:rFonts w:hint="cs"/>
          <w:rtl/>
        </w:rPr>
        <w:t xml:space="preserve"> في العنوان التالي: </w:t>
      </w:r>
    </w:p>
    <w:p w:rsidR="00FD6093" w:rsidRPr="00EB1923" w:rsidRDefault="00DE6397" w:rsidP="00DE6397">
      <w:pPr>
        <w:spacing w:before="240" w:after="240"/>
        <w:jc w:val="center"/>
        <w:rPr>
          <w:sz w:val="20"/>
          <w:szCs w:val="28"/>
          <w:rtl/>
        </w:rPr>
      </w:pPr>
      <w:r w:rsidRPr="00EB1923">
        <w:rPr>
          <w:b/>
          <w:bCs/>
          <w:color w:val="0000FF"/>
          <w:szCs w:val="22"/>
          <w:u w:val="single"/>
          <w:lang w:val="en-GB"/>
        </w:rPr>
        <w:t>http://www.itu.int/en/ITU-R/space/plans/Pages/AP30-30A.aspx</w:t>
      </w:r>
    </w:p>
    <w:p w:rsidR="00FD6093" w:rsidRPr="00FD6093" w:rsidRDefault="00FD6093" w:rsidP="00865B69">
      <w:pPr>
        <w:spacing w:before="160"/>
        <w:rPr>
          <w:rtl/>
        </w:rPr>
      </w:pPr>
      <w:r w:rsidRPr="00FD6093">
        <w:rPr>
          <w:rFonts w:hint="cs"/>
          <w:rtl/>
        </w:rPr>
        <w:t xml:space="preserve">وأُدرجت المعلومات ذاتها في النشرة الإعلامية الدولية للترددات (الخدمات الفضائية) رقم </w:t>
      </w:r>
      <w:r w:rsidRPr="00FD6093">
        <w:t>2762</w:t>
      </w:r>
      <w:r w:rsidRPr="00FD6093">
        <w:rPr>
          <w:rFonts w:hint="cs"/>
          <w:rtl/>
        </w:rPr>
        <w:t xml:space="preserve"> بتاريخ </w:t>
      </w:r>
      <w:r w:rsidRPr="00FD6093">
        <w:t>4</w:t>
      </w:r>
      <w:r w:rsidRPr="00FD6093">
        <w:rPr>
          <w:rFonts w:hint="cs"/>
          <w:rtl/>
        </w:rPr>
        <w:t xml:space="preserve"> فبراير </w:t>
      </w:r>
      <w:r w:rsidRPr="00FD6093">
        <w:t>2014</w:t>
      </w:r>
      <w:r w:rsidRPr="00FD6093">
        <w:rPr>
          <w:rFonts w:hint="cs"/>
          <w:rtl/>
        </w:rPr>
        <w:t xml:space="preserve"> في نسق </w:t>
      </w:r>
      <w:r w:rsidRPr="00FD6093">
        <w:rPr>
          <w:lang w:val="en-GB"/>
        </w:rPr>
        <w:t>DVD</w:t>
      </w:r>
      <w:r w:rsidR="00DE6397">
        <w:rPr>
          <w:lang w:val="en-GB"/>
        </w:rPr>
        <w:noBreakHyphen/>
      </w:r>
      <w:r w:rsidRPr="00FD6093">
        <w:rPr>
          <w:lang w:val="en-GB"/>
        </w:rPr>
        <w:t>ROM</w:t>
      </w:r>
      <w:r w:rsidRPr="00FD6093">
        <w:rPr>
          <w:rFonts w:hint="cs"/>
          <w:rtl/>
        </w:rPr>
        <w:t xml:space="preserve">. ويتاح تطبيق البرمجية </w:t>
      </w:r>
      <w:r w:rsidRPr="00FD6093">
        <w:rPr>
          <w:lang w:val="en-GB"/>
        </w:rPr>
        <w:t>GIBC/</w:t>
      </w:r>
      <w:r w:rsidRPr="00FD6093">
        <w:rPr>
          <w:b/>
          <w:bCs/>
          <w:lang w:val="en-GB"/>
        </w:rPr>
        <w:t>Power Control</w:t>
      </w:r>
      <w:r w:rsidRPr="00FD6093">
        <w:rPr>
          <w:rFonts w:hint="cs"/>
          <w:rtl/>
        </w:rPr>
        <w:t xml:space="preserve"> للإدارات أيضاً في هذه النشرة.</w:t>
      </w:r>
    </w:p>
    <w:p w:rsidR="00FD6093" w:rsidRPr="00FD6093" w:rsidRDefault="00FD6093" w:rsidP="00065D98">
      <w:pPr>
        <w:spacing w:before="160"/>
        <w:rPr>
          <w:rtl/>
        </w:rPr>
      </w:pPr>
      <w:r w:rsidRPr="00FD6093">
        <w:rPr>
          <w:rFonts w:hint="cs"/>
          <w:rtl/>
        </w:rPr>
        <w:t xml:space="preserve">وقام المكتب أيضاً بحساب قيم التحكم في القدرة فيما يتعلق بالتخصيصات في قائمة وصلات التغذية للإقليمين </w:t>
      </w:r>
      <w:r w:rsidRPr="00FD6093">
        <w:t>1</w:t>
      </w:r>
      <w:r w:rsidRPr="00FD6093">
        <w:rPr>
          <w:rFonts w:hint="cs"/>
          <w:rtl/>
        </w:rPr>
        <w:t xml:space="preserve"> و</w:t>
      </w:r>
      <w:r w:rsidRPr="00FD6093">
        <w:t>3</w:t>
      </w:r>
      <w:r w:rsidRPr="00FD6093">
        <w:rPr>
          <w:rFonts w:hint="cs"/>
          <w:rtl/>
        </w:rPr>
        <w:t xml:space="preserve"> مع طلب استعمال التحكم في القدرة (أي أن تقديم قيمة التحكم في القدرة تم بموجب بند البيانات </w:t>
      </w:r>
      <w:r w:rsidRPr="00FD6093">
        <w:t>8.C</w:t>
      </w:r>
      <w:r w:rsidRPr="00FD6093">
        <w:rPr>
          <w:rFonts w:hint="cs"/>
          <w:rtl/>
        </w:rPr>
        <w:t xml:space="preserve">.ط الوارد في التذييل </w:t>
      </w:r>
      <w:r w:rsidRPr="00FD6093">
        <w:rPr>
          <w:b/>
          <w:bCs/>
        </w:rPr>
        <w:t>4</w:t>
      </w:r>
      <w:r w:rsidRPr="00FD6093">
        <w:rPr>
          <w:rFonts w:hint="cs"/>
          <w:rtl/>
        </w:rPr>
        <w:t xml:space="preserve">). ونُشرت أيضاً القيم المحسوبة للتحكم في القدرة في الموقع الإلكتروني للاتحاد المشار إليه أعلاه وأُدرج في نفس النشرة الإعلامية الدولية للترددات رقم </w:t>
      </w:r>
      <w:r w:rsidRPr="00FD6093">
        <w:t>2762</w:t>
      </w:r>
      <w:r w:rsidRPr="00FD6093">
        <w:rPr>
          <w:rFonts w:hint="cs"/>
          <w:rtl/>
        </w:rPr>
        <w:t xml:space="preserve"> بتاريخ </w:t>
      </w:r>
      <w:r w:rsidRPr="00FD6093">
        <w:t>4</w:t>
      </w:r>
      <w:r w:rsidRPr="00FD6093">
        <w:rPr>
          <w:rFonts w:hint="cs"/>
          <w:rtl/>
        </w:rPr>
        <w:t xml:space="preserve"> فبراير </w:t>
      </w:r>
      <w:r w:rsidRPr="00FD6093">
        <w:t>2014</w:t>
      </w:r>
      <w:r w:rsidRPr="00FD6093">
        <w:rPr>
          <w:rFonts w:hint="cs"/>
          <w:rtl/>
        </w:rPr>
        <w:t>.</w:t>
      </w:r>
    </w:p>
    <w:p w:rsidR="00FD6093" w:rsidRPr="00FD6093" w:rsidRDefault="00FD6093" w:rsidP="00DE6397">
      <w:pPr>
        <w:rPr>
          <w:rtl/>
        </w:rPr>
      </w:pPr>
      <w:r w:rsidRPr="00FD6093">
        <w:rPr>
          <w:rFonts w:hint="cs"/>
          <w:rtl/>
        </w:rPr>
        <w:lastRenderedPageBreak/>
        <w:t xml:space="preserve">ومع ذلك، تشير الفقرة </w:t>
      </w:r>
      <w:r w:rsidRPr="00FD6093">
        <w:t>11.3</w:t>
      </w:r>
      <w:r w:rsidRPr="00FD6093">
        <w:rPr>
          <w:rFonts w:hint="cs"/>
          <w:rtl/>
        </w:rPr>
        <w:t xml:space="preserve"> من الملحق </w:t>
      </w:r>
      <w:r w:rsidRPr="00FD6093">
        <w:t>3</w:t>
      </w:r>
      <w:r w:rsidRPr="00FD6093">
        <w:rPr>
          <w:rFonts w:hint="cs"/>
          <w:rtl/>
        </w:rPr>
        <w:t xml:space="preserve"> بالتذييل </w:t>
      </w:r>
      <w:r w:rsidRPr="00FD6093">
        <w:rPr>
          <w:b/>
          <w:bCs/>
        </w:rPr>
        <w:t>30A</w:t>
      </w:r>
      <w:r w:rsidRPr="00FD6093">
        <w:rPr>
          <w:rFonts w:hint="cs"/>
          <w:rtl/>
        </w:rPr>
        <w:t xml:space="preserve"> والقواعد الإجرائية المرتبطة بها بشأن التحكم في القدرة إلى أن استعمال التحكم في القدرة ينطبق فقط على تخصيص في خطة وصلات التغذية للإقليمين </w:t>
      </w:r>
      <w:r w:rsidRPr="00FD6093">
        <w:t>1</w:t>
      </w:r>
      <w:r w:rsidRPr="00FD6093">
        <w:rPr>
          <w:rFonts w:hint="cs"/>
          <w:rtl/>
        </w:rPr>
        <w:t xml:space="preserve"> و</w:t>
      </w:r>
      <w:r w:rsidRPr="00FD6093">
        <w:t>3</w:t>
      </w:r>
      <w:r w:rsidRPr="00FD6093">
        <w:rPr>
          <w:rFonts w:hint="cs"/>
          <w:rtl/>
        </w:rPr>
        <w:t xml:space="preserve"> بدون الإشارة إلى تطبيق على القائمة. وسيرفع المكتب تقريراً بهذا التضارب إلى المؤتمر العالمي للاتصالات الراديوية لعام </w:t>
      </w:r>
      <w:r w:rsidRPr="00FD6093">
        <w:t>2015</w:t>
      </w:r>
      <w:r w:rsidRPr="00FD6093">
        <w:rPr>
          <w:rFonts w:hint="cs"/>
          <w:rtl/>
        </w:rPr>
        <w:t xml:space="preserve"> وسيسعى إلى الحصول على توضيح بشأن ما إذا كان يمكن لتخصيص في قائمة وصلات التغذية للإقليمين </w:t>
      </w:r>
      <w:r w:rsidRPr="00FD6093">
        <w:t>1</w:t>
      </w:r>
      <w:r w:rsidRPr="00FD6093">
        <w:rPr>
          <w:rFonts w:hint="cs"/>
          <w:rtl/>
        </w:rPr>
        <w:t xml:space="preserve"> و</w:t>
      </w:r>
      <w:r w:rsidRPr="00FD6093">
        <w:t>3</w:t>
      </w:r>
      <w:r w:rsidRPr="00FD6093">
        <w:rPr>
          <w:rFonts w:hint="cs"/>
          <w:rtl/>
        </w:rPr>
        <w:t xml:space="preserve"> استعمال التحكم في القدرة وفقاً للفقرة </w:t>
      </w:r>
      <w:r w:rsidRPr="00FD6093">
        <w:t>11.3</w:t>
      </w:r>
      <w:r w:rsidRPr="00FD6093">
        <w:rPr>
          <w:rFonts w:hint="cs"/>
          <w:rtl/>
        </w:rPr>
        <w:t xml:space="preserve"> من الملحق</w:t>
      </w:r>
      <w:r w:rsidR="00DE6397">
        <w:rPr>
          <w:rFonts w:hint="eastAsia"/>
          <w:rtl/>
        </w:rPr>
        <w:t> </w:t>
      </w:r>
      <w:r w:rsidRPr="00FD6093">
        <w:t>3</w:t>
      </w:r>
      <w:r w:rsidRPr="00FD6093">
        <w:rPr>
          <w:rFonts w:hint="cs"/>
          <w:rtl/>
        </w:rPr>
        <w:t xml:space="preserve"> بالتذييل </w:t>
      </w:r>
      <w:r w:rsidRPr="00FD6093">
        <w:rPr>
          <w:b/>
          <w:bCs/>
        </w:rPr>
        <w:t>30A</w:t>
      </w:r>
      <w:r w:rsidRPr="00FD6093">
        <w:rPr>
          <w:rFonts w:hint="cs"/>
          <w:rtl/>
        </w:rPr>
        <w:t>.</w:t>
      </w:r>
    </w:p>
    <w:p w:rsidR="00FD6093" w:rsidRPr="00FD6093" w:rsidRDefault="00FD6093" w:rsidP="00065D98">
      <w:pPr>
        <w:spacing w:before="160"/>
        <w:rPr>
          <w:rtl/>
        </w:rPr>
      </w:pPr>
      <w:r w:rsidRPr="00FD6093">
        <w:rPr>
          <w:rFonts w:hint="cs"/>
          <w:rtl/>
        </w:rPr>
        <w:t xml:space="preserve">وفيما يتعلق بالتخصيصات التي أدرجها المؤتمر العالمي للاتصالات الراديوية لعام </w:t>
      </w:r>
      <w:r w:rsidRPr="00FD6093">
        <w:t>2000</w:t>
      </w:r>
      <w:r w:rsidRPr="00FD6093">
        <w:rPr>
          <w:rFonts w:hint="cs"/>
          <w:rtl/>
        </w:rPr>
        <w:t xml:space="preserve"> في قائمة وصلات التغذية للإقليمين </w:t>
      </w:r>
      <w:r w:rsidRPr="00FD6093">
        <w:t>1</w:t>
      </w:r>
      <w:r w:rsidRPr="00FD6093">
        <w:rPr>
          <w:rFonts w:hint="cs"/>
          <w:rtl/>
        </w:rPr>
        <w:t xml:space="preserve"> و</w:t>
      </w:r>
      <w:r w:rsidRPr="00FD6093">
        <w:t>3</w:t>
      </w:r>
      <w:r w:rsidRPr="00FD6093">
        <w:rPr>
          <w:rFonts w:hint="cs"/>
          <w:rtl/>
        </w:rPr>
        <w:t xml:space="preserve">، فإن قاعدة البيانات </w:t>
      </w:r>
      <w:r w:rsidRPr="00FD6093">
        <w:rPr>
          <w:lang w:val="en-GB"/>
        </w:rPr>
        <w:t>SPS_ALL</w:t>
      </w:r>
      <w:r w:rsidRPr="00FD6093">
        <w:rPr>
          <w:rFonts w:hint="cs"/>
          <w:rtl/>
        </w:rPr>
        <w:t xml:space="preserve"> المستعملة من أجل الحساب تتضمن فقط التخصيصات </w:t>
      </w:r>
      <w:r w:rsidR="00DE6397">
        <w:rPr>
          <w:rFonts w:hint="cs"/>
          <w:rtl/>
        </w:rPr>
        <w:t xml:space="preserve">الواردة </w:t>
      </w:r>
      <w:r w:rsidRPr="00FD6093">
        <w:rPr>
          <w:rFonts w:hint="cs"/>
          <w:rtl/>
        </w:rPr>
        <w:t>في خطة وصلات التغذية للإقليمين</w:t>
      </w:r>
      <w:r w:rsidR="00DE6397">
        <w:rPr>
          <w:rFonts w:hint="eastAsia"/>
          <w:rtl/>
        </w:rPr>
        <w:t> </w:t>
      </w:r>
      <w:r w:rsidRPr="00FD6093">
        <w:t>1</w:t>
      </w:r>
      <w:r w:rsidRPr="00FD6093">
        <w:rPr>
          <w:rFonts w:hint="cs"/>
          <w:rtl/>
        </w:rPr>
        <w:t xml:space="preserve"> و</w:t>
      </w:r>
      <w:r w:rsidRPr="00FD6093">
        <w:t>3</w:t>
      </w:r>
      <w:r w:rsidRPr="00FD6093">
        <w:rPr>
          <w:rFonts w:hint="cs"/>
          <w:rtl/>
        </w:rPr>
        <w:t xml:space="preserve"> وتلك الواردة في القائمة بصيغتها المعتمدة في المؤتمر </w:t>
      </w:r>
      <w:r w:rsidRPr="00FD6093">
        <w:t>WRC-2000</w:t>
      </w:r>
      <w:r w:rsidRPr="00FD6093">
        <w:rPr>
          <w:rFonts w:hint="cs"/>
          <w:rtl/>
        </w:rPr>
        <w:t xml:space="preserve"> مع إزالة التخصيصات التي ألغيت فيما بعد.</w:t>
      </w:r>
    </w:p>
    <w:p w:rsidR="00FD6093" w:rsidRPr="00FD6093" w:rsidRDefault="00FD6093" w:rsidP="00065D98">
      <w:pPr>
        <w:spacing w:before="160"/>
        <w:rPr>
          <w:rtl/>
        </w:rPr>
      </w:pPr>
      <w:r w:rsidRPr="00FD6093">
        <w:rPr>
          <w:rFonts w:hint="cs"/>
          <w:rtl/>
        </w:rPr>
        <w:t xml:space="preserve">وبالنسبة إلى التخصيصات المدرجة بعد المؤتمر </w:t>
      </w:r>
      <w:r w:rsidRPr="00FD6093">
        <w:t>WRC-2000</w:t>
      </w:r>
      <w:r w:rsidRPr="00FD6093">
        <w:rPr>
          <w:rFonts w:hint="cs"/>
          <w:rtl/>
        </w:rPr>
        <w:t xml:space="preserve"> في قائمة وصلات التغذية للإقليمين </w:t>
      </w:r>
      <w:r w:rsidRPr="00FD6093">
        <w:t>1</w:t>
      </w:r>
      <w:r w:rsidRPr="00FD6093">
        <w:rPr>
          <w:rFonts w:hint="cs"/>
          <w:rtl/>
        </w:rPr>
        <w:t xml:space="preserve"> و</w:t>
      </w:r>
      <w:r w:rsidRPr="00FD6093">
        <w:t>3</w:t>
      </w:r>
      <w:r w:rsidRPr="00FD6093">
        <w:rPr>
          <w:rFonts w:hint="cs"/>
          <w:rtl/>
        </w:rPr>
        <w:t xml:space="preserve">، استعمل المكتب قاعدة البيانات </w:t>
      </w:r>
      <w:r w:rsidRPr="00FD6093">
        <w:rPr>
          <w:lang w:val="en-GB"/>
        </w:rPr>
        <w:t>SPS_ALL_IFIC2759</w:t>
      </w:r>
      <w:r w:rsidRPr="00FD6093">
        <w:rPr>
          <w:rFonts w:hint="cs"/>
          <w:rtl/>
        </w:rPr>
        <w:t xml:space="preserve"> المؤرخة </w:t>
      </w:r>
      <w:r w:rsidRPr="00FD6093">
        <w:t>10</w:t>
      </w:r>
      <w:r w:rsidRPr="00FD6093">
        <w:rPr>
          <w:rFonts w:hint="cs"/>
          <w:rtl/>
        </w:rPr>
        <w:t xml:space="preserve"> ديسمبر </w:t>
      </w:r>
      <w:r w:rsidRPr="00FD6093">
        <w:t>2013</w:t>
      </w:r>
      <w:r w:rsidRPr="00FD6093">
        <w:rPr>
          <w:rFonts w:hint="cs"/>
          <w:rtl/>
        </w:rPr>
        <w:t xml:space="preserve"> كمصدر </w:t>
      </w:r>
      <w:r w:rsidR="00DE6397">
        <w:rPr>
          <w:rFonts w:hint="cs"/>
          <w:rtl/>
        </w:rPr>
        <w:t>ل</w:t>
      </w:r>
      <w:r w:rsidRPr="00FD6093">
        <w:rPr>
          <w:rFonts w:hint="cs"/>
          <w:rtl/>
        </w:rPr>
        <w:t xml:space="preserve">بيانات </w:t>
      </w:r>
      <w:r w:rsidR="00DE6397">
        <w:rPr>
          <w:rFonts w:hint="cs"/>
          <w:rtl/>
        </w:rPr>
        <w:t xml:space="preserve">المدخلات </w:t>
      </w:r>
      <w:r w:rsidRPr="00FD6093">
        <w:rPr>
          <w:rFonts w:hint="cs"/>
          <w:rtl/>
        </w:rPr>
        <w:t xml:space="preserve">الأساسية بغية تجنب القيود غير الضرورية التي تفرضها التبليغات التي أُلغيت بالفعل. وأُنشئت قاعدة البيانات </w:t>
      </w:r>
      <w:r w:rsidRPr="00FD6093">
        <w:rPr>
          <w:lang w:val="en-GB"/>
        </w:rPr>
        <w:t>SPS_ALL</w:t>
      </w:r>
      <w:r w:rsidRPr="00FD6093">
        <w:rPr>
          <w:rFonts w:hint="cs"/>
          <w:rtl/>
        </w:rPr>
        <w:t xml:space="preserve"> المقابلة المستعملة للحساب فيما يخص كل تخصيص على النحو التالي:</w:t>
      </w:r>
    </w:p>
    <w:p w:rsidR="00FD6093" w:rsidRPr="00FD6093" w:rsidRDefault="00DE6397" w:rsidP="00065D98">
      <w:pPr>
        <w:pStyle w:val="enumlev1"/>
        <w:spacing w:before="160"/>
        <w:rPr>
          <w:rtl/>
        </w:rPr>
      </w:pPr>
      <w:r>
        <w:t>•</w:t>
      </w:r>
      <w:r w:rsidR="00FD6093" w:rsidRPr="00FD6093">
        <w:rPr>
          <w:rFonts w:hint="cs"/>
          <w:rtl/>
        </w:rPr>
        <w:tab/>
        <w:t xml:space="preserve">أُلغيت أولاً من قاعدة البيانات </w:t>
      </w:r>
      <w:r w:rsidR="00FD6093" w:rsidRPr="00FD6093">
        <w:rPr>
          <w:lang w:val="en-GB"/>
        </w:rPr>
        <w:t>SPS_ALL_IFIC2759</w:t>
      </w:r>
      <w:r w:rsidR="00FD6093" w:rsidRPr="00FD6093">
        <w:rPr>
          <w:rFonts w:hint="cs"/>
          <w:rtl/>
        </w:rPr>
        <w:t xml:space="preserve">، تخصيصات وصلات التغذية بما في ذلك التبليغات المعلقة بموجب المادة </w:t>
      </w:r>
      <w:r w:rsidR="00FD6093" w:rsidRPr="00FD6093">
        <w:t>4</w:t>
      </w:r>
      <w:r w:rsidR="00FD6093" w:rsidRPr="00FD6093">
        <w:rPr>
          <w:rFonts w:hint="cs"/>
          <w:rtl/>
        </w:rPr>
        <w:t xml:space="preserve"> التي لم تكن موجودة في تاريخ استلام طلب الإدراج في قائمة التخصيص المعني أو قبل هذا التاريخ؛</w:t>
      </w:r>
    </w:p>
    <w:p w:rsidR="00FD6093" w:rsidRPr="00FD6093" w:rsidRDefault="00DE6397" w:rsidP="00065D98">
      <w:pPr>
        <w:pStyle w:val="enumlev1"/>
        <w:spacing w:before="160"/>
        <w:rPr>
          <w:rtl/>
        </w:rPr>
      </w:pPr>
      <w:proofErr w:type="gramStart"/>
      <w:r>
        <w:t>•</w:t>
      </w:r>
      <w:r w:rsidR="00FD6093" w:rsidRPr="00FD6093">
        <w:rPr>
          <w:rFonts w:hint="cs"/>
          <w:rtl/>
        </w:rPr>
        <w:tab/>
        <w:t xml:space="preserve">تم تغيير حالة التخصيصات في القائمة التي استُلم بشأنها </w:t>
      </w:r>
      <w:r>
        <w:rPr>
          <w:rFonts w:hint="cs"/>
          <w:rtl/>
        </w:rPr>
        <w:t xml:space="preserve">تبليغ مقدم </w:t>
      </w:r>
      <w:r w:rsidR="00FD6093" w:rsidRPr="00FD6093">
        <w:rPr>
          <w:rFonts w:hint="cs"/>
          <w:rtl/>
        </w:rPr>
        <w:t xml:space="preserve">للنشر في الجزء </w:t>
      </w:r>
      <w:r w:rsidR="00FD6093" w:rsidRPr="00FD6093">
        <w:t>B</w:t>
      </w:r>
      <w:r w:rsidR="00FD6093" w:rsidRPr="00FD6093">
        <w:rPr>
          <w:rFonts w:hint="cs"/>
          <w:rtl/>
        </w:rPr>
        <w:t xml:space="preserve"> بعد تاريخ استلام طلب الإدراج في قائمة التخصيص المعني لتصبح حالة معلقة (استلام فقط) بغية إبراز الحالة في وقت إدراجها في القائمة.</w:t>
      </w:r>
      <w:proofErr w:type="gramEnd"/>
    </w:p>
    <w:p w:rsidR="00FD6093" w:rsidRPr="00FD6093" w:rsidRDefault="00FD6093" w:rsidP="00065D98">
      <w:pPr>
        <w:spacing w:before="160"/>
        <w:rPr>
          <w:rtl/>
        </w:rPr>
      </w:pPr>
      <w:r w:rsidRPr="00FD6093">
        <w:rPr>
          <w:rFonts w:hint="cs"/>
          <w:rtl/>
        </w:rPr>
        <w:t xml:space="preserve">وفيما يتعلق بإدخال تخصيص جديد في قائمة وصلات التغذية للإقليمين </w:t>
      </w:r>
      <w:r w:rsidRPr="00FD6093">
        <w:t>1</w:t>
      </w:r>
      <w:r w:rsidRPr="00FD6093">
        <w:rPr>
          <w:rFonts w:hint="cs"/>
          <w:rtl/>
        </w:rPr>
        <w:t xml:space="preserve"> و</w:t>
      </w:r>
      <w:r w:rsidRPr="00FD6093">
        <w:t>3</w:t>
      </w:r>
      <w:r w:rsidRPr="00FD6093">
        <w:rPr>
          <w:rFonts w:hint="cs"/>
          <w:rtl/>
        </w:rPr>
        <w:t xml:space="preserve"> بموجب التذييل </w:t>
      </w:r>
      <w:r w:rsidRPr="00FD6093">
        <w:rPr>
          <w:b/>
          <w:bCs/>
        </w:rPr>
        <w:t>30A</w:t>
      </w:r>
      <w:r w:rsidRPr="00FD6093">
        <w:rPr>
          <w:rFonts w:hint="cs"/>
          <w:rtl/>
        </w:rPr>
        <w:t xml:space="preserve"> بعد النشرة الإعلامية الدولية للترددات (الخدمات الفضائية) رقم </w:t>
      </w:r>
      <w:r w:rsidRPr="00FD6093">
        <w:t>2759</w:t>
      </w:r>
      <w:r w:rsidRPr="00FD6093">
        <w:rPr>
          <w:rFonts w:hint="cs"/>
          <w:rtl/>
        </w:rPr>
        <w:t xml:space="preserve"> بتاريخ </w:t>
      </w:r>
      <w:r w:rsidRPr="00FD6093">
        <w:t>10</w:t>
      </w:r>
      <w:r w:rsidRPr="00FD6093">
        <w:rPr>
          <w:rFonts w:hint="cs"/>
          <w:rtl/>
        </w:rPr>
        <w:t xml:space="preserve"> ديسمبر </w:t>
      </w:r>
      <w:r w:rsidRPr="00FD6093">
        <w:t>2013</w:t>
      </w:r>
      <w:r w:rsidRPr="00FD6093">
        <w:rPr>
          <w:rFonts w:hint="cs"/>
          <w:rtl/>
        </w:rPr>
        <w:t xml:space="preserve"> مع طلب استعمال التحكم في القدرة، ستُحسب قيمة التحكم في القدرة باستعمال قاعدة البيانات </w:t>
      </w:r>
      <w:r w:rsidRPr="00FD6093">
        <w:rPr>
          <w:lang w:val="en-GB"/>
        </w:rPr>
        <w:t>SPS_ALL</w:t>
      </w:r>
      <w:r w:rsidRPr="00FD6093">
        <w:rPr>
          <w:rFonts w:hint="cs"/>
          <w:rtl/>
        </w:rPr>
        <w:t xml:space="preserve"> في وقت إدراج التخصيص الجديد في الخطة.</w:t>
      </w:r>
    </w:p>
    <w:p w:rsidR="00FD6093" w:rsidRPr="00FD6093" w:rsidRDefault="00FD6093" w:rsidP="00065D98">
      <w:pPr>
        <w:spacing w:before="160"/>
        <w:rPr>
          <w:rtl/>
        </w:rPr>
      </w:pPr>
      <w:r w:rsidRPr="00FD6093">
        <w:rPr>
          <w:rFonts w:hint="cs"/>
          <w:rtl/>
        </w:rPr>
        <w:t xml:space="preserve">ويظل ال‍مكتب تحت تصرف إدارتكم من خلال البريد الإلكتروني التالي </w:t>
      </w:r>
      <w:r w:rsidRPr="00FD6093">
        <w:rPr>
          <w:b/>
          <w:bCs/>
          <w:lang w:val="en-GB"/>
        </w:rPr>
        <w:t>brmail@itu.int</w:t>
      </w:r>
      <w:r w:rsidRPr="00FD6093">
        <w:rPr>
          <w:rFonts w:hint="cs"/>
          <w:rtl/>
        </w:rPr>
        <w:t xml:space="preserve"> لتزويدها بأي توضيح قد تطلبه فيما يتعلق بال‍موضوعات التي تتناولها هذه الرسالة</w:t>
      </w:r>
      <w:r w:rsidRPr="00FD6093">
        <w:rPr>
          <w:rFonts w:hint="eastAsia"/>
          <w:rtl/>
        </w:rPr>
        <w:t> </w:t>
      </w:r>
      <w:r w:rsidRPr="00FD6093">
        <w:rPr>
          <w:rFonts w:hint="cs"/>
          <w:rtl/>
        </w:rPr>
        <w:t>ال‍معممة.</w:t>
      </w:r>
    </w:p>
    <w:p w:rsidR="00FD6093" w:rsidRPr="00FD6093" w:rsidRDefault="00FD6093" w:rsidP="00065D98">
      <w:pPr>
        <w:spacing w:before="160"/>
        <w:rPr>
          <w:rtl/>
        </w:rPr>
      </w:pPr>
      <w:r w:rsidRPr="00FD6093">
        <w:rPr>
          <w:rFonts w:hint="cs"/>
          <w:rtl/>
        </w:rPr>
        <w:t>وتفضلوا بقبول فائق التقدير والاحترام.</w:t>
      </w:r>
    </w:p>
    <w:p w:rsidR="00FD6093" w:rsidRPr="00FD6093" w:rsidRDefault="00FD6093" w:rsidP="0088258B">
      <w:pPr>
        <w:spacing w:before="1440"/>
        <w:jc w:val="left"/>
        <w:rPr>
          <w:rtl/>
        </w:rPr>
      </w:pPr>
      <w:r w:rsidRPr="00FD6093">
        <w:rPr>
          <w:rFonts w:hint="cs"/>
          <w:rtl/>
        </w:rPr>
        <w:t>فرانسوا رانسي</w:t>
      </w:r>
      <w:r w:rsidRPr="00FD6093">
        <w:rPr>
          <w:rFonts w:hint="cs"/>
          <w:rtl/>
        </w:rPr>
        <w:br/>
      </w:r>
      <w:r w:rsidR="0088258B">
        <w:rPr>
          <w:rFonts w:hint="cs"/>
          <w:rtl/>
        </w:rPr>
        <w:t>ال</w:t>
      </w:r>
      <w:r w:rsidRPr="00FD6093">
        <w:rPr>
          <w:rFonts w:hint="cs"/>
          <w:rtl/>
        </w:rPr>
        <w:t>مدير</w:t>
      </w:r>
    </w:p>
    <w:p w:rsidR="00FD6093" w:rsidRPr="00DE6397" w:rsidRDefault="00FD6093" w:rsidP="00DE6397">
      <w:pPr>
        <w:tabs>
          <w:tab w:val="clear" w:pos="794"/>
          <w:tab w:val="left" w:pos="283"/>
        </w:tabs>
        <w:spacing w:before="1540"/>
        <w:rPr>
          <w:b/>
          <w:bCs/>
          <w:sz w:val="18"/>
          <w:szCs w:val="24"/>
          <w:rtl/>
        </w:rPr>
      </w:pPr>
      <w:r w:rsidRPr="00DE6397">
        <w:rPr>
          <w:rFonts w:hint="cs"/>
          <w:b/>
          <w:bCs/>
          <w:sz w:val="18"/>
          <w:szCs w:val="24"/>
          <w:rtl/>
        </w:rPr>
        <w:t>التوزيع:</w:t>
      </w:r>
    </w:p>
    <w:p w:rsidR="00FD6093" w:rsidRPr="00DE6397" w:rsidRDefault="00FD6093" w:rsidP="00DE6397">
      <w:pPr>
        <w:tabs>
          <w:tab w:val="clear" w:pos="794"/>
          <w:tab w:val="left" w:pos="283"/>
        </w:tabs>
        <w:spacing w:before="60"/>
        <w:rPr>
          <w:sz w:val="18"/>
          <w:szCs w:val="24"/>
        </w:rPr>
      </w:pPr>
      <w:r w:rsidRPr="00DE6397">
        <w:rPr>
          <w:rFonts w:hint="cs"/>
          <w:sz w:val="18"/>
          <w:szCs w:val="24"/>
          <w:rtl/>
        </w:rPr>
        <w:t>-</w:t>
      </w:r>
      <w:r w:rsidRPr="00DE6397">
        <w:rPr>
          <w:rFonts w:hint="cs"/>
          <w:sz w:val="18"/>
          <w:szCs w:val="24"/>
          <w:rtl/>
        </w:rPr>
        <w:tab/>
        <w:t>إدارات الدول الأعضاء في الات‍حاد الدولي للاتصالات</w:t>
      </w:r>
    </w:p>
    <w:p w:rsidR="00FD6093" w:rsidRPr="00DE6397" w:rsidRDefault="00FD6093" w:rsidP="00DE6397">
      <w:pPr>
        <w:tabs>
          <w:tab w:val="clear" w:pos="794"/>
          <w:tab w:val="left" w:pos="283"/>
        </w:tabs>
        <w:spacing w:before="60"/>
        <w:rPr>
          <w:sz w:val="18"/>
          <w:szCs w:val="24"/>
          <w:rtl/>
        </w:rPr>
      </w:pPr>
      <w:r w:rsidRPr="00DE6397">
        <w:rPr>
          <w:rFonts w:hint="cs"/>
          <w:sz w:val="18"/>
          <w:szCs w:val="24"/>
          <w:rtl/>
        </w:rPr>
        <w:t>-</w:t>
      </w:r>
      <w:r w:rsidRPr="00DE6397">
        <w:rPr>
          <w:rFonts w:hint="cs"/>
          <w:sz w:val="18"/>
          <w:szCs w:val="24"/>
          <w:rtl/>
        </w:rPr>
        <w:tab/>
        <w:t>أعضاء ل‍جنة لوائح الراديو</w:t>
      </w:r>
    </w:p>
    <w:sectPr w:rsidR="00FD6093" w:rsidRPr="00DE6397" w:rsidSect="00561E68">
      <w:headerReference w:type="default" r:id="rId9"/>
      <w:headerReference w:type="firs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3C" w:rsidRDefault="000B383C" w:rsidP="0040641C">
      <w:r>
        <w:separator/>
      </w:r>
    </w:p>
    <w:p w:rsidR="000B383C" w:rsidRDefault="000B383C" w:rsidP="0040641C"/>
    <w:p w:rsidR="000B383C" w:rsidRDefault="000B383C" w:rsidP="0040641C"/>
  </w:endnote>
  <w:endnote w:type="continuationSeparator" w:id="0">
    <w:p w:rsidR="000B383C" w:rsidRDefault="000B383C" w:rsidP="0040641C">
      <w:r>
        <w:continuationSeparator/>
      </w:r>
    </w:p>
    <w:p w:rsidR="000B383C" w:rsidRDefault="000B383C" w:rsidP="0040641C"/>
    <w:p w:rsidR="000B383C" w:rsidRDefault="000B383C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67" w:rsidRPr="00196667" w:rsidRDefault="00196667" w:rsidP="00196667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196667">
      <w:rPr>
        <w:rFonts w:cs="Calibri"/>
        <w:sz w:val="18"/>
        <w:szCs w:val="18"/>
        <w:lang w:bidi="ar-SA"/>
      </w:rPr>
      <w:t>International Telecommunication Union • Place des Nations • CH</w:t>
    </w:r>
    <w:r w:rsidRPr="00196667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196667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196667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196667">
      <w:rPr>
        <w:rFonts w:cs="Calibri"/>
        <w:sz w:val="18"/>
        <w:szCs w:val="18"/>
        <w:lang w:bidi="ar-SA"/>
      </w:rPr>
      <w:t xml:space="preserve"> • </w:t>
    </w:r>
    <w:hyperlink r:id="rId2" w:history="1">
      <w:r w:rsidRPr="00196667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196667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3C" w:rsidRDefault="000B383C" w:rsidP="0040641C">
      <w:r>
        <w:t>____________________</w:t>
      </w:r>
    </w:p>
    <w:p w:rsidR="000B383C" w:rsidRDefault="000B383C" w:rsidP="0040641C"/>
    <w:p w:rsidR="000B383C" w:rsidRDefault="000B383C" w:rsidP="0040641C"/>
  </w:footnote>
  <w:footnote w:type="continuationSeparator" w:id="0">
    <w:p w:rsidR="000B383C" w:rsidRDefault="000B383C" w:rsidP="0040641C">
      <w:r>
        <w:continuationSeparator/>
      </w:r>
    </w:p>
    <w:p w:rsidR="000B383C" w:rsidRDefault="000B383C" w:rsidP="0040641C"/>
    <w:p w:rsidR="000B383C" w:rsidRDefault="000B383C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FBE" w:rsidRPr="009169F3" w:rsidRDefault="00C00FBE" w:rsidP="00C00FBE">
    <w:pPr>
      <w:pStyle w:val="Header"/>
      <w:bidi w:val="0"/>
      <w:rPr>
        <w:rStyle w:val="PageNumber"/>
        <w:rFonts w:cs="Calibri"/>
        <w:szCs w:val="18"/>
      </w:rPr>
    </w:pPr>
    <w:r w:rsidRPr="009169F3">
      <w:rPr>
        <w:szCs w:val="18"/>
      </w:rPr>
      <w:t xml:space="preserve">- </w:t>
    </w:r>
    <w:r w:rsidRPr="009169F3">
      <w:rPr>
        <w:rStyle w:val="PageNumber"/>
        <w:rFonts w:cs="Calibri"/>
        <w:szCs w:val="18"/>
      </w:rPr>
      <w:fldChar w:fldCharType="begin"/>
    </w:r>
    <w:r w:rsidRPr="009169F3">
      <w:rPr>
        <w:rStyle w:val="PageNumber"/>
        <w:rFonts w:cs="Calibri"/>
        <w:szCs w:val="18"/>
      </w:rPr>
      <w:instrText xml:space="preserve"> PAGE </w:instrText>
    </w:r>
    <w:r w:rsidRPr="009169F3">
      <w:rPr>
        <w:rStyle w:val="PageNumber"/>
        <w:rFonts w:cs="Calibri"/>
        <w:szCs w:val="18"/>
      </w:rPr>
      <w:fldChar w:fldCharType="separate"/>
    </w:r>
    <w:r w:rsidR="00D4071E">
      <w:rPr>
        <w:rStyle w:val="PageNumber"/>
        <w:rFonts w:cs="Calibri"/>
        <w:noProof/>
        <w:szCs w:val="18"/>
      </w:rPr>
      <w:t>2</w:t>
    </w:r>
    <w:r w:rsidRPr="009169F3">
      <w:rPr>
        <w:rStyle w:val="PageNumber"/>
        <w:rFonts w:cs="Calibri"/>
        <w:szCs w:val="18"/>
      </w:rPr>
      <w:fldChar w:fldCharType="end"/>
    </w:r>
    <w:r w:rsidRPr="009169F3">
      <w:rPr>
        <w:rStyle w:val="PageNumber"/>
        <w:rFonts w:cs="Calibri"/>
        <w:szCs w:val="18"/>
      </w:rPr>
      <w:t xml:space="preserve"> -</w:t>
    </w:r>
  </w:p>
  <w:p w:rsidR="00702A71" w:rsidRPr="00C00FBE" w:rsidRDefault="00702A71" w:rsidP="00C00FBE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val="es-ES_tradnl" w:eastAsia="zh-CN" w:bidi="ar-SA"/>
      </w:rPr>
      <w:drawing>
        <wp:inline distT="0" distB="0" distL="0" distR="0" wp14:anchorId="3112EB41" wp14:editId="3DD7FB5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16557"/>
    <w:rsid w:val="00017A26"/>
    <w:rsid w:val="0002125E"/>
    <w:rsid w:val="00031D4D"/>
    <w:rsid w:val="000344E0"/>
    <w:rsid w:val="0004450B"/>
    <w:rsid w:val="000508A6"/>
    <w:rsid w:val="00054872"/>
    <w:rsid w:val="0006263F"/>
    <w:rsid w:val="00065D98"/>
    <w:rsid w:val="00073B79"/>
    <w:rsid w:val="00085262"/>
    <w:rsid w:val="00092980"/>
    <w:rsid w:val="000A1733"/>
    <w:rsid w:val="000B383C"/>
    <w:rsid w:val="000B6EB6"/>
    <w:rsid w:val="000D7F39"/>
    <w:rsid w:val="000E15C1"/>
    <w:rsid w:val="000E64DA"/>
    <w:rsid w:val="000E7F52"/>
    <w:rsid w:val="000F514C"/>
    <w:rsid w:val="000F527D"/>
    <w:rsid w:val="0010737B"/>
    <w:rsid w:val="00113392"/>
    <w:rsid w:val="0011732F"/>
    <w:rsid w:val="001214B1"/>
    <w:rsid w:val="00125B91"/>
    <w:rsid w:val="00140D19"/>
    <w:rsid w:val="00141387"/>
    <w:rsid w:val="0014170D"/>
    <w:rsid w:val="00151B87"/>
    <w:rsid w:val="00154A1B"/>
    <w:rsid w:val="00170228"/>
    <w:rsid w:val="00182849"/>
    <w:rsid w:val="001907F7"/>
    <w:rsid w:val="00195371"/>
    <w:rsid w:val="00196667"/>
    <w:rsid w:val="001B20D0"/>
    <w:rsid w:val="001C35A1"/>
    <w:rsid w:val="001E15AA"/>
    <w:rsid w:val="002014D0"/>
    <w:rsid w:val="00206E2B"/>
    <w:rsid w:val="00210B45"/>
    <w:rsid w:val="002162E8"/>
    <w:rsid w:val="0021748E"/>
    <w:rsid w:val="00227F65"/>
    <w:rsid w:val="002917EF"/>
    <w:rsid w:val="00293DFC"/>
    <w:rsid w:val="002A1A01"/>
    <w:rsid w:val="002B2BD6"/>
    <w:rsid w:val="002D34D0"/>
    <w:rsid w:val="002D3C0E"/>
    <w:rsid w:val="002F09E5"/>
    <w:rsid w:val="002F6E4F"/>
    <w:rsid w:val="00314DBE"/>
    <w:rsid w:val="00343581"/>
    <w:rsid w:val="003609AC"/>
    <w:rsid w:val="00362963"/>
    <w:rsid w:val="00362E1A"/>
    <w:rsid w:val="0036449B"/>
    <w:rsid w:val="003674A6"/>
    <w:rsid w:val="00372310"/>
    <w:rsid w:val="0037417F"/>
    <w:rsid w:val="003A59BD"/>
    <w:rsid w:val="003B1B5D"/>
    <w:rsid w:val="003D3993"/>
    <w:rsid w:val="003E10AB"/>
    <w:rsid w:val="003F18DA"/>
    <w:rsid w:val="003F34DC"/>
    <w:rsid w:val="003F47F3"/>
    <w:rsid w:val="003F67B6"/>
    <w:rsid w:val="0040641C"/>
    <w:rsid w:val="004100F4"/>
    <w:rsid w:val="004140EA"/>
    <w:rsid w:val="00420283"/>
    <w:rsid w:val="00434805"/>
    <w:rsid w:val="004406E3"/>
    <w:rsid w:val="0044634B"/>
    <w:rsid w:val="00463906"/>
    <w:rsid w:val="004646F6"/>
    <w:rsid w:val="00471862"/>
    <w:rsid w:val="0047339A"/>
    <w:rsid w:val="00473950"/>
    <w:rsid w:val="004A39BE"/>
    <w:rsid w:val="004A5AB1"/>
    <w:rsid w:val="004C1881"/>
    <w:rsid w:val="004D02E7"/>
    <w:rsid w:val="004E5B14"/>
    <w:rsid w:val="004E6DF4"/>
    <w:rsid w:val="004F26AE"/>
    <w:rsid w:val="0050504B"/>
    <w:rsid w:val="00514374"/>
    <w:rsid w:val="005227E5"/>
    <w:rsid w:val="005271B2"/>
    <w:rsid w:val="0052748E"/>
    <w:rsid w:val="0055521C"/>
    <w:rsid w:val="00561E68"/>
    <w:rsid w:val="005644A7"/>
    <w:rsid w:val="00595800"/>
    <w:rsid w:val="005B7E8A"/>
    <w:rsid w:val="005C6634"/>
    <w:rsid w:val="005E4BF8"/>
    <w:rsid w:val="005E4CC0"/>
    <w:rsid w:val="005F130D"/>
    <w:rsid w:val="005F7F4C"/>
    <w:rsid w:val="00601F36"/>
    <w:rsid w:val="0060519A"/>
    <w:rsid w:val="006136BC"/>
    <w:rsid w:val="006168A6"/>
    <w:rsid w:val="00624358"/>
    <w:rsid w:val="006246F2"/>
    <w:rsid w:val="0062547B"/>
    <w:rsid w:val="0062794A"/>
    <w:rsid w:val="00630566"/>
    <w:rsid w:val="006367A0"/>
    <w:rsid w:val="00637C9D"/>
    <w:rsid w:val="00644787"/>
    <w:rsid w:val="0065473C"/>
    <w:rsid w:val="00671B36"/>
    <w:rsid w:val="00671BDB"/>
    <w:rsid w:val="00677A51"/>
    <w:rsid w:val="006861A5"/>
    <w:rsid w:val="00691FC4"/>
    <w:rsid w:val="00692108"/>
    <w:rsid w:val="006924A4"/>
    <w:rsid w:val="006958F3"/>
    <w:rsid w:val="00696236"/>
    <w:rsid w:val="006A089A"/>
    <w:rsid w:val="006A3167"/>
    <w:rsid w:val="006B3F95"/>
    <w:rsid w:val="006B46DE"/>
    <w:rsid w:val="006B73A8"/>
    <w:rsid w:val="006D56C8"/>
    <w:rsid w:val="006D716C"/>
    <w:rsid w:val="006F34A6"/>
    <w:rsid w:val="006F7F76"/>
    <w:rsid w:val="00702A71"/>
    <w:rsid w:val="00706736"/>
    <w:rsid w:val="0071106C"/>
    <w:rsid w:val="00714C2F"/>
    <w:rsid w:val="00714F54"/>
    <w:rsid w:val="0072052E"/>
    <w:rsid w:val="00726EAD"/>
    <w:rsid w:val="00745C10"/>
    <w:rsid w:val="00746900"/>
    <w:rsid w:val="00756479"/>
    <w:rsid w:val="0076544C"/>
    <w:rsid w:val="007708D2"/>
    <w:rsid w:val="00786A5F"/>
    <w:rsid w:val="00790041"/>
    <w:rsid w:val="007A59D7"/>
    <w:rsid w:val="007D2EBF"/>
    <w:rsid w:val="00802D84"/>
    <w:rsid w:val="00811467"/>
    <w:rsid w:val="00813125"/>
    <w:rsid w:val="00816F91"/>
    <w:rsid w:val="00851629"/>
    <w:rsid w:val="00865B69"/>
    <w:rsid w:val="0087580E"/>
    <w:rsid w:val="00881D43"/>
    <w:rsid w:val="0088258B"/>
    <w:rsid w:val="00884BDA"/>
    <w:rsid w:val="008A2811"/>
    <w:rsid w:val="008C1B2C"/>
    <w:rsid w:val="008C29C9"/>
    <w:rsid w:val="008D4874"/>
    <w:rsid w:val="008E27BB"/>
    <w:rsid w:val="0090114E"/>
    <w:rsid w:val="00924F4C"/>
    <w:rsid w:val="009320CD"/>
    <w:rsid w:val="0093776F"/>
    <w:rsid w:val="00942FE4"/>
    <w:rsid w:val="00952750"/>
    <w:rsid w:val="0096482F"/>
    <w:rsid w:val="009676DC"/>
    <w:rsid w:val="009746CA"/>
    <w:rsid w:val="00980D6F"/>
    <w:rsid w:val="00981208"/>
    <w:rsid w:val="009846D5"/>
    <w:rsid w:val="00990497"/>
    <w:rsid w:val="00996765"/>
    <w:rsid w:val="009B72D3"/>
    <w:rsid w:val="009C18F1"/>
    <w:rsid w:val="009D3F00"/>
    <w:rsid w:val="009D4F69"/>
    <w:rsid w:val="009E14F3"/>
    <w:rsid w:val="009E1957"/>
    <w:rsid w:val="00A0132D"/>
    <w:rsid w:val="00A06093"/>
    <w:rsid w:val="00A24798"/>
    <w:rsid w:val="00A50BAB"/>
    <w:rsid w:val="00A62D1F"/>
    <w:rsid w:val="00A73630"/>
    <w:rsid w:val="00A77413"/>
    <w:rsid w:val="00A974D1"/>
    <w:rsid w:val="00AA3E8C"/>
    <w:rsid w:val="00AB05FA"/>
    <w:rsid w:val="00AB07C5"/>
    <w:rsid w:val="00AB3E38"/>
    <w:rsid w:val="00AC62A7"/>
    <w:rsid w:val="00AE1F6F"/>
    <w:rsid w:val="00AE438C"/>
    <w:rsid w:val="00AF46D6"/>
    <w:rsid w:val="00AF4F7D"/>
    <w:rsid w:val="00B02760"/>
    <w:rsid w:val="00B04CCE"/>
    <w:rsid w:val="00B05BCE"/>
    <w:rsid w:val="00B12C70"/>
    <w:rsid w:val="00B14E56"/>
    <w:rsid w:val="00B264A0"/>
    <w:rsid w:val="00B32AA8"/>
    <w:rsid w:val="00B4103A"/>
    <w:rsid w:val="00B43876"/>
    <w:rsid w:val="00B46FCF"/>
    <w:rsid w:val="00B57344"/>
    <w:rsid w:val="00B77485"/>
    <w:rsid w:val="00B83DAF"/>
    <w:rsid w:val="00B84527"/>
    <w:rsid w:val="00B87E04"/>
    <w:rsid w:val="00B90CB9"/>
    <w:rsid w:val="00BC2598"/>
    <w:rsid w:val="00BC52EA"/>
    <w:rsid w:val="00BC7AAE"/>
    <w:rsid w:val="00BD0349"/>
    <w:rsid w:val="00BE5F6F"/>
    <w:rsid w:val="00BE6E26"/>
    <w:rsid w:val="00BF1A36"/>
    <w:rsid w:val="00BF3448"/>
    <w:rsid w:val="00C00FBE"/>
    <w:rsid w:val="00C019B1"/>
    <w:rsid w:val="00C33785"/>
    <w:rsid w:val="00C45226"/>
    <w:rsid w:val="00C46998"/>
    <w:rsid w:val="00C76AFF"/>
    <w:rsid w:val="00C77E1E"/>
    <w:rsid w:val="00C81F32"/>
    <w:rsid w:val="00CA481F"/>
    <w:rsid w:val="00CB4CC7"/>
    <w:rsid w:val="00CB4F19"/>
    <w:rsid w:val="00CC2FF4"/>
    <w:rsid w:val="00CC3601"/>
    <w:rsid w:val="00CE5A31"/>
    <w:rsid w:val="00D30E95"/>
    <w:rsid w:val="00D35752"/>
    <w:rsid w:val="00D4071E"/>
    <w:rsid w:val="00D4383B"/>
    <w:rsid w:val="00D43B54"/>
    <w:rsid w:val="00D463D0"/>
    <w:rsid w:val="00D476B6"/>
    <w:rsid w:val="00D5513C"/>
    <w:rsid w:val="00D61395"/>
    <w:rsid w:val="00D673DD"/>
    <w:rsid w:val="00D744B4"/>
    <w:rsid w:val="00D84FA8"/>
    <w:rsid w:val="00DC601C"/>
    <w:rsid w:val="00DD016E"/>
    <w:rsid w:val="00DD0467"/>
    <w:rsid w:val="00DD5832"/>
    <w:rsid w:val="00DE6397"/>
    <w:rsid w:val="00DF7245"/>
    <w:rsid w:val="00E3357F"/>
    <w:rsid w:val="00E44457"/>
    <w:rsid w:val="00E5049F"/>
    <w:rsid w:val="00E6414D"/>
    <w:rsid w:val="00E673B8"/>
    <w:rsid w:val="00E756E4"/>
    <w:rsid w:val="00E77927"/>
    <w:rsid w:val="00E926BA"/>
    <w:rsid w:val="00EA2D43"/>
    <w:rsid w:val="00EB1923"/>
    <w:rsid w:val="00EC0925"/>
    <w:rsid w:val="00EC710F"/>
    <w:rsid w:val="00EC731E"/>
    <w:rsid w:val="00EF5695"/>
    <w:rsid w:val="00F2198B"/>
    <w:rsid w:val="00F24131"/>
    <w:rsid w:val="00F3354A"/>
    <w:rsid w:val="00F42740"/>
    <w:rsid w:val="00F46E86"/>
    <w:rsid w:val="00F47641"/>
    <w:rsid w:val="00F610B5"/>
    <w:rsid w:val="00F61324"/>
    <w:rsid w:val="00F7302E"/>
    <w:rsid w:val="00F82F1D"/>
    <w:rsid w:val="00F95E20"/>
    <w:rsid w:val="00F9795D"/>
    <w:rsid w:val="00FA7539"/>
    <w:rsid w:val="00FB05F7"/>
    <w:rsid w:val="00FB0A7B"/>
    <w:rsid w:val="00FB2217"/>
    <w:rsid w:val="00FC4463"/>
    <w:rsid w:val="00FC6453"/>
    <w:rsid w:val="00FD6093"/>
    <w:rsid w:val="00FD6F2C"/>
    <w:rsid w:val="00FE02E1"/>
    <w:rsid w:val="00FE4524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paragraph" w:customStyle="1" w:styleId="AnnexNoBR">
    <w:name w:val="Annex_No_BR"/>
    <w:basedOn w:val="AnnexNotitle"/>
    <w:rsid w:val="00561E68"/>
    <w:rPr>
      <w:rFonts w:ascii="Times New Roman" w:hAnsi="Times New Roman Bold"/>
      <w:b w:val="0"/>
      <w:sz w:val="26"/>
      <w:szCs w:val="36"/>
      <w:lang w:val="en-GB"/>
    </w:rPr>
  </w:style>
  <w:style w:type="character" w:styleId="FollowedHyperlink">
    <w:name w:val="FollowedHyperlink"/>
    <w:basedOn w:val="DefaultParagraphFont"/>
    <w:rsid w:val="006246F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A50BAB"/>
    <w:rPr>
      <w:rFonts w:ascii="Calibri" w:hAnsi="Calibri" w:cs="Traditional Arabic"/>
      <w:noProof/>
      <w:sz w:val="16"/>
      <w:szCs w:val="30"/>
      <w:lang w:eastAsia="en-US" w:bidi="ar-EG"/>
    </w:rPr>
  </w:style>
  <w:style w:type="paragraph" w:styleId="BalloonText">
    <w:name w:val="Balloon Text"/>
    <w:basedOn w:val="Normal"/>
    <w:link w:val="BalloonTextChar"/>
    <w:rsid w:val="00C00FB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0FBE"/>
    <w:rPr>
      <w:rFonts w:ascii="Tahoma" w:hAnsi="Tahoma" w:cs="Tahoma"/>
      <w:sz w:val="16"/>
      <w:szCs w:val="16"/>
      <w:lang w:eastAsia="en-US" w:bidi="ar-EG"/>
    </w:rPr>
  </w:style>
  <w:style w:type="character" w:customStyle="1" w:styleId="HeaderChar">
    <w:name w:val="Header Char"/>
    <w:basedOn w:val="DefaultParagraphFont"/>
    <w:link w:val="Header"/>
    <w:rsid w:val="00C00FBE"/>
    <w:rPr>
      <w:rFonts w:ascii="Calibri" w:hAnsi="Calibri" w:cs="Traditional Arabic"/>
      <w:sz w:val="18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paragraph" w:customStyle="1" w:styleId="AnnexNoBR">
    <w:name w:val="Annex_No_BR"/>
    <w:basedOn w:val="AnnexNotitle"/>
    <w:rsid w:val="00561E68"/>
    <w:rPr>
      <w:rFonts w:ascii="Times New Roman" w:hAnsi="Times New Roman Bold"/>
      <w:b w:val="0"/>
      <w:sz w:val="26"/>
      <w:szCs w:val="36"/>
      <w:lang w:val="en-GB"/>
    </w:rPr>
  </w:style>
  <w:style w:type="character" w:styleId="FollowedHyperlink">
    <w:name w:val="FollowedHyperlink"/>
    <w:basedOn w:val="DefaultParagraphFont"/>
    <w:rsid w:val="006246F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A50BAB"/>
    <w:rPr>
      <w:rFonts w:ascii="Calibri" w:hAnsi="Calibri" w:cs="Traditional Arabic"/>
      <w:noProof/>
      <w:sz w:val="16"/>
      <w:szCs w:val="30"/>
      <w:lang w:eastAsia="en-US" w:bidi="ar-EG"/>
    </w:rPr>
  </w:style>
  <w:style w:type="paragraph" w:styleId="BalloonText">
    <w:name w:val="Balloon Text"/>
    <w:basedOn w:val="Normal"/>
    <w:link w:val="BalloonTextChar"/>
    <w:rsid w:val="00C00FB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0FBE"/>
    <w:rPr>
      <w:rFonts w:ascii="Tahoma" w:hAnsi="Tahoma" w:cs="Tahoma"/>
      <w:sz w:val="16"/>
      <w:szCs w:val="16"/>
      <w:lang w:eastAsia="en-US" w:bidi="ar-EG"/>
    </w:rPr>
  </w:style>
  <w:style w:type="character" w:customStyle="1" w:styleId="HeaderChar">
    <w:name w:val="Header Char"/>
    <w:basedOn w:val="DefaultParagraphFont"/>
    <w:link w:val="Header"/>
    <w:rsid w:val="00C00FBE"/>
    <w:rPr>
      <w:rFonts w:ascii="Calibri" w:hAnsi="Calibri" w:cs="Traditional Arabic"/>
      <w:sz w:val="18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DD28-EC61-4CF1-B92B-DD323FA3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4406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Da Silva, Antoine</cp:lastModifiedBy>
  <cp:revision>13</cp:revision>
  <cp:lastPrinted>2014-01-15T11:13:00Z</cp:lastPrinted>
  <dcterms:created xsi:type="dcterms:W3CDTF">2014-01-15T10:42:00Z</dcterms:created>
  <dcterms:modified xsi:type="dcterms:W3CDTF">2014-01-20T13:16:00Z</dcterms:modified>
</cp:coreProperties>
</file>