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AD6636">
        <w:tc>
          <w:tcPr>
            <w:tcW w:w="9889" w:type="dxa"/>
            <w:gridSpan w:val="3"/>
            <w:shd w:val="clear" w:color="auto" w:fill="auto"/>
          </w:tcPr>
          <w:p w:rsidR="00E53DCE" w:rsidRDefault="00E53DCE" w:rsidP="00AD6636">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AD6636">
            <w:pPr>
              <w:spacing w:before="0"/>
              <w:jc w:val="left"/>
              <w:rPr>
                <w:rFonts w:cstheme="minorHAnsi"/>
                <w:b/>
                <w:bCs/>
                <w:color w:val="808080"/>
                <w:sz w:val="28"/>
                <w:szCs w:val="28"/>
                <w:lang w:val="en-GB"/>
              </w:rPr>
            </w:pPr>
          </w:p>
          <w:p w:rsidR="00E53DCE" w:rsidRPr="00AF70DA" w:rsidRDefault="00E53DCE" w:rsidP="00AD6636">
            <w:pPr>
              <w:spacing w:before="0"/>
              <w:jc w:val="left"/>
              <w:rPr>
                <w:rFonts w:cs="Times New Roman Bold"/>
                <w:b/>
                <w:bCs/>
                <w:color w:val="808080"/>
                <w:sz w:val="28"/>
                <w:szCs w:val="28"/>
                <w:lang w:val="en-GB"/>
              </w:rPr>
            </w:pPr>
          </w:p>
        </w:tc>
      </w:tr>
      <w:tr w:rsidR="00E53DCE" w:rsidRPr="00BB6318" w:rsidTr="00AD6636">
        <w:tc>
          <w:tcPr>
            <w:tcW w:w="7054" w:type="dxa"/>
            <w:gridSpan w:val="2"/>
            <w:shd w:val="clear" w:color="auto" w:fill="auto"/>
          </w:tcPr>
          <w:p w:rsidR="00E53DCE" w:rsidRPr="00BB6318" w:rsidRDefault="00E53DCE" w:rsidP="00AD6636">
            <w:pPr>
              <w:spacing w:before="0"/>
              <w:jc w:val="left"/>
              <w:rPr>
                <w:sz w:val="24"/>
                <w:szCs w:val="24"/>
                <w:lang w:val="fr-CH"/>
              </w:rPr>
            </w:pPr>
            <w:proofErr w:type="spellStart"/>
            <w:r w:rsidRPr="00BB6318">
              <w:rPr>
                <w:sz w:val="24"/>
                <w:szCs w:val="24"/>
              </w:rPr>
              <w:t>Circulaire</w:t>
            </w:r>
            <w:proofErr w:type="spellEnd"/>
            <w:r w:rsidRPr="00BB6318">
              <w:rPr>
                <w:sz w:val="24"/>
                <w:szCs w:val="24"/>
              </w:rPr>
              <w:t xml:space="preserve"> administrative</w:t>
            </w:r>
          </w:p>
          <w:p w:rsidR="00E53DCE" w:rsidRPr="00BB6318" w:rsidRDefault="00E53DCE" w:rsidP="00145796">
            <w:pPr>
              <w:spacing w:before="0"/>
              <w:jc w:val="left"/>
              <w:rPr>
                <w:b/>
                <w:bCs/>
                <w:sz w:val="24"/>
                <w:szCs w:val="24"/>
                <w:lang w:val="fr-CH"/>
              </w:rPr>
            </w:pPr>
            <w:r w:rsidRPr="00BB6318">
              <w:rPr>
                <w:b/>
                <w:bCs/>
                <w:sz w:val="24"/>
                <w:szCs w:val="24"/>
                <w:lang w:val="fr-CH"/>
              </w:rPr>
              <w:t>C</w:t>
            </w:r>
            <w:r w:rsidR="00145796" w:rsidRPr="00BB6318">
              <w:rPr>
                <w:b/>
                <w:bCs/>
                <w:sz w:val="24"/>
                <w:szCs w:val="24"/>
                <w:lang w:val="fr-CH"/>
              </w:rPr>
              <w:t>R</w:t>
            </w:r>
            <w:r w:rsidRPr="00BB6318">
              <w:rPr>
                <w:b/>
                <w:bCs/>
                <w:sz w:val="24"/>
                <w:szCs w:val="24"/>
                <w:lang w:val="fr-CH"/>
              </w:rPr>
              <w:t>/</w:t>
            </w:r>
            <w:r w:rsidR="00145796" w:rsidRPr="00BB6318">
              <w:rPr>
                <w:b/>
                <w:bCs/>
                <w:sz w:val="24"/>
                <w:szCs w:val="24"/>
                <w:lang w:val="fr-CH"/>
              </w:rPr>
              <w:t>347</w:t>
            </w:r>
          </w:p>
        </w:tc>
        <w:tc>
          <w:tcPr>
            <w:tcW w:w="2835" w:type="dxa"/>
            <w:shd w:val="clear" w:color="auto" w:fill="auto"/>
          </w:tcPr>
          <w:p w:rsidR="00E53DCE" w:rsidRPr="00BB6318" w:rsidRDefault="000265C7" w:rsidP="00B84EFB">
            <w:pPr>
              <w:spacing w:before="0"/>
              <w:jc w:val="right"/>
              <w:rPr>
                <w:sz w:val="24"/>
                <w:szCs w:val="24"/>
                <w:lang w:val="en-GB"/>
              </w:rPr>
            </w:pPr>
            <w:r w:rsidRPr="00BB6318">
              <w:rPr>
                <w:sz w:val="24"/>
                <w:szCs w:val="24"/>
              </w:rPr>
              <w:t>L</w:t>
            </w:r>
            <w:r w:rsidR="00E53DCE" w:rsidRPr="00BB6318">
              <w:rPr>
                <w:sz w:val="24"/>
                <w:szCs w:val="24"/>
              </w:rPr>
              <w:t xml:space="preserve">e </w:t>
            </w:r>
            <w:sdt>
              <w:sdtPr>
                <w:rPr>
                  <w:rFonts w:cs="Arial"/>
                  <w:sz w:val="24"/>
                  <w:szCs w:val="24"/>
                </w:rPr>
                <w:alias w:val="Date"/>
                <w:tag w:val="Date"/>
                <w:id w:val="444659277"/>
                <w:placeholder>
                  <w:docPart w:val="A23152CA1C68445AAC0848CDE0EAE57B"/>
                </w:placeholder>
                <w:date>
                  <w:dateFormat w:val="d MMMM yyyy"/>
                  <w:lid w:val="fr-FR"/>
                  <w:storeMappedDataAs w:val="date"/>
                  <w:calendar w:val="gregorian"/>
                </w:date>
              </w:sdtPr>
              <w:sdtEndPr/>
              <w:sdtContent>
                <w:r w:rsidR="00B84EFB">
                  <w:rPr>
                    <w:rFonts w:cs="Arial"/>
                    <w:sz w:val="24"/>
                    <w:szCs w:val="24"/>
                  </w:rPr>
                  <w:t>6</w:t>
                </w:r>
                <w:r w:rsidR="00E53DCE" w:rsidRPr="00BB6318">
                  <w:rPr>
                    <w:rFonts w:cs="Arial"/>
                    <w:sz w:val="24"/>
                    <w:szCs w:val="24"/>
                  </w:rPr>
                  <w:t xml:space="preserve"> </w:t>
                </w:r>
                <w:proofErr w:type="spellStart"/>
                <w:r w:rsidR="00E53DCE" w:rsidRPr="00BB6318">
                  <w:rPr>
                    <w:rFonts w:cs="Arial"/>
                    <w:sz w:val="24"/>
                    <w:szCs w:val="24"/>
                  </w:rPr>
                  <w:t>ma</w:t>
                </w:r>
                <w:r w:rsidR="00145796" w:rsidRPr="00BB6318">
                  <w:rPr>
                    <w:rFonts w:cs="Arial"/>
                    <w:sz w:val="24"/>
                    <w:szCs w:val="24"/>
                  </w:rPr>
                  <w:t>i</w:t>
                </w:r>
                <w:proofErr w:type="spellEnd"/>
                <w:r w:rsidR="00E53DCE" w:rsidRPr="00BB6318">
                  <w:rPr>
                    <w:rFonts w:cs="Arial"/>
                    <w:sz w:val="24"/>
                    <w:szCs w:val="24"/>
                  </w:rPr>
                  <w:t xml:space="preserve"> 2013</w:t>
                </w:r>
              </w:sdtContent>
            </w:sdt>
          </w:p>
        </w:tc>
      </w:tr>
      <w:tr w:rsidR="00E53DCE" w:rsidRPr="00AD6636" w:rsidTr="00AD6636">
        <w:tc>
          <w:tcPr>
            <w:tcW w:w="9889" w:type="dxa"/>
            <w:gridSpan w:val="3"/>
            <w:shd w:val="clear" w:color="auto" w:fill="auto"/>
          </w:tcPr>
          <w:p w:rsidR="00E53DCE" w:rsidRPr="00AD6636" w:rsidRDefault="00E53DCE" w:rsidP="00AD6636">
            <w:pPr>
              <w:spacing w:before="0"/>
              <w:jc w:val="left"/>
              <w:rPr>
                <w:rFonts w:asciiTheme="minorHAnsi" w:hAnsiTheme="minorHAnsi" w:cs="Arial"/>
                <w:sz w:val="24"/>
                <w:szCs w:val="24"/>
                <w:lang w:val="en-GB"/>
              </w:rPr>
            </w:pPr>
          </w:p>
        </w:tc>
      </w:tr>
      <w:tr w:rsidR="00E53DCE" w:rsidRPr="00AD6636" w:rsidTr="00AD6636">
        <w:tc>
          <w:tcPr>
            <w:tcW w:w="9889" w:type="dxa"/>
            <w:gridSpan w:val="3"/>
            <w:shd w:val="clear" w:color="auto" w:fill="auto"/>
          </w:tcPr>
          <w:p w:rsidR="00E53DCE" w:rsidRPr="00AD6636" w:rsidRDefault="00E53DCE" w:rsidP="00AD6636">
            <w:pPr>
              <w:spacing w:before="0"/>
              <w:jc w:val="left"/>
              <w:rPr>
                <w:rFonts w:asciiTheme="minorHAnsi" w:hAnsiTheme="minorHAnsi"/>
                <w:sz w:val="24"/>
                <w:szCs w:val="24"/>
              </w:rPr>
            </w:pPr>
          </w:p>
        </w:tc>
      </w:tr>
      <w:tr w:rsidR="00E53DCE" w:rsidRPr="00AC78AE" w:rsidTr="00AD6636">
        <w:tc>
          <w:tcPr>
            <w:tcW w:w="9889" w:type="dxa"/>
            <w:gridSpan w:val="3"/>
            <w:shd w:val="clear" w:color="auto" w:fill="auto"/>
          </w:tcPr>
          <w:p w:rsidR="00E53DCE" w:rsidRPr="00BB6318" w:rsidRDefault="00EE1A57" w:rsidP="00145796">
            <w:pPr>
              <w:spacing w:before="0"/>
              <w:jc w:val="left"/>
              <w:rPr>
                <w:b/>
                <w:bCs/>
                <w:sz w:val="24"/>
                <w:szCs w:val="24"/>
                <w:lang w:val="fr-CH"/>
              </w:rPr>
            </w:pPr>
            <w:r w:rsidRPr="00BB6318">
              <w:rPr>
                <w:b/>
                <w:bCs/>
                <w:sz w:val="24"/>
                <w:szCs w:val="24"/>
                <w:lang w:val="fr-CH"/>
              </w:rPr>
              <w:t>Aux Administrations des Etats Membres de l'UIT</w:t>
            </w:r>
            <w:r w:rsidR="00145796" w:rsidRPr="00BB6318">
              <w:rPr>
                <w:b/>
                <w:sz w:val="24"/>
                <w:szCs w:val="24"/>
                <w:lang w:val="fr-CH"/>
              </w:rPr>
              <w:t xml:space="preserve"> et aux Membres du </w:t>
            </w:r>
            <w:r w:rsidR="00145796" w:rsidRPr="00BB6318">
              <w:rPr>
                <w:b/>
                <w:sz w:val="24"/>
                <w:szCs w:val="24"/>
                <w:lang w:val="fr-CH"/>
              </w:rPr>
              <w:br/>
              <w:t>Secteur des radiocommunications</w:t>
            </w:r>
          </w:p>
          <w:p w:rsidR="00E53DCE" w:rsidRPr="00BB6318" w:rsidRDefault="00E53DCE" w:rsidP="00AD6636">
            <w:pPr>
              <w:spacing w:before="0"/>
              <w:jc w:val="left"/>
              <w:rPr>
                <w:b/>
                <w:bCs/>
                <w:sz w:val="24"/>
                <w:szCs w:val="24"/>
                <w:lang w:val="fr-CH"/>
              </w:rPr>
            </w:pPr>
          </w:p>
        </w:tc>
      </w:tr>
      <w:tr w:rsidR="00E53DCE" w:rsidRPr="00AC78AE" w:rsidTr="00AD6636">
        <w:tc>
          <w:tcPr>
            <w:tcW w:w="9889" w:type="dxa"/>
            <w:gridSpan w:val="3"/>
            <w:shd w:val="clear" w:color="auto" w:fill="auto"/>
          </w:tcPr>
          <w:p w:rsidR="00E53DCE" w:rsidRPr="00AD6636" w:rsidRDefault="00E53DCE" w:rsidP="00AD6636">
            <w:pPr>
              <w:spacing w:before="0"/>
              <w:jc w:val="left"/>
              <w:rPr>
                <w:rFonts w:asciiTheme="minorHAnsi" w:hAnsiTheme="minorHAnsi"/>
                <w:sz w:val="24"/>
                <w:szCs w:val="24"/>
                <w:lang w:val="fr-CH"/>
              </w:rPr>
            </w:pPr>
          </w:p>
        </w:tc>
      </w:tr>
      <w:tr w:rsidR="00E53DCE" w:rsidRPr="00AC78AE" w:rsidTr="00AD6636">
        <w:tc>
          <w:tcPr>
            <w:tcW w:w="9889" w:type="dxa"/>
            <w:gridSpan w:val="3"/>
            <w:shd w:val="clear" w:color="auto" w:fill="auto"/>
          </w:tcPr>
          <w:p w:rsidR="00E53DCE" w:rsidRPr="00AD6636" w:rsidRDefault="00E53DCE" w:rsidP="00AD6636">
            <w:pPr>
              <w:spacing w:before="0"/>
              <w:jc w:val="left"/>
              <w:rPr>
                <w:rFonts w:asciiTheme="minorHAnsi" w:hAnsiTheme="minorHAnsi"/>
                <w:sz w:val="24"/>
                <w:szCs w:val="24"/>
                <w:lang w:val="fr-CH"/>
              </w:rPr>
            </w:pPr>
          </w:p>
        </w:tc>
      </w:tr>
      <w:tr w:rsidR="00E53DCE" w:rsidRPr="00AC78AE" w:rsidTr="00AD6636">
        <w:tc>
          <w:tcPr>
            <w:tcW w:w="1526" w:type="dxa"/>
            <w:shd w:val="clear" w:color="auto" w:fill="auto"/>
          </w:tcPr>
          <w:p w:rsidR="00E53DCE" w:rsidRPr="00BB6318" w:rsidRDefault="00E53DCE" w:rsidP="00AD6636">
            <w:pPr>
              <w:tabs>
                <w:tab w:val="clear" w:pos="1588"/>
                <w:tab w:val="left" w:pos="1560"/>
              </w:tabs>
              <w:spacing w:before="0"/>
              <w:jc w:val="left"/>
              <w:rPr>
                <w:sz w:val="24"/>
                <w:szCs w:val="24"/>
                <w:lang w:val="fr-CH"/>
              </w:rPr>
            </w:pPr>
            <w:r w:rsidRPr="00BB6318">
              <w:rPr>
                <w:sz w:val="24"/>
                <w:szCs w:val="24"/>
                <w:lang w:val="fr-CH"/>
              </w:rPr>
              <w:t>Sujet:</w:t>
            </w:r>
          </w:p>
        </w:tc>
        <w:tc>
          <w:tcPr>
            <w:tcW w:w="8363" w:type="dxa"/>
            <w:gridSpan w:val="2"/>
            <w:vMerge w:val="restart"/>
            <w:shd w:val="clear" w:color="auto" w:fill="auto"/>
          </w:tcPr>
          <w:p w:rsidR="00E53DCE" w:rsidRPr="00BB6318" w:rsidRDefault="00145796" w:rsidP="00AD6636">
            <w:pPr>
              <w:tabs>
                <w:tab w:val="clear" w:pos="1588"/>
                <w:tab w:val="left" w:pos="1560"/>
              </w:tabs>
              <w:spacing w:before="0"/>
              <w:rPr>
                <w:b/>
                <w:bCs/>
                <w:sz w:val="24"/>
                <w:szCs w:val="24"/>
                <w:lang w:val="fr-CH"/>
              </w:rPr>
            </w:pPr>
            <w:r w:rsidRPr="00BB6318">
              <w:rPr>
                <w:b/>
                <w:bCs/>
                <w:sz w:val="24"/>
                <w:szCs w:val="24"/>
                <w:lang w:val="fr-CH"/>
              </w:rPr>
              <w:t>Atelier concernant les télécommunications internationales par satellite sur le thème: "L'UIT et les défis du XXIe siècle: éviter les brouillages préjudiciables causés aux systèmes à satellites" (Genève, 10 juin 2013)</w:t>
            </w:r>
          </w:p>
        </w:tc>
      </w:tr>
      <w:tr w:rsidR="00E53DCE" w:rsidRPr="00AC78AE" w:rsidTr="00AD6636">
        <w:tc>
          <w:tcPr>
            <w:tcW w:w="1526" w:type="dxa"/>
            <w:shd w:val="clear" w:color="auto" w:fill="auto"/>
          </w:tcPr>
          <w:p w:rsidR="00E53DCE" w:rsidRPr="00BB6318" w:rsidRDefault="00E53DCE" w:rsidP="00AD6636">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BB6318" w:rsidRDefault="00E53DCE" w:rsidP="00AD6636">
            <w:pPr>
              <w:tabs>
                <w:tab w:val="clear" w:pos="1588"/>
                <w:tab w:val="left" w:pos="1560"/>
              </w:tabs>
              <w:spacing w:before="0"/>
              <w:rPr>
                <w:b/>
                <w:bCs/>
                <w:sz w:val="24"/>
                <w:szCs w:val="24"/>
                <w:lang w:val="fr-CH"/>
              </w:rPr>
            </w:pPr>
          </w:p>
        </w:tc>
      </w:tr>
      <w:tr w:rsidR="00E53DCE" w:rsidRPr="00AC78AE" w:rsidTr="00AD6636">
        <w:tc>
          <w:tcPr>
            <w:tcW w:w="1526" w:type="dxa"/>
            <w:shd w:val="clear" w:color="auto" w:fill="auto"/>
          </w:tcPr>
          <w:p w:rsidR="00E53DCE" w:rsidRPr="00BB6318" w:rsidRDefault="00E53DCE" w:rsidP="00AD6636">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BB6318" w:rsidRDefault="00E53DCE" w:rsidP="00AD6636">
            <w:pPr>
              <w:tabs>
                <w:tab w:val="clear" w:pos="1588"/>
                <w:tab w:val="left" w:pos="1560"/>
              </w:tabs>
              <w:spacing w:before="0"/>
              <w:rPr>
                <w:b/>
                <w:bCs/>
                <w:sz w:val="24"/>
                <w:szCs w:val="24"/>
                <w:lang w:val="fr-CH"/>
              </w:rPr>
            </w:pPr>
          </w:p>
        </w:tc>
      </w:tr>
      <w:tr w:rsidR="00E53DCE" w:rsidRPr="00AC78AE" w:rsidTr="00AD6636">
        <w:tc>
          <w:tcPr>
            <w:tcW w:w="9889" w:type="dxa"/>
            <w:gridSpan w:val="3"/>
            <w:shd w:val="clear" w:color="auto" w:fill="auto"/>
          </w:tcPr>
          <w:p w:rsidR="00E53DCE" w:rsidRPr="00BB6318" w:rsidRDefault="00E53DCE" w:rsidP="00E53DCE">
            <w:pPr>
              <w:tabs>
                <w:tab w:val="clear" w:pos="1588"/>
                <w:tab w:val="left" w:pos="1560"/>
              </w:tabs>
              <w:spacing w:before="0"/>
              <w:jc w:val="left"/>
              <w:rPr>
                <w:sz w:val="24"/>
                <w:szCs w:val="24"/>
                <w:lang w:val="fr-CH"/>
              </w:rPr>
            </w:pPr>
          </w:p>
        </w:tc>
      </w:tr>
      <w:tr w:rsidR="00E53DCE" w:rsidRPr="00AC78AE" w:rsidTr="00AD6636">
        <w:tc>
          <w:tcPr>
            <w:tcW w:w="9889" w:type="dxa"/>
            <w:gridSpan w:val="3"/>
            <w:shd w:val="clear" w:color="auto" w:fill="auto"/>
          </w:tcPr>
          <w:p w:rsidR="00E53DCE" w:rsidRPr="00AD6636" w:rsidRDefault="00E53DCE" w:rsidP="00AD6636">
            <w:pPr>
              <w:spacing w:before="0"/>
              <w:jc w:val="left"/>
              <w:rPr>
                <w:rFonts w:asciiTheme="minorHAnsi" w:hAnsiTheme="minorHAnsi"/>
                <w:b/>
                <w:bCs/>
                <w:sz w:val="24"/>
                <w:szCs w:val="24"/>
                <w:lang w:val="fr-CH"/>
              </w:rPr>
            </w:pPr>
          </w:p>
        </w:tc>
      </w:tr>
    </w:tbl>
    <w:p w:rsidR="000A58C1" w:rsidRPr="00AD6636" w:rsidRDefault="000A58C1" w:rsidP="000A58C1">
      <w:pPr>
        <w:rPr>
          <w:rFonts w:asciiTheme="minorHAnsi" w:hAnsiTheme="minorHAnsi"/>
          <w:sz w:val="24"/>
          <w:szCs w:val="24"/>
          <w:lang w:val="fr-CH"/>
        </w:rPr>
      </w:pPr>
    </w:p>
    <w:p w:rsidR="00145796" w:rsidRPr="00AD6636" w:rsidRDefault="00145796" w:rsidP="006443C6">
      <w:pPr>
        <w:rPr>
          <w:sz w:val="24"/>
          <w:szCs w:val="24"/>
          <w:lang w:val="fr-CH"/>
        </w:rPr>
      </w:pPr>
      <w:r w:rsidRPr="00AD6636">
        <w:rPr>
          <w:sz w:val="24"/>
          <w:szCs w:val="24"/>
          <w:lang w:val="fr-CH"/>
        </w:rPr>
        <w:t>Afin de fai</w:t>
      </w:r>
      <w:r w:rsidR="006443C6" w:rsidRPr="00AD6636">
        <w:rPr>
          <w:sz w:val="24"/>
          <w:szCs w:val="24"/>
          <w:lang w:val="fr-CH"/>
        </w:rPr>
        <w:t>re face à la demande croissante de</w:t>
      </w:r>
      <w:r w:rsidRPr="00AD6636">
        <w:rPr>
          <w:sz w:val="24"/>
          <w:szCs w:val="24"/>
          <w:lang w:val="fr-CH"/>
        </w:rPr>
        <w:t xml:space="preserve"> télécommunications par satellite, dans le cadre de la coopération internationale visant à faciliter le développement de l'accès à la connectivité par satellite, des réglementations et des mesures concernant la prévention des brouillages préjudiciables sont examinées, élaborées et appliquées dans le monde entier. Dans le prolongement du dialogue en cours depuis la CMR</w:t>
      </w:r>
      <w:r w:rsidR="006443C6" w:rsidRPr="00AD6636">
        <w:rPr>
          <w:sz w:val="24"/>
          <w:szCs w:val="24"/>
          <w:lang w:val="fr-CH"/>
        </w:rPr>
        <w:noBreakHyphen/>
      </w:r>
      <w:r w:rsidRPr="00AD6636">
        <w:rPr>
          <w:sz w:val="24"/>
          <w:szCs w:val="24"/>
          <w:lang w:val="fr-CH"/>
        </w:rPr>
        <w:t>12 entre l'UIT et la communauté internationale des TIC, le Bureau a le plaisir d'annoncer la tenue d'un atelier d'une journée à Genève, le 10 juin 2013.</w:t>
      </w:r>
    </w:p>
    <w:p w:rsidR="00145796" w:rsidRPr="00AD6636" w:rsidRDefault="00145796" w:rsidP="000A58C1">
      <w:pPr>
        <w:rPr>
          <w:sz w:val="24"/>
          <w:szCs w:val="24"/>
          <w:lang w:val="fr-CH"/>
        </w:rPr>
      </w:pPr>
      <w:r w:rsidRPr="00AD6636">
        <w:rPr>
          <w:sz w:val="24"/>
          <w:szCs w:val="24"/>
          <w:lang w:val="fr-CH"/>
        </w:rPr>
        <w:t>L'atelier, qui se tiendra à Genève, sera ouvert à tous et les administrations nationales, le secteur des télécommunications par satellite, les utilisateurs, d'autres parties prenantes du secteur des TIC, ainsi que tous ceux qui sont intéressés par le sujet, sont vivement encouragés à y participer.</w:t>
      </w:r>
    </w:p>
    <w:p w:rsidR="00145796" w:rsidRPr="00AD6636" w:rsidRDefault="00145796" w:rsidP="000A58C1">
      <w:pPr>
        <w:rPr>
          <w:sz w:val="24"/>
          <w:szCs w:val="24"/>
          <w:lang w:val="fr-CH"/>
        </w:rPr>
      </w:pPr>
      <w:r w:rsidRPr="00AD6636">
        <w:rPr>
          <w:sz w:val="24"/>
          <w:szCs w:val="24"/>
          <w:lang w:val="fr-CH"/>
        </w:rPr>
        <w:t>L'atelier donnera l'occasion aux parties prenantes de l'UIT:</w:t>
      </w:r>
    </w:p>
    <w:p w:rsidR="00145796" w:rsidRPr="00AD6636" w:rsidRDefault="000A58C1" w:rsidP="00C81C5B">
      <w:pPr>
        <w:pStyle w:val="enumlev1"/>
        <w:rPr>
          <w:sz w:val="24"/>
          <w:szCs w:val="24"/>
          <w:lang w:val="fr-CH"/>
        </w:rPr>
      </w:pPr>
      <w:r w:rsidRPr="00AD6636">
        <w:rPr>
          <w:sz w:val="24"/>
          <w:szCs w:val="24"/>
          <w:lang w:val="fr-CH"/>
        </w:rPr>
        <w:t>–</w:t>
      </w:r>
      <w:r w:rsidRPr="00AD6636">
        <w:rPr>
          <w:sz w:val="24"/>
          <w:szCs w:val="24"/>
          <w:lang w:val="fr-CH"/>
        </w:rPr>
        <w:tab/>
      </w:r>
      <w:bookmarkStart w:id="0" w:name="_GoBack"/>
      <w:bookmarkEnd w:id="0"/>
      <w:r w:rsidR="00145796" w:rsidRPr="00AD6636">
        <w:rPr>
          <w:sz w:val="24"/>
          <w:szCs w:val="24"/>
          <w:lang w:val="fr-CH"/>
        </w:rPr>
        <w:t>de s'informer sur les cas de brouillages préjudiciables causés aux systèmes à satellites;</w:t>
      </w:r>
    </w:p>
    <w:p w:rsidR="00145796" w:rsidRPr="00AD6636" w:rsidRDefault="000A58C1" w:rsidP="00C81C5B">
      <w:pPr>
        <w:pStyle w:val="enumlev1"/>
        <w:rPr>
          <w:sz w:val="24"/>
          <w:szCs w:val="24"/>
          <w:lang w:val="fr-CH"/>
        </w:rPr>
      </w:pPr>
      <w:r w:rsidRPr="00AD6636">
        <w:rPr>
          <w:sz w:val="24"/>
          <w:szCs w:val="24"/>
          <w:lang w:val="fr-CH"/>
        </w:rPr>
        <w:t>–</w:t>
      </w:r>
      <w:r w:rsidRPr="00AD6636">
        <w:rPr>
          <w:sz w:val="24"/>
          <w:szCs w:val="24"/>
          <w:lang w:val="fr-CH"/>
        </w:rPr>
        <w:tab/>
      </w:r>
      <w:r w:rsidR="00145796" w:rsidRPr="00AD6636">
        <w:rPr>
          <w:sz w:val="24"/>
          <w:szCs w:val="24"/>
          <w:lang w:val="fr-CH"/>
        </w:rPr>
        <w:t>d'examiner les initiatives et les stratégies réglementaires et techniques existantes visant à résoudre ce problème; et</w:t>
      </w:r>
    </w:p>
    <w:p w:rsidR="00145796" w:rsidRPr="00AD6636" w:rsidRDefault="000A58C1" w:rsidP="00C81C5B">
      <w:pPr>
        <w:pStyle w:val="enumlev1"/>
        <w:rPr>
          <w:sz w:val="24"/>
          <w:szCs w:val="24"/>
          <w:lang w:val="fr-CH"/>
        </w:rPr>
      </w:pPr>
      <w:r w:rsidRPr="00AD6636">
        <w:rPr>
          <w:sz w:val="24"/>
          <w:szCs w:val="24"/>
          <w:lang w:val="fr-CH"/>
        </w:rPr>
        <w:t>–</w:t>
      </w:r>
      <w:r w:rsidRPr="00AD6636">
        <w:rPr>
          <w:sz w:val="24"/>
          <w:szCs w:val="24"/>
          <w:lang w:val="fr-CH"/>
        </w:rPr>
        <w:tab/>
      </w:r>
      <w:r w:rsidR="00145796" w:rsidRPr="00AD6636">
        <w:rPr>
          <w:sz w:val="24"/>
          <w:szCs w:val="24"/>
          <w:lang w:val="fr-CH"/>
        </w:rPr>
        <w:t xml:space="preserve">de partager des rapports sur les pratiques actuelles et sur l'incidence de ces mesures sur l'efficacité de fonctionnement des TIC et la fourniture de services TIC. </w:t>
      </w:r>
    </w:p>
    <w:p w:rsidR="00145796" w:rsidRPr="00AD6636" w:rsidRDefault="00145796" w:rsidP="006250DF">
      <w:pPr>
        <w:rPr>
          <w:sz w:val="24"/>
          <w:szCs w:val="24"/>
          <w:lang w:val="fr-CH"/>
        </w:rPr>
      </w:pPr>
      <w:r w:rsidRPr="00AD6636">
        <w:rPr>
          <w:sz w:val="24"/>
          <w:szCs w:val="24"/>
          <w:lang w:val="fr-CH"/>
        </w:rPr>
        <w:t>Un site web sur l'atelier (</w:t>
      </w:r>
      <w:r w:rsidR="00D767A1" w:rsidRPr="00BB6318">
        <w:rPr>
          <w:color w:val="0070C0"/>
          <w:sz w:val="24"/>
          <w:szCs w:val="24"/>
          <w:u w:val="single"/>
          <w:lang w:val="fr-CH"/>
        </w:rPr>
        <w:t>http://www.itu.int/GO/ITU-R/interference-geneva-2013</w:t>
      </w:r>
      <w:r w:rsidRPr="00AD6636">
        <w:rPr>
          <w:sz w:val="24"/>
          <w:szCs w:val="24"/>
          <w:lang w:val="fr-CH"/>
        </w:rPr>
        <w:t>), sur lequel seront publiés des documents ainsi que des informations relatives à la soumission des exposés et à la participation à la réunion, a été créé à l'intention des participants, qui y auront accès en lecture seule. Un programme détaillé de l'atelier sera bientôt disponible sur ce forum et sera mis à jour à mesure que des informations paraîtront ou seront modifiées.</w:t>
      </w:r>
    </w:p>
    <w:p w:rsidR="00145796" w:rsidRPr="009947A8" w:rsidRDefault="00145796" w:rsidP="00B70FC9">
      <w:pPr>
        <w:keepNext/>
        <w:keepLines/>
        <w:rPr>
          <w:sz w:val="24"/>
          <w:szCs w:val="24"/>
          <w:lang w:val="fr-CH"/>
        </w:rPr>
      </w:pPr>
      <w:r w:rsidRPr="009947A8">
        <w:rPr>
          <w:sz w:val="24"/>
          <w:szCs w:val="24"/>
          <w:lang w:val="fr-CH"/>
        </w:rPr>
        <w:lastRenderedPageBreak/>
        <w:t xml:space="preserve">Pour tout complément d'information, vous pouvez prendre contact avec: M. Yvon Henri (coordonnateur/modérateur), </w:t>
      </w:r>
      <w:hyperlink r:id="rId9" w:history="1">
        <w:r w:rsidRPr="009947A8">
          <w:rPr>
            <w:sz w:val="24"/>
            <w:szCs w:val="24"/>
            <w:lang w:val="fr-CH"/>
          </w:rPr>
          <w:t>(</w:t>
        </w:r>
        <w:r w:rsidRPr="009947A8">
          <w:rPr>
            <w:rStyle w:val="Hyperlink"/>
            <w:color w:val="0070C0"/>
            <w:sz w:val="24"/>
            <w:szCs w:val="24"/>
            <w:lang w:val="fr-CH"/>
          </w:rPr>
          <w:t>yvon.henri@itu.int</w:t>
        </w:r>
      </w:hyperlink>
      <w:r w:rsidRPr="009947A8">
        <w:rPr>
          <w:sz w:val="24"/>
          <w:szCs w:val="24"/>
          <w:lang w:val="fr-CH"/>
        </w:rPr>
        <w:t xml:space="preserve">), tél.: +41 22 730 5536. </w:t>
      </w:r>
    </w:p>
    <w:p w:rsidR="00145796" w:rsidRPr="009947A8" w:rsidRDefault="00145796" w:rsidP="00B70FC9">
      <w:pPr>
        <w:keepNext/>
        <w:keepLines/>
        <w:spacing w:before="1800"/>
        <w:rPr>
          <w:rFonts w:cstheme="minorHAnsi"/>
          <w:sz w:val="24"/>
          <w:szCs w:val="24"/>
          <w:lang w:val="fr-CH"/>
        </w:rPr>
      </w:pPr>
      <w:r w:rsidRPr="009947A8">
        <w:rPr>
          <w:rFonts w:cstheme="minorHAnsi"/>
          <w:sz w:val="24"/>
          <w:szCs w:val="24"/>
          <w:lang w:val="fr-CH"/>
        </w:rPr>
        <w:t>François Rancy</w:t>
      </w:r>
    </w:p>
    <w:p w:rsidR="00145796" w:rsidRPr="009947A8" w:rsidRDefault="00145796" w:rsidP="00B70FC9">
      <w:pPr>
        <w:keepNext/>
        <w:keepLines/>
        <w:spacing w:before="0"/>
        <w:rPr>
          <w:rFonts w:cstheme="minorHAnsi"/>
          <w:sz w:val="24"/>
          <w:szCs w:val="24"/>
          <w:lang w:val="fr-CH"/>
        </w:rPr>
      </w:pPr>
      <w:r w:rsidRPr="009947A8">
        <w:rPr>
          <w:rFonts w:cstheme="minorHAnsi"/>
          <w:sz w:val="24"/>
          <w:szCs w:val="24"/>
          <w:lang w:val="fr-CH"/>
        </w:rPr>
        <w:t>Directeur</w:t>
      </w:r>
    </w:p>
    <w:p w:rsidR="00145796" w:rsidRPr="00AD6636" w:rsidRDefault="00145796" w:rsidP="009947A8">
      <w:pPr>
        <w:keepNext/>
        <w:keepLines/>
        <w:spacing w:before="0"/>
        <w:rPr>
          <w:rFonts w:cstheme="minorHAnsi"/>
          <w:sz w:val="24"/>
          <w:szCs w:val="24"/>
          <w:lang w:val="fr-CH"/>
        </w:rPr>
      </w:pPr>
    </w:p>
    <w:p w:rsidR="00145796" w:rsidRPr="009947A8" w:rsidRDefault="00145796" w:rsidP="00B70FC9">
      <w:pPr>
        <w:keepNext/>
        <w:keepLines/>
        <w:spacing w:before="1800"/>
        <w:rPr>
          <w:rFonts w:cstheme="minorHAnsi"/>
          <w:sz w:val="24"/>
          <w:szCs w:val="24"/>
          <w:lang w:val="fr-CH"/>
        </w:rPr>
      </w:pPr>
      <w:r w:rsidRPr="009947A8">
        <w:rPr>
          <w:rFonts w:cstheme="minorHAnsi"/>
          <w:b/>
          <w:bCs/>
          <w:sz w:val="24"/>
          <w:szCs w:val="24"/>
          <w:lang w:val="fr-CH"/>
        </w:rPr>
        <w:t>Annexe</w:t>
      </w:r>
      <w:r w:rsidRPr="009947A8">
        <w:rPr>
          <w:rFonts w:cstheme="minorHAnsi"/>
          <w:sz w:val="24"/>
          <w:szCs w:val="24"/>
          <w:lang w:val="fr-CH"/>
        </w:rPr>
        <w:t>: Informations générales</w:t>
      </w:r>
    </w:p>
    <w:p w:rsidR="00145796" w:rsidRPr="009947A8" w:rsidRDefault="00145796" w:rsidP="009947A8">
      <w:pPr>
        <w:keepNext/>
        <w:keepLines/>
        <w:tabs>
          <w:tab w:val="clear" w:pos="794"/>
          <w:tab w:val="clear" w:pos="1191"/>
          <w:tab w:val="clear" w:pos="1588"/>
          <w:tab w:val="clear" w:pos="1985"/>
        </w:tabs>
        <w:overflowPunct/>
        <w:autoSpaceDE/>
        <w:autoSpaceDN/>
        <w:adjustRightInd/>
        <w:spacing w:before="4680"/>
        <w:textAlignment w:val="auto"/>
        <w:rPr>
          <w:rFonts w:cstheme="minorHAnsi"/>
          <w:sz w:val="20"/>
          <w:szCs w:val="20"/>
          <w:u w:val="single"/>
          <w:lang w:val="fr-CH"/>
        </w:rPr>
      </w:pPr>
      <w:r w:rsidRPr="009947A8">
        <w:rPr>
          <w:rFonts w:cstheme="minorHAnsi"/>
          <w:sz w:val="20"/>
          <w:szCs w:val="20"/>
          <w:u w:val="single"/>
          <w:lang w:val="fr-CH"/>
        </w:rPr>
        <w:t>Distribution:</w:t>
      </w:r>
    </w:p>
    <w:p w:rsidR="00145796" w:rsidRPr="00C81C5B" w:rsidRDefault="00145796" w:rsidP="000A58C1">
      <w:pPr>
        <w:keepNext/>
        <w:keepLines/>
        <w:tabs>
          <w:tab w:val="clear" w:pos="794"/>
          <w:tab w:val="clear" w:pos="1191"/>
          <w:tab w:val="clear" w:pos="1588"/>
          <w:tab w:val="clear" w:pos="1985"/>
        </w:tabs>
        <w:overflowPunct/>
        <w:autoSpaceDE/>
        <w:autoSpaceDN/>
        <w:adjustRightInd/>
        <w:textAlignment w:val="auto"/>
        <w:rPr>
          <w:rFonts w:cstheme="minorHAnsi"/>
          <w:sz w:val="20"/>
          <w:szCs w:val="20"/>
          <w:lang w:val="fr-CH"/>
        </w:rPr>
      </w:pPr>
      <w:r w:rsidRPr="00C81C5B">
        <w:rPr>
          <w:rFonts w:cstheme="minorHAnsi"/>
          <w:sz w:val="20"/>
          <w:szCs w:val="20"/>
          <w:lang w:val="fr-CH"/>
        </w:rPr>
        <w:t>–</w:t>
      </w:r>
      <w:r w:rsidRPr="00C81C5B">
        <w:rPr>
          <w:rFonts w:cstheme="minorHAnsi"/>
          <w:sz w:val="20"/>
          <w:szCs w:val="20"/>
          <w:lang w:val="fr-CH"/>
        </w:rPr>
        <w:tab/>
        <w:t>Administrations des Etats Membres de l'UIT</w:t>
      </w:r>
    </w:p>
    <w:p w:rsidR="00C81C5B" w:rsidRDefault="00145796" w:rsidP="00C81C5B">
      <w:pPr>
        <w:keepNext/>
        <w:keepLines/>
        <w:tabs>
          <w:tab w:val="clear" w:pos="794"/>
          <w:tab w:val="clear" w:pos="1191"/>
          <w:tab w:val="clear" w:pos="1588"/>
          <w:tab w:val="clear" w:pos="1985"/>
        </w:tabs>
        <w:overflowPunct/>
        <w:autoSpaceDE/>
        <w:autoSpaceDN/>
        <w:adjustRightInd/>
        <w:spacing w:before="0"/>
        <w:textAlignment w:val="auto"/>
        <w:rPr>
          <w:rFonts w:cstheme="minorHAnsi"/>
          <w:sz w:val="20"/>
          <w:szCs w:val="20"/>
          <w:lang w:val="fr-CH"/>
        </w:rPr>
      </w:pPr>
      <w:r w:rsidRPr="00C81C5B">
        <w:rPr>
          <w:rFonts w:cstheme="minorHAnsi"/>
          <w:sz w:val="20"/>
          <w:szCs w:val="20"/>
          <w:lang w:val="fr-CH"/>
        </w:rPr>
        <w:t>–</w:t>
      </w:r>
      <w:r w:rsidRPr="00C81C5B">
        <w:rPr>
          <w:rFonts w:cstheme="minorHAnsi"/>
          <w:sz w:val="20"/>
          <w:szCs w:val="20"/>
          <w:lang w:val="fr-CH"/>
        </w:rPr>
        <w:tab/>
        <w:t>Membres du Secteur des radiocommunications</w:t>
      </w:r>
    </w:p>
    <w:p w:rsidR="00145796" w:rsidRPr="00C81C5B" w:rsidRDefault="00145796" w:rsidP="00C81C5B">
      <w:pPr>
        <w:keepNext/>
        <w:keepLines/>
        <w:tabs>
          <w:tab w:val="clear" w:pos="794"/>
          <w:tab w:val="clear" w:pos="1191"/>
          <w:tab w:val="clear" w:pos="1588"/>
          <w:tab w:val="clear" w:pos="1985"/>
        </w:tabs>
        <w:overflowPunct/>
        <w:autoSpaceDE/>
        <w:autoSpaceDN/>
        <w:adjustRightInd/>
        <w:spacing w:before="0"/>
        <w:textAlignment w:val="auto"/>
        <w:rPr>
          <w:rFonts w:cstheme="minorHAnsi"/>
          <w:sz w:val="20"/>
          <w:szCs w:val="20"/>
          <w:lang w:val="fr-CH"/>
        </w:rPr>
      </w:pPr>
      <w:r w:rsidRPr="00C81C5B">
        <w:rPr>
          <w:rFonts w:cstheme="minorHAnsi"/>
          <w:sz w:val="20"/>
          <w:szCs w:val="20"/>
          <w:lang w:val="fr-CH"/>
        </w:rPr>
        <w:br w:type="page"/>
      </w:r>
    </w:p>
    <w:p w:rsidR="00145796" w:rsidRPr="00BB6318" w:rsidRDefault="00145796" w:rsidP="00145796">
      <w:pPr>
        <w:pStyle w:val="AnnexNotitle0"/>
        <w:rPr>
          <w:rFonts w:ascii="Calibri" w:hAnsi="Calibri" w:cstheme="minorHAnsi"/>
          <w:szCs w:val="28"/>
        </w:rPr>
      </w:pPr>
      <w:r w:rsidRPr="00BB6318">
        <w:rPr>
          <w:rFonts w:ascii="Calibri" w:hAnsi="Calibri" w:cstheme="minorHAnsi"/>
          <w:szCs w:val="28"/>
          <w:lang w:val="fr-CH"/>
        </w:rPr>
        <w:lastRenderedPageBreak/>
        <w:t>Annexe</w:t>
      </w:r>
      <w:r w:rsidRPr="00BB6318">
        <w:rPr>
          <w:rFonts w:ascii="Calibri" w:hAnsi="Calibri" w:cstheme="minorHAnsi"/>
          <w:szCs w:val="28"/>
          <w:lang w:val="fr-CH"/>
        </w:rPr>
        <w:br/>
      </w:r>
      <w:r w:rsidRPr="00BB6318">
        <w:rPr>
          <w:rFonts w:ascii="Calibri" w:hAnsi="Calibri" w:cstheme="minorHAnsi"/>
          <w:szCs w:val="28"/>
          <w:lang w:val="fr-CH"/>
        </w:rPr>
        <w:br/>
      </w:r>
      <w:r w:rsidRPr="00BB6318">
        <w:rPr>
          <w:rFonts w:ascii="Calibri" w:hAnsi="Calibri" w:cstheme="minorHAnsi"/>
          <w:szCs w:val="28"/>
        </w:rPr>
        <w:t>Informations générales</w:t>
      </w:r>
    </w:p>
    <w:p w:rsidR="00145796" w:rsidRPr="00AD6636" w:rsidRDefault="00145796" w:rsidP="00145796">
      <w:pPr>
        <w:pStyle w:val="NormalWeb"/>
        <w:jc w:val="center"/>
        <w:rPr>
          <w:rFonts w:asciiTheme="minorHAnsi" w:hAnsiTheme="minorHAnsi" w:cstheme="minorHAnsi"/>
          <w:lang w:val="fr-CH"/>
        </w:rPr>
      </w:pPr>
    </w:p>
    <w:p w:rsidR="00145796" w:rsidRPr="00AD6636" w:rsidRDefault="00145796" w:rsidP="00145796">
      <w:pPr>
        <w:numPr>
          <w:ilvl w:val="0"/>
          <w:numId w:val="5"/>
        </w:numPr>
        <w:tabs>
          <w:tab w:val="clear" w:pos="720"/>
          <w:tab w:val="clear" w:pos="794"/>
          <w:tab w:val="clear" w:pos="1191"/>
          <w:tab w:val="clear" w:pos="1588"/>
          <w:tab w:val="clear" w:pos="1985"/>
          <w:tab w:val="left" w:pos="567"/>
        </w:tabs>
        <w:overflowPunct/>
        <w:autoSpaceDE/>
        <w:autoSpaceDN/>
        <w:adjustRightInd/>
        <w:spacing w:before="100" w:beforeAutospacing="1" w:after="100" w:afterAutospacing="1" w:line="240" w:lineRule="auto"/>
        <w:ind w:left="0" w:firstLine="0"/>
        <w:jc w:val="left"/>
        <w:textAlignment w:val="auto"/>
        <w:rPr>
          <w:rFonts w:asciiTheme="minorHAnsi" w:hAnsiTheme="minorHAnsi" w:cstheme="minorHAnsi"/>
          <w:sz w:val="24"/>
          <w:szCs w:val="24"/>
          <w:lang w:val="fr-CH"/>
        </w:rPr>
      </w:pPr>
      <w:r w:rsidRPr="00AD6636">
        <w:rPr>
          <w:rFonts w:asciiTheme="minorHAnsi" w:hAnsiTheme="minorHAnsi" w:cstheme="minorHAnsi"/>
          <w:sz w:val="24"/>
          <w:szCs w:val="24"/>
          <w:lang w:val="fr-CH"/>
        </w:rPr>
        <w:t>Organisateur: Bureau des radiocommunications de l'UIT (UIT-BR)</w:t>
      </w:r>
    </w:p>
    <w:p w:rsidR="00145796" w:rsidRPr="00BB6318" w:rsidRDefault="006250DF" w:rsidP="006250DF">
      <w:pPr>
        <w:numPr>
          <w:ilvl w:val="0"/>
          <w:numId w:val="5"/>
        </w:numPr>
        <w:tabs>
          <w:tab w:val="clear" w:pos="720"/>
          <w:tab w:val="clear" w:pos="794"/>
          <w:tab w:val="clear" w:pos="1191"/>
          <w:tab w:val="clear" w:pos="1588"/>
          <w:tab w:val="clear" w:pos="1985"/>
          <w:tab w:val="left" w:pos="567"/>
        </w:tabs>
        <w:overflowPunct/>
        <w:autoSpaceDE/>
        <w:autoSpaceDN/>
        <w:adjustRightInd/>
        <w:spacing w:before="120" w:line="240" w:lineRule="auto"/>
        <w:ind w:left="0" w:firstLine="0"/>
        <w:jc w:val="left"/>
        <w:textAlignment w:val="auto"/>
        <w:rPr>
          <w:rFonts w:asciiTheme="minorHAnsi" w:hAnsiTheme="minorHAnsi" w:cstheme="minorHAnsi"/>
          <w:color w:val="0070C0"/>
          <w:sz w:val="24"/>
          <w:szCs w:val="24"/>
          <w:lang w:val="fr-CH"/>
        </w:rPr>
      </w:pPr>
      <w:r w:rsidRPr="00BB6318">
        <w:rPr>
          <w:rFonts w:asciiTheme="minorHAnsi" w:hAnsiTheme="minorHAnsi"/>
          <w:color w:val="0070C0"/>
          <w:sz w:val="24"/>
          <w:szCs w:val="24"/>
          <w:u w:val="single"/>
          <w:lang w:val="fr-CH"/>
        </w:rPr>
        <w:t>http://www.itu.int/GO/ITU-R/interference-geneva-2013</w:t>
      </w:r>
      <w:r w:rsidRPr="00BB6318">
        <w:rPr>
          <w:rFonts w:asciiTheme="minorHAnsi" w:hAnsiTheme="minorHAnsi" w:cstheme="minorHAnsi"/>
          <w:color w:val="0070C0"/>
          <w:sz w:val="24"/>
          <w:szCs w:val="24"/>
          <w:lang w:val="fr-CH"/>
        </w:rPr>
        <w:t xml:space="preserve"> </w:t>
      </w:r>
    </w:p>
    <w:p w:rsidR="00145796" w:rsidRPr="00AD6636" w:rsidRDefault="00145796" w:rsidP="00145796">
      <w:pPr>
        <w:numPr>
          <w:ilvl w:val="0"/>
          <w:numId w:val="5"/>
        </w:numPr>
        <w:tabs>
          <w:tab w:val="clear" w:pos="794"/>
          <w:tab w:val="clear" w:pos="1191"/>
          <w:tab w:val="clear" w:pos="1588"/>
          <w:tab w:val="clear" w:pos="1985"/>
          <w:tab w:val="left" w:pos="567"/>
        </w:tabs>
        <w:overflowPunct/>
        <w:autoSpaceDE/>
        <w:autoSpaceDN/>
        <w:adjustRightInd/>
        <w:spacing w:before="120" w:line="240" w:lineRule="auto"/>
        <w:ind w:left="0" w:firstLine="0"/>
        <w:jc w:val="left"/>
        <w:textAlignment w:val="auto"/>
        <w:rPr>
          <w:rFonts w:asciiTheme="minorHAnsi" w:hAnsiTheme="minorHAnsi" w:cstheme="minorHAnsi"/>
          <w:sz w:val="24"/>
          <w:szCs w:val="24"/>
        </w:rPr>
      </w:pPr>
      <w:r w:rsidRPr="00AD6636">
        <w:rPr>
          <w:rFonts w:asciiTheme="minorHAnsi" w:hAnsiTheme="minorHAnsi" w:cstheme="minorHAnsi"/>
          <w:sz w:val="24"/>
          <w:szCs w:val="24"/>
        </w:rPr>
        <w:t xml:space="preserve">Date: </w:t>
      </w:r>
      <w:r w:rsidRPr="00AD6636">
        <w:rPr>
          <w:rFonts w:asciiTheme="minorHAnsi" w:hAnsiTheme="minorHAnsi" w:cstheme="minorHAnsi"/>
          <w:b/>
          <w:bCs/>
          <w:sz w:val="24"/>
          <w:szCs w:val="24"/>
        </w:rPr>
        <w:t xml:space="preserve">10 </w:t>
      </w:r>
      <w:proofErr w:type="spellStart"/>
      <w:r w:rsidRPr="00AD6636">
        <w:rPr>
          <w:rFonts w:asciiTheme="minorHAnsi" w:hAnsiTheme="minorHAnsi" w:cstheme="minorHAnsi"/>
          <w:b/>
          <w:bCs/>
          <w:sz w:val="24"/>
          <w:szCs w:val="24"/>
        </w:rPr>
        <w:t>juin</w:t>
      </w:r>
      <w:proofErr w:type="spellEnd"/>
      <w:r w:rsidRPr="00AD6636">
        <w:rPr>
          <w:rFonts w:asciiTheme="minorHAnsi" w:hAnsiTheme="minorHAnsi" w:cstheme="minorHAnsi"/>
          <w:b/>
          <w:bCs/>
          <w:sz w:val="24"/>
          <w:szCs w:val="24"/>
        </w:rPr>
        <w:t xml:space="preserve"> 2013</w:t>
      </w:r>
    </w:p>
    <w:p w:rsidR="00145796" w:rsidRPr="00AD6636" w:rsidRDefault="00145796" w:rsidP="00145796">
      <w:pPr>
        <w:numPr>
          <w:ilvl w:val="0"/>
          <w:numId w:val="5"/>
        </w:numPr>
        <w:tabs>
          <w:tab w:val="clear" w:pos="794"/>
          <w:tab w:val="clear" w:pos="1191"/>
          <w:tab w:val="clear" w:pos="1588"/>
          <w:tab w:val="clear" w:pos="1985"/>
          <w:tab w:val="left" w:pos="567"/>
        </w:tabs>
        <w:overflowPunct/>
        <w:autoSpaceDE/>
        <w:autoSpaceDN/>
        <w:adjustRightInd/>
        <w:spacing w:before="120" w:line="240" w:lineRule="auto"/>
        <w:ind w:left="0" w:firstLine="0"/>
        <w:jc w:val="left"/>
        <w:textAlignment w:val="auto"/>
        <w:rPr>
          <w:rFonts w:asciiTheme="minorHAnsi" w:hAnsiTheme="minorHAnsi" w:cstheme="minorHAnsi"/>
          <w:sz w:val="24"/>
          <w:szCs w:val="24"/>
        </w:rPr>
      </w:pPr>
      <w:r w:rsidRPr="00AD6636">
        <w:rPr>
          <w:rFonts w:asciiTheme="minorHAnsi" w:hAnsiTheme="minorHAnsi" w:cstheme="minorHAnsi"/>
          <w:sz w:val="24"/>
          <w:szCs w:val="24"/>
        </w:rPr>
        <w:t xml:space="preserve">Lieu: </w:t>
      </w:r>
      <w:r w:rsidRPr="00AD6636">
        <w:rPr>
          <w:rFonts w:asciiTheme="minorHAnsi" w:hAnsiTheme="minorHAnsi" w:cstheme="minorHAnsi"/>
          <w:b/>
          <w:bCs/>
          <w:sz w:val="24"/>
          <w:szCs w:val="24"/>
        </w:rPr>
        <w:t>Genève (Suisse)</w:t>
      </w:r>
    </w:p>
    <w:p w:rsidR="00145796" w:rsidRPr="00AD6636" w:rsidRDefault="00145796" w:rsidP="00145796">
      <w:pPr>
        <w:numPr>
          <w:ilvl w:val="0"/>
          <w:numId w:val="5"/>
        </w:numPr>
        <w:tabs>
          <w:tab w:val="clear" w:pos="794"/>
          <w:tab w:val="clear" w:pos="1191"/>
          <w:tab w:val="clear" w:pos="1588"/>
          <w:tab w:val="clear" w:pos="1985"/>
          <w:tab w:val="left" w:pos="567"/>
        </w:tabs>
        <w:overflowPunct/>
        <w:autoSpaceDE/>
        <w:autoSpaceDN/>
        <w:adjustRightInd/>
        <w:spacing w:before="120" w:line="240" w:lineRule="auto"/>
        <w:ind w:left="0" w:firstLine="0"/>
        <w:jc w:val="left"/>
        <w:textAlignment w:val="auto"/>
        <w:rPr>
          <w:rFonts w:asciiTheme="minorHAnsi" w:hAnsiTheme="minorHAnsi" w:cstheme="minorHAnsi"/>
          <w:sz w:val="24"/>
          <w:szCs w:val="24"/>
          <w:lang w:val="fr-CH"/>
        </w:rPr>
      </w:pPr>
      <w:r w:rsidRPr="00AD6636">
        <w:rPr>
          <w:rFonts w:asciiTheme="minorHAnsi" w:hAnsiTheme="minorHAnsi" w:cstheme="minorHAnsi"/>
          <w:sz w:val="24"/>
          <w:szCs w:val="24"/>
          <w:lang w:val="fr-CH"/>
        </w:rPr>
        <w:t>L'atelier se déroulera en anglais.</w:t>
      </w:r>
    </w:p>
    <w:p w:rsidR="00145796" w:rsidRPr="00AD6636" w:rsidRDefault="00145796" w:rsidP="00145796">
      <w:pPr>
        <w:numPr>
          <w:ilvl w:val="0"/>
          <w:numId w:val="5"/>
        </w:numPr>
        <w:tabs>
          <w:tab w:val="clear" w:pos="794"/>
          <w:tab w:val="clear" w:pos="1191"/>
          <w:tab w:val="clear" w:pos="1588"/>
          <w:tab w:val="clear" w:pos="1985"/>
          <w:tab w:val="left" w:pos="567"/>
        </w:tabs>
        <w:overflowPunct/>
        <w:autoSpaceDE/>
        <w:autoSpaceDN/>
        <w:adjustRightInd/>
        <w:spacing w:before="120" w:line="240" w:lineRule="auto"/>
        <w:ind w:left="0" w:firstLine="0"/>
        <w:jc w:val="left"/>
        <w:textAlignment w:val="auto"/>
        <w:rPr>
          <w:rFonts w:asciiTheme="minorHAnsi" w:hAnsiTheme="minorHAnsi" w:cstheme="minorHAnsi"/>
          <w:bCs/>
          <w:sz w:val="24"/>
          <w:szCs w:val="24"/>
          <w:lang w:val="fr-CH"/>
        </w:rPr>
      </w:pPr>
      <w:r w:rsidRPr="00AD6636">
        <w:rPr>
          <w:rFonts w:asciiTheme="minorHAnsi" w:hAnsiTheme="minorHAnsi" w:cstheme="minorHAnsi"/>
          <w:bCs/>
          <w:sz w:val="24"/>
          <w:szCs w:val="24"/>
          <w:lang w:val="fr-CH"/>
        </w:rPr>
        <w:t>Questions au programme qui seront examinées en priorité au cours de l'atelier:</w:t>
      </w:r>
    </w:p>
    <w:p w:rsidR="00145796" w:rsidRPr="00AD6636" w:rsidRDefault="00145796" w:rsidP="00145796">
      <w:pPr>
        <w:numPr>
          <w:ilvl w:val="0"/>
          <w:numId w:val="6"/>
        </w:numPr>
        <w:tabs>
          <w:tab w:val="clear" w:pos="720"/>
          <w:tab w:val="clear" w:pos="794"/>
          <w:tab w:val="clear" w:pos="1191"/>
          <w:tab w:val="clear" w:pos="1588"/>
          <w:tab w:val="clear" w:pos="1985"/>
          <w:tab w:val="left" w:pos="1134"/>
        </w:tabs>
        <w:overflowPunct/>
        <w:adjustRightInd/>
        <w:spacing w:before="120" w:line="240" w:lineRule="auto"/>
        <w:ind w:left="1134" w:hanging="567"/>
        <w:jc w:val="left"/>
        <w:textAlignment w:val="auto"/>
        <w:rPr>
          <w:rFonts w:asciiTheme="minorHAnsi" w:hAnsiTheme="minorHAnsi" w:cstheme="minorHAnsi"/>
          <w:sz w:val="24"/>
          <w:szCs w:val="24"/>
          <w:lang w:val="fr-CH"/>
        </w:rPr>
      </w:pPr>
      <w:r w:rsidRPr="00AD6636">
        <w:rPr>
          <w:rFonts w:asciiTheme="minorHAnsi" w:hAnsiTheme="minorHAnsi" w:cstheme="minorHAnsi"/>
          <w:sz w:val="24"/>
          <w:szCs w:val="24"/>
          <w:lang w:val="fr-CH"/>
        </w:rPr>
        <w:t>Initiatives multilatérales et non contraignantes des Nations Unies concernant la sécurité dans l'espace</w:t>
      </w:r>
    </w:p>
    <w:p w:rsidR="00145796" w:rsidRPr="00AD6636" w:rsidRDefault="00145796" w:rsidP="00145796">
      <w:pPr>
        <w:numPr>
          <w:ilvl w:val="0"/>
          <w:numId w:val="6"/>
        </w:numPr>
        <w:tabs>
          <w:tab w:val="clear" w:pos="720"/>
          <w:tab w:val="clear" w:pos="794"/>
          <w:tab w:val="clear" w:pos="1191"/>
          <w:tab w:val="clear" w:pos="1588"/>
          <w:tab w:val="clear" w:pos="1985"/>
          <w:tab w:val="left" w:pos="1134"/>
        </w:tabs>
        <w:overflowPunct/>
        <w:adjustRightInd/>
        <w:spacing w:before="120" w:line="240" w:lineRule="auto"/>
        <w:ind w:left="567" w:firstLine="0"/>
        <w:jc w:val="left"/>
        <w:textAlignment w:val="auto"/>
        <w:rPr>
          <w:rFonts w:asciiTheme="minorHAnsi" w:hAnsiTheme="minorHAnsi" w:cstheme="minorHAnsi"/>
          <w:sz w:val="24"/>
          <w:szCs w:val="24"/>
          <w:lang w:val="fr-CH"/>
        </w:rPr>
      </w:pPr>
      <w:r w:rsidRPr="00AD6636">
        <w:rPr>
          <w:rFonts w:asciiTheme="minorHAnsi" w:hAnsiTheme="minorHAnsi" w:cstheme="minorHAnsi"/>
          <w:sz w:val="24"/>
          <w:szCs w:val="24"/>
          <w:lang w:val="fr-CH"/>
        </w:rPr>
        <w:t>Services par satellite et brouillages – la situation actuelle</w:t>
      </w:r>
    </w:p>
    <w:p w:rsidR="00145796" w:rsidRPr="00AD6636" w:rsidRDefault="00145796" w:rsidP="00145796">
      <w:pPr>
        <w:numPr>
          <w:ilvl w:val="0"/>
          <w:numId w:val="6"/>
        </w:numPr>
        <w:tabs>
          <w:tab w:val="clear" w:pos="794"/>
          <w:tab w:val="clear" w:pos="1191"/>
          <w:tab w:val="clear" w:pos="1588"/>
          <w:tab w:val="clear" w:pos="1985"/>
          <w:tab w:val="left" w:pos="1134"/>
        </w:tabs>
        <w:overflowPunct/>
        <w:adjustRightInd/>
        <w:spacing w:before="120" w:line="240" w:lineRule="auto"/>
        <w:ind w:left="1134" w:hanging="567"/>
        <w:jc w:val="left"/>
        <w:textAlignment w:val="auto"/>
        <w:rPr>
          <w:rFonts w:asciiTheme="minorHAnsi" w:hAnsiTheme="minorHAnsi" w:cstheme="minorHAnsi"/>
          <w:sz w:val="24"/>
          <w:szCs w:val="24"/>
          <w:lang w:val="fr-CH"/>
        </w:rPr>
      </w:pPr>
      <w:r w:rsidRPr="00AD6636">
        <w:rPr>
          <w:rFonts w:asciiTheme="minorHAnsi" w:hAnsiTheme="minorHAnsi" w:cstheme="minorHAnsi"/>
          <w:sz w:val="24"/>
          <w:szCs w:val="24"/>
          <w:lang w:val="fr-CH"/>
        </w:rPr>
        <w:t>Coopération sur les mesures visant à lutter contre les brouillages préjudiciables, qu'ils soient intentionnels ou involontaires</w:t>
      </w:r>
    </w:p>
    <w:p w:rsidR="00145796" w:rsidRPr="00AD6636" w:rsidRDefault="00145796" w:rsidP="00145796">
      <w:pPr>
        <w:numPr>
          <w:ilvl w:val="0"/>
          <w:numId w:val="6"/>
        </w:numPr>
        <w:tabs>
          <w:tab w:val="clear" w:pos="794"/>
          <w:tab w:val="clear" w:pos="1191"/>
          <w:tab w:val="clear" w:pos="1588"/>
          <w:tab w:val="clear" w:pos="1985"/>
          <w:tab w:val="left" w:pos="1134"/>
        </w:tabs>
        <w:overflowPunct/>
        <w:adjustRightInd/>
        <w:spacing w:before="120" w:line="240" w:lineRule="auto"/>
        <w:ind w:left="567" w:firstLine="0"/>
        <w:jc w:val="left"/>
        <w:textAlignment w:val="auto"/>
        <w:rPr>
          <w:rFonts w:asciiTheme="minorHAnsi" w:hAnsiTheme="minorHAnsi" w:cstheme="minorHAnsi"/>
          <w:sz w:val="24"/>
          <w:szCs w:val="24"/>
          <w:lang w:val="fr-CH"/>
        </w:rPr>
      </w:pPr>
      <w:r w:rsidRPr="00AD6636">
        <w:rPr>
          <w:rFonts w:asciiTheme="minorHAnsi" w:hAnsiTheme="minorHAnsi" w:cstheme="minorHAnsi"/>
          <w:sz w:val="24"/>
          <w:szCs w:val="24"/>
          <w:lang w:val="fr-CH"/>
        </w:rPr>
        <w:t>Techniques permettant d'identifier et/ou d'atténuer les brouillages préjudiciables</w:t>
      </w:r>
    </w:p>
    <w:p w:rsidR="00145796" w:rsidRPr="00AD6636" w:rsidRDefault="00145796" w:rsidP="00145796">
      <w:pPr>
        <w:numPr>
          <w:ilvl w:val="0"/>
          <w:numId w:val="6"/>
        </w:numPr>
        <w:tabs>
          <w:tab w:val="clear" w:pos="794"/>
          <w:tab w:val="clear" w:pos="1191"/>
          <w:tab w:val="clear" w:pos="1588"/>
          <w:tab w:val="clear" w:pos="1985"/>
          <w:tab w:val="left" w:pos="1134"/>
        </w:tabs>
        <w:overflowPunct/>
        <w:adjustRightInd/>
        <w:spacing w:before="120" w:line="240" w:lineRule="auto"/>
        <w:ind w:left="1134" w:hanging="567"/>
        <w:jc w:val="left"/>
        <w:textAlignment w:val="auto"/>
        <w:rPr>
          <w:rFonts w:asciiTheme="minorHAnsi" w:hAnsiTheme="minorHAnsi" w:cstheme="minorHAnsi"/>
          <w:sz w:val="24"/>
          <w:szCs w:val="24"/>
          <w:lang w:val="fr-CH"/>
        </w:rPr>
      </w:pPr>
      <w:r w:rsidRPr="00AD6636">
        <w:rPr>
          <w:rFonts w:asciiTheme="minorHAnsi" w:hAnsiTheme="minorHAnsi" w:cstheme="minorHAnsi"/>
          <w:sz w:val="24"/>
          <w:szCs w:val="24"/>
          <w:lang w:val="fr-CH"/>
        </w:rPr>
        <w:t>Mise en œuvre des spécifications relatives à l'identificateur d'opérateur de systèmes DVB</w:t>
      </w:r>
    </w:p>
    <w:p w:rsidR="00145796" w:rsidRPr="00AD6636" w:rsidRDefault="00145796" w:rsidP="00145796">
      <w:pPr>
        <w:numPr>
          <w:ilvl w:val="0"/>
          <w:numId w:val="6"/>
        </w:numPr>
        <w:tabs>
          <w:tab w:val="clear" w:pos="794"/>
          <w:tab w:val="clear" w:pos="1191"/>
          <w:tab w:val="clear" w:pos="1588"/>
          <w:tab w:val="clear" w:pos="1985"/>
          <w:tab w:val="left" w:pos="1134"/>
        </w:tabs>
        <w:overflowPunct/>
        <w:adjustRightInd/>
        <w:spacing w:before="120" w:line="240" w:lineRule="auto"/>
        <w:ind w:left="1134" w:hanging="567"/>
        <w:jc w:val="left"/>
        <w:textAlignment w:val="auto"/>
        <w:rPr>
          <w:rFonts w:asciiTheme="minorHAnsi" w:hAnsiTheme="minorHAnsi" w:cstheme="minorHAnsi"/>
          <w:sz w:val="24"/>
          <w:szCs w:val="24"/>
          <w:lang w:val="fr-CH" w:eastAsia="zh-CN"/>
        </w:rPr>
      </w:pPr>
      <w:r w:rsidRPr="00AD6636">
        <w:rPr>
          <w:rFonts w:asciiTheme="minorHAnsi" w:hAnsiTheme="minorHAnsi" w:cstheme="minorHAnsi"/>
          <w:sz w:val="24"/>
          <w:szCs w:val="24"/>
          <w:lang w:val="fr-CH"/>
        </w:rPr>
        <w:t xml:space="preserve">Formation à la mise en place et au fonctionnement des </w:t>
      </w:r>
      <w:proofErr w:type="spellStart"/>
      <w:r w:rsidRPr="00AD6636">
        <w:rPr>
          <w:rFonts w:asciiTheme="minorHAnsi" w:hAnsiTheme="minorHAnsi" w:cstheme="minorHAnsi"/>
          <w:sz w:val="24"/>
          <w:szCs w:val="24"/>
          <w:lang w:val="fr-CH"/>
        </w:rPr>
        <w:t>microstations</w:t>
      </w:r>
      <w:proofErr w:type="spellEnd"/>
      <w:r w:rsidRPr="00AD6636">
        <w:rPr>
          <w:rFonts w:asciiTheme="minorHAnsi" w:hAnsiTheme="minorHAnsi" w:cstheme="minorHAnsi"/>
          <w:sz w:val="24"/>
          <w:szCs w:val="24"/>
          <w:lang w:val="fr-CH"/>
        </w:rPr>
        <w:t xml:space="preserve"> (VSAT) ainsi qu'au reportage d'actualités par satellite</w:t>
      </w:r>
    </w:p>
    <w:p w:rsidR="00145796" w:rsidRPr="00AD6636" w:rsidRDefault="00145796" w:rsidP="00145796">
      <w:pPr>
        <w:numPr>
          <w:ilvl w:val="0"/>
          <w:numId w:val="6"/>
        </w:numPr>
        <w:tabs>
          <w:tab w:val="clear" w:pos="794"/>
          <w:tab w:val="clear" w:pos="1191"/>
          <w:tab w:val="clear" w:pos="1588"/>
          <w:tab w:val="clear" w:pos="1985"/>
          <w:tab w:val="left" w:pos="1134"/>
        </w:tabs>
        <w:overflowPunct/>
        <w:adjustRightInd/>
        <w:spacing w:before="120" w:line="240" w:lineRule="auto"/>
        <w:ind w:left="567" w:firstLine="0"/>
        <w:jc w:val="left"/>
        <w:textAlignment w:val="auto"/>
        <w:rPr>
          <w:rFonts w:asciiTheme="minorHAnsi" w:hAnsiTheme="minorHAnsi" w:cstheme="minorHAnsi"/>
          <w:sz w:val="24"/>
          <w:szCs w:val="24"/>
          <w:lang w:val="fr-CH"/>
        </w:rPr>
      </w:pPr>
      <w:r w:rsidRPr="00AD6636">
        <w:rPr>
          <w:rFonts w:asciiTheme="minorHAnsi" w:hAnsiTheme="minorHAnsi" w:cstheme="minorHAnsi"/>
          <w:sz w:val="24"/>
          <w:szCs w:val="24"/>
          <w:lang w:val="fr-CH" w:eastAsia="zh-CN"/>
        </w:rPr>
        <w:t>Moyens permettant de renforcer la gouvernance</w:t>
      </w:r>
    </w:p>
    <w:p w:rsidR="00145796" w:rsidRPr="00AD6636" w:rsidRDefault="00145796" w:rsidP="000A58C1">
      <w:pPr>
        <w:rPr>
          <w:rFonts w:asciiTheme="minorHAnsi" w:hAnsiTheme="minorHAnsi"/>
          <w:sz w:val="24"/>
          <w:szCs w:val="24"/>
          <w:lang w:val="fr-CH"/>
        </w:rPr>
      </w:pPr>
    </w:p>
    <w:p w:rsidR="000A58C1" w:rsidRPr="00AD6636" w:rsidRDefault="000A58C1" w:rsidP="000A58C1">
      <w:pPr>
        <w:rPr>
          <w:rFonts w:asciiTheme="minorHAnsi" w:hAnsiTheme="minorHAnsi"/>
          <w:sz w:val="24"/>
          <w:szCs w:val="24"/>
          <w:lang w:val="fr-CH"/>
        </w:rPr>
      </w:pPr>
    </w:p>
    <w:p w:rsidR="000A58C1" w:rsidRPr="00AD6636" w:rsidRDefault="000A58C1" w:rsidP="000A58C1">
      <w:pPr>
        <w:rPr>
          <w:rFonts w:asciiTheme="minorHAnsi" w:hAnsiTheme="minorHAnsi"/>
          <w:sz w:val="24"/>
          <w:szCs w:val="24"/>
          <w:lang w:val="fr-CH"/>
        </w:rPr>
      </w:pPr>
    </w:p>
    <w:p w:rsidR="00145796" w:rsidRPr="00AD6636" w:rsidRDefault="00145796" w:rsidP="00145796">
      <w:pPr>
        <w:jc w:val="center"/>
        <w:rPr>
          <w:rFonts w:asciiTheme="minorHAnsi" w:hAnsiTheme="minorHAnsi" w:cstheme="minorHAnsi"/>
          <w:sz w:val="24"/>
          <w:szCs w:val="24"/>
        </w:rPr>
      </w:pPr>
      <w:r w:rsidRPr="00AD6636">
        <w:rPr>
          <w:rFonts w:asciiTheme="minorHAnsi" w:hAnsiTheme="minorHAnsi" w:cstheme="minorHAnsi"/>
          <w:sz w:val="24"/>
          <w:szCs w:val="24"/>
        </w:rPr>
        <w:t>______________</w:t>
      </w:r>
    </w:p>
    <w:p w:rsidR="00145796" w:rsidRPr="00AD6636" w:rsidRDefault="00145796" w:rsidP="00145796">
      <w:pPr>
        <w:tabs>
          <w:tab w:val="clear" w:pos="794"/>
          <w:tab w:val="clear" w:pos="1191"/>
          <w:tab w:val="clear" w:pos="1588"/>
          <w:tab w:val="clear" w:pos="1985"/>
          <w:tab w:val="left" w:pos="709"/>
          <w:tab w:val="left" w:pos="1134"/>
        </w:tabs>
        <w:spacing w:before="360"/>
        <w:rPr>
          <w:rFonts w:asciiTheme="minorHAnsi" w:hAnsiTheme="minorHAnsi" w:cstheme="minorHAnsi"/>
          <w:sz w:val="24"/>
          <w:szCs w:val="24"/>
        </w:rPr>
      </w:pPr>
    </w:p>
    <w:p w:rsidR="00EE1A57" w:rsidRPr="00AD6636" w:rsidRDefault="00EE1A57" w:rsidP="00031E64">
      <w:pPr>
        <w:rPr>
          <w:rFonts w:asciiTheme="minorHAnsi" w:hAnsiTheme="minorHAnsi" w:cstheme="minorHAnsi"/>
          <w:sz w:val="24"/>
          <w:szCs w:val="24"/>
          <w:lang w:val="fr-CH"/>
        </w:rPr>
      </w:pPr>
    </w:p>
    <w:p w:rsidR="00EE1A57" w:rsidRPr="00AD6636" w:rsidRDefault="00EE1A57" w:rsidP="00031E64">
      <w:pPr>
        <w:rPr>
          <w:rFonts w:asciiTheme="minorHAnsi" w:hAnsiTheme="minorHAnsi" w:cstheme="minorHAnsi"/>
          <w:sz w:val="24"/>
          <w:szCs w:val="24"/>
          <w:lang w:val="fr-CH"/>
        </w:rPr>
      </w:pPr>
    </w:p>
    <w:sectPr w:rsidR="00EE1A57" w:rsidRPr="00AD6636"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A8" w:rsidRDefault="009947A8">
      <w:r>
        <w:separator/>
      </w:r>
    </w:p>
  </w:endnote>
  <w:endnote w:type="continuationSeparator" w:id="0">
    <w:p w:rsidR="009947A8" w:rsidRDefault="0099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A8" w:rsidRPr="00E915AF" w:rsidRDefault="009947A8" w:rsidP="00F424BF">
    <w:pPr>
      <w:pStyle w:val="FirstFooter"/>
      <w:spacing w:before="0" w:line="240" w:lineRule="auto"/>
      <w:ind w:left="-397" w:right="-397"/>
      <w:rPr>
        <w:vanish/>
        <w:sz w:val="22"/>
        <w:szCs w:val="18"/>
      </w:rPr>
    </w:pPr>
  </w:p>
  <w:p w:rsidR="009947A8" w:rsidRPr="005224A1" w:rsidRDefault="009947A8" w:rsidP="00406D71">
    <w:pPr>
      <w:pStyle w:val="FirstFooter"/>
      <w:spacing w:before="0" w:line="240" w:lineRule="auto"/>
      <w:ind w:left="-397" w:right="-397"/>
      <w:rPr>
        <w:sz w:val="20"/>
        <w:szCs w:val="18"/>
      </w:rPr>
    </w:pPr>
  </w:p>
  <w:p w:rsidR="009947A8" w:rsidRPr="00E53DCE" w:rsidRDefault="009947A8"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A8" w:rsidRDefault="009947A8">
      <w:r>
        <w:t>____________________</w:t>
      </w:r>
    </w:p>
  </w:footnote>
  <w:footnote w:type="continuationSeparator" w:id="0">
    <w:p w:rsidR="009947A8" w:rsidRDefault="00994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A8" w:rsidRPr="00235A29" w:rsidRDefault="009947A8">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AC78AE">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A8" w:rsidRPr="00AF3325" w:rsidRDefault="009947A8" w:rsidP="003F21CB">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AC78AE">
      <w:rPr>
        <w:i/>
        <w:noProof/>
      </w:rPr>
      <w:t>3</w:t>
    </w:r>
    <w:r w:rsidRPr="00AF3325">
      <w:rPr>
        <w:i/>
      </w:rPr>
      <w:fldChar w:fldCharType="end"/>
    </w:r>
  </w:p>
  <w:p w:rsidR="009947A8" w:rsidRPr="000A58C1" w:rsidRDefault="009947A8" w:rsidP="000A58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A8" w:rsidRPr="00EA15B3" w:rsidRDefault="009947A8"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601E87"/>
    <w:multiLevelType w:val="hybridMultilevel"/>
    <w:tmpl w:val="1A72DCB2"/>
    <w:lvl w:ilvl="0" w:tplc="5CCA4520">
      <w:start w:val="1"/>
      <w:numFmt w:val="bullet"/>
      <w:lvlText w:val=""/>
      <w:lvlJc w:val="left"/>
      <w:pPr>
        <w:tabs>
          <w:tab w:val="num" w:pos="720"/>
        </w:tabs>
        <w:ind w:left="720" w:hanging="360"/>
      </w:pPr>
      <w:rPr>
        <w:rFonts w:ascii="Wingdings" w:hAnsi="Wingdings" w:cs="Wingdings" w:hint="default"/>
        <w:lang w:val="fr-CH"/>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0CDA48A2"/>
    <w:multiLevelType w:val="hybridMultilevel"/>
    <w:tmpl w:val="9F3EA118"/>
    <w:lvl w:ilvl="0" w:tplc="AC7EE0FC">
      <w:start w:val="1"/>
      <w:numFmt w:val="bullet"/>
      <w:lvlText w:val=""/>
      <w:lvlJc w:val="left"/>
      <w:pPr>
        <w:tabs>
          <w:tab w:val="num" w:pos="1080"/>
        </w:tabs>
        <w:ind w:left="1080" w:hanging="360"/>
      </w:pPr>
      <w:rPr>
        <w:rFonts w:ascii="Symbol" w:hAnsi="Symbol" w:hint="default"/>
        <w:lang w:val="fr-CH"/>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DF6436"/>
    <w:multiLevelType w:val="multilevel"/>
    <w:tmpl w:val="5E86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F0FE0"/>
    <w:multiLevelType w:val="hybridMultilevel"/>
    <w:tmpl w:val="4FA0FCE6"/>
    <w:lvl w:ilvl="0" w:tplc="DE420900">
      <w:start w:val="1"/>
      <w:numFmt w:val="bullet"/>
      <w:lvlText w:val=""/>
      <w:lvlJc w:val="left"/>
      <w:pPr>
        <w:ind w:left="720" w:hanging="360"/>
      </w:pPr>
      <w:rPr>
        <w:rFonts w:hAnsi="Symbol" w:cs="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A1BE1"/>
    <w:multiLevelType w:val="hybridMultilevel"/>
    <w:tmpl w:val="92068246"/>
    <w:lvl w:ilvl="0" w:tplc="DE420900">
      <w:start w:val="1"/>
      <w:numFmt w:val="bullet"/>
      <w:lvlText w:val=""/>
      <w:lvlJc w:val="left"/>
      <w:pPr>
        <w:ind w:left="720" w:hanging="360"/>
      </w:pPr>
      <w:rPr>
        <w:rFonts w:hAnsi="Symbol" w:cs="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nsid w:val="44194183"/>
    <w:multiLevelType w:val="hybridMultilevel"/>
    <w:tmpl w:val="F684AF34"/>
    <w:lvl w:ilvl="0" w:tplc="DE420900">
      <w:start w:val="1"/>
      <w:numFmt w:val="bullet"/>
      <w:lvlText w:val=""/>
      <w:lvlJc w:val="left"/>
      <w:pPr>
        <w:ind w:left="720" w:hanging="360"/>
      </w:pPr>
      <w:rPr>
        <w:rFonts w:hAnsi="Symbol" w:cs="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6F4F7D47"/>
    <w:multiLevelType w:val="hybridMultilevel"/>
    <w:tmpl w:val="BE1A6E58"/>
    <w:lvl w:ilvl="0" w:tplc="DE420900">
      <w:start w:val="1"/>
      <w:numFmt w:val="bullet"/>
      <w:lvlText w:val=""/>
      <w:lvlJc w:val="left"/>
      <w:pPr>
        <w:ind w:left="720" w:hanging="360"/>
      </w:pPr>
      <w:rPr>
        <w:rFonts w:hAnsi="Symbol" w:cs="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0B5B20"/>
    <w:multiLevelType w:val="hybridMultilevel"/>
    <w:tmpl w:val="544A1C24"/>
    <w:lvl w:ilvl="0" w:tplc="FFFFFFFF">
      <w:start w:val="1"/>
      <w:numFmt w:val="bullet"/>
      <w:lvlText w:val=""/>
      <w:lvlJc w:val="left"/>
      <w:pPr>
        <w:ind w:left="720" w:hanging="360"/>
      </w:pPr>
      <w:rPr>
        <w:rFonts w:ascii="Wingdings" w:hAnsi="Wingdings" w:cs="Wingding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B770E"/>
    <w:multiLevelType w:val="hybridMultilevel"/>
    <w:tmpl w:val="9DFC3354"/>
    <w:lvl w:ilvl="0" w:tplc="AB1AA878">
      <w:start w:val="1"/>
      <w:numFmt w:val="decimal"/>
      <w:lvlText w:val="%1."/>
      <w:lvlJc w:val="left"/>
      <w:pPr>
        <w:tabs>
          <w:tab w:val="num" w:pos="360"/>
        </w:tabs>
        <w:ind w:left="360" w:hanging="360"/>
      </w:pPr>
      <w:rPr>
        <w:lang w:val="fr-CH"/>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5"/>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12"/>
  </w:num>
  <w:num w:numId="8">
    <w:abstractNumId w:val="10"/>
  </w:num>
  <w:num w:numId="9">
    <w:abstractNumId w:val="8"/>
  </w:num>
  <w:num w:numId="10">
    <w:abstractNumId w:val="7"/>
  </w:num>
  <w:num w:numId="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45796"/>
    <w:rsid w:val="00006A31"/>
    <w:rsid w:val="00006C82"/>
    <w:rsid w:val="00010E30"/>
    <w:rsid w:val="00015C76"/>
    <w:rsid w:val="000265C7"/>
    <w:rsid w:val="00026CF8"/>
    <w:rsid w:val="00030BD7"/>
    <w:rsid w:val="00031E64"/>
    <w:rsid w:val="00034340"/>
    <w:rsid w:val="00035CB3"/>
    <w:rsid w:val="00045A8D"/>
    <w:rsid w:val="0005167A"/>
    <w:rsid w:val="00054E5D"/>
    <w:rsid w:val="00070258"/>
    <w:rsid w:val="0007323C"/>
    <w:rsid w:val="00086D03"/>
    <w:rsid w:val="000A096A"/>
    <w:rsid w:val="000A375E"/>
    <w:rsid w:val="000A58C1"/>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45796"/>
    <w:rsid w:val="00187CA3"/>
    <w:rsid w:val="00196710"/>
    <w:rsid w:val="00196770"/>
    <w:rsid w:val="00197324"/>
    <w:rsid w:val="001A61E3"/>
    <w:rsid w:val="001B351B"/>
    <w:rsid w:val="001B42C9"/>
    <w:rsid w:val="001C06DB"/>
    <w:rsid w:val="001C6971"/>
    <w:rsid w:val="001D2785"/>
    <w:rsid w:val="001D41A9"/>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3F21CB"/>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7CF"/>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50DF"/>
    <w:rsid w:val="0064371D"/>
    <w:rsid w:val="006443C6"/>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947A8"/>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C78AE"/>
    <w:rsid w:val="00AD2CF2"/>
    <w:rsid w:val="00AD6636"/>
    <w:rsid w:val="00AE2D88"/>
    <w:rsid w:val="00AE6F6F"/>
    <w:rsid w:val="00AF3325"/>
    <w:rsid w:val="00AF34D9"/>
    <w:rsid w:val="00AF70DA"/>
    <w:rsid w:val="00B019D3"/>
    <w:rsid w:val="00B31584"/>
    <w:rsid w:val="00B34CF9"/>
    <w:rsid w:val="00B37559"/>
    <w:rsid w:val="00B4054B"/>
    <w:rsid w:val="00B579B0"/>
    <w:rsid w:val="00B57D11"/>
    <w:rsid w:val="00B649D7"/>
    <w:rsid w:val="00B70FC9"/>
    <w:rsid w:val="00B81C2F"/>
    <w:rsid w:val="00B84EFB"/>
    <w:rsid w:val="00B90743"/>
    <w:rsid w:val="00B90C45"/>
    <w:rsid w:val="00B933BE"/>
    <w:rsid w:val="00BB6318"/>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C5B"/>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67A1"/>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326F1"/>
    <w:rsid w:val="00F424BF"/>
    <w:rsid w:val="00F44FC3"/>
    <w:rsid w:val="00F46107"/>
    <w:rsid w:val="00F468C5"/>
    <w:rsid w:val="00F52F39"/>
    <w:rsid w:val="00F6184F"/>
    <w:rsid w:val="00F64BD9"/>
    <w:rsid w:val="00F8310E"/>
    <w:rsid w:val="00F914DD"/>
    <w:rsid w:val="00FA2358"/>
    <w:rsid w:val="00FB2592"/>
    <w:rsid w:val="00FB2810"/>
    <w:rsid w:val="00FB7A2C"/>
    <w:rsid w:val="00FC2947"/>
    <w:rsid w:val="00FE0818"/>
    <w:rsid w:val="00FE6FB1"/>
    <w:rsid w:val="00FF304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145796"/>
    <w:pPr>
      <w:keepNext/>
      <w:keepLines/>
      <w:spacing w:before="480" w:line="240" w:lineRule="auto"/>
      <w:jc w:val="center"/>
    </w:pPr>
    <w:rPr>
      <w:rFonts w:ascii="Times New Roman" w:hAnsi="Times New Roman" w:cs="Times New Roman"/>
      <w:b/>
      <w:sz w:val="28"/>
      <w:szCs w:val="20"/>
      <w:lang w:val="fr-FR"/>
    </w:rPr>
  </w:style>
  <w:style w:type="paragraph" w:styleId="NormalWeb">
    <w:name w:val="Normal (Web)"/>
    <w:basedOn w:val="Normal"/>
    <w:rsid w:val="0014579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Reasons">
    <w:name w:val="Reasons"/>
    <w:basedOn w:val="Normal"/>
    <w:qFormat/>
    <w:rsid w:val="0014579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rsid w:val="000A58C1"/>
    <w:rPr>
      <w:sz w:val="22"/>
      <w:szCs w:val="22"/>
      <w:lang w:val="en-US" w:eastAsia="en-US"/>
    </w:rPr>
  </w:style>
  <w:style w:type="paragraph" w:styleId="ListParagraph">
    <w:name w:val="List Paragraph"/>
    <w:basedOn w:val="Normal"/>
    <w:uiPriority w:val="34"/>
    <w:qFormat/>
    <w:rsid w:val="00C81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145796"/>
    <w:pPr>
      <w:keepNext/>
      <w:keepLines/>
      <w:spacing w:before="480" w:line="240" w:lineRule="auto"/>
      <w:jc w:val="center"/>
    </w:pPr>
    <w:rPr>
      <w:rFonts w:ascii="Times New Roman" w:hAnsi="Times New Roman" w:cs="Times New Roman"/>
      <w:b/>
      <w:sz w:val="28"/>
      <w:szCs w:val="20"/>
      <w:lang w:val="fr-FR"/>
    </w:rPr>
  </w:style>
  <w:style w:type="paragraph" w:styleId="NormalWeb">
    <w:name w:val="Normal (Web)"/>
    <w:basedOn w:val="Normal"/>
    <w:rsid w:val="0014579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Reasons">
    <w:name w:val="Reasons"/>
    <w:basedOn w:val="Normal"/>
    <w:qFormat/>
    <w:rsid w:val="0014579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rsid w:val="000A58C1"/>
    <w:rPr>
      <w:sz w:val="22"/>
      <w:szCs w:val="22"/>
      <w:lang w:val="en-US" w:eastAsia="en-US"/>
    </w:rPr>
  </w:style>
  <w:style w:type="paragraph" w:styleId="ListParagraph">
    <w:name w:val="List Paragraph"/>
    <w:basedOn w:val="Normal"/>
    <w:uiPriority w:val="34"/>
    <w:qFormat/>
    <w:rsid w:val="00C81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von.henri@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ITU_USERS\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3152CA1C68445AAC0848CDE0EAE57B"/>
        <w:category>
          <w:name w:val="General"/>
          <w:gallery w:val="placeholder"/>
        </w:category>
        <w:types>
          <w:type w:val="bbPlcHdr"/>
        </w:types>
        <w:behaviors>
          <w:behavior w:val="content"/>
        </w:behaviors>
        <w:guid w:val="{1BBDBFDB-0B8B-4B03-8960-1B4F68190664}"/>
      </w:docPartPr>
      <w:docPartBody>
        <w:p w:rsidR="00EF3A39" w:rsidRDefault="00EF3A39">
          <w:pPr>
            <w:pStyle w:val="A23152CA1C68445AAC0848CDE0EAE57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F3A39"/>
    <w:rsid w:val="007A4633"/>
    <w:rsid w:val="007A7FD4"/>
    <w:rsid w:val="00986D2B"/>
    <w:rsid w:val="009E246A"/>
    <w:rsid w:val="00EF3A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633"/>
    <w:rPr>
      <w:color w:val="808080"/>
    </w:rPr>
  </w:style>
  <w:style w:type="paragraph" w:customStyle="1" w:styleId="A23152CA1C68445AAC0848CDE0EAE57B">
    <w:name w:val="A23152CA1C68445AAC0848CDE0EAE57B"/>
    <w:rsid w:val="007A46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240B8-8947-495D-A7F5-905F690E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0</TotalTime>
  <Pages>3</Pages>
  <Words>525</Words>
  <Characters>2999</Characters>
  <Application>Microsoft Office Word</Application>
  <DocSecurity>4</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Bhandary</dc:creator>
  <cp:lastModifiedBy>marchett</cp:lastModifiedBy>
  <cp:revision>2</cp:revision>
  <cp:lastPrinted>2013-05-03T14:52:00Z</cp:lastPrinted>
  <dcterms:created xsi:type="dcterms:W3CDTF">2013-05-06T09:28:00Z</dcterms:created>
  <dcterms:modified xsi:type="dcterms:W3CDTF">2013-05-06T09:28:00Z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