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9829EF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9829E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829E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616E7" w:rsidTr="006160CB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9829EF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E53DCE" w:rsidP="009829E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311596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11596">
              <w:rPr>
                <w:b/>
                <w:bCs/>
                <w:sz w:val="24"/>
                <w:szCs w:val="24"/>
                <w:lang w:val="fr-CH"/>
              </w:rPr>
              <w:t>347</w:t>
            </w:r>
          </w:p>
        </w:tc>
        <w:tc>
          <w:tcPr>
            <w:tcW w:w="2835" w:type="dxa"/>
            <w:shd w:val="clear" w:color="auto" w:fill="auto"/>
          </w:tcPr>
          <w:p w:rsidR="00E53DCE" w:rsidRPr="007616E7" w:rsidRDefault="009C6A12" w:rsidP="00E355A8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r w:rsidRPr="007616E7">
              <w:rPr>
                <w:sz w:val="24"/>
                <w:szCs w:val="24"/>
                <w:lang w:eastAsia="zh-CN"/>
              </w:rPr>
              <w:t>20</w:t>
            </w:r>
            <w:r w:rsidRPr="007616E7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311596">
              <w:rPr>
                <w:sz w:val="24"/>
                <w:szCs w:val="24"/>
                <w:lang w:eastAsia="zh-CN"/>
              </w:rPr>
              <w:t>3</w:t>
            </w:r>
            <w:r w:rsidRPr="007616E7">
              <w:rPr>
                <w:rFonts w:ascii="SimSun" w:hAnsi="SimSun" w:hint="eastAsia"/>
                <w:sz w:val="24"/>
                <w:szCs w:val="24"/>
                <w:lang w:eastAsia="zh-CN"/>
              </w:rPr>
              <w:t>年</w:t>
            </w:r>
            <w:r w:rsidR="00311596">
              <w:rPr>
                <w:sz w:val="24"/>
                <w:szCs w:val="24"/>
                <w:lang w:eastAsia="zh-CN"/>
              </w:rPr>
              <w:t>5</w:t>
            </w:r>
            <w:r w:rsidRPr="007616E7">
              <w:rPr>
                <w:rFonts w:ascii="SimSun" w:hAnsi="SimSun" w:hint="eastAsia"/>
                <w:sz w:val="24"/>
                <w:szCs w:val="24"/>
                <w:lang w:eastAsia="zh-CN"/>
              </w:rPr>
              <w:t>月</w:t>
            </w:r>
            <w:r w:rsidR="00E355A8">
              <w:rPr>
                <w:sz w:val="24"/>
                <w:szCs w:val="24"/>
                <w:lang w:eastAsia="zh-CN"/>
              </w:rPr>
              <w:t>6</w:t>
            </w:r>
            <w:r w:rsidRPr="007616E7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829EF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829E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9829E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="00311596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br/>
            </w:r>
            <w:r w:rsidR="00311596" w:rsidRPr="00311596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无线电通信部门成员</w:t>
            </w:r>
          </w:p>
          <w:p w:rsidR="00E53DCE" w:rsidRPr="002E0DC8" w:rsidRDefault="00E53DCE" w:rsidP="009829E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829EF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829EF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9C6A12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11596" w:rsidRPr="00615942" w:rsidRDefault="00615942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关于“国际电联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15942">
              <w:rPr>
                <w:b/>
                <w:bCs/>
                <w:sz w:val="24"/>
                <w:szCs w:val="24"/>
                <w:lang w:eastAsia="zh-CN"/>
              </w:rPr>
              <w:t>–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21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世纪挑战：防止对卫星系统的有害干扰”</w:t>
            </w:r>
          </w:p>
          <w:p w:rsidR="00E53DCE" w:rsidRPr="007616E7" w:rsidRDefault="00615942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国际卫星通信讲习班（</w:t>
            </w:r>
            <w:r w:rsidR="00311596" w:rsidRPr="00311596">
              <w:rPr>
                <w:b/>
                <w:bCs/>
                <w:sz w:val="24"/>
                <w:szCs w:val="24"/>
                <w:lang w:eastAsia="zh-CN"/>
              </w:rPr>
              <w:t>2013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日，日内瓦）</w:t>
            </w: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E53DCE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E53DCE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6160CB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9829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6160CB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9829E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C0C87" w:rsidRPr="00FC4044" w:rsidRDefault="008C0C87" w:rsidP="004B508E">
      <w:pPr>
        <w:spacing w:before="600" w:line="240" w:lineRule="auto"/>
        <w:rPr>
          <w:sz w:val="24"/>
          <w:szCs w:val="24"/>
          <w:lang w:eastAsia="zh-CN"/>
        </w:rPr>
      </w:pPr>
      <w:r w:rsidRPr="00FC4044">
        <w:rPr>
          <w:rFonts w:hint="eastAsia"/>
          <w:sz w:val="24"/>
          <w:szCs w:val="24"/>
          <w:lang w:eastAsia="zh-CN"/>
        </w:rPr>
        <w:t>针对日益增长的卫星通信需求和考虑到推动</w:t>
      </w:r>
      <w:r w:rsidR="00FF0B98" w:rsidRPr="00FC4044">
        <w:rPr>
          <w:rFonts w:hint="eastAsia"/>
          <w:sz w:val="24"/>
          <w:szCs w:val="24"/>
          <w:lang w:eastAsia="zh-CN"/>
        </w:rPr>
        <w:t>普及</w:t>
      </w:r>
      <w:r w:rsidRPr="00FC4044">
        <w:rPr>
          <w:rFonts w:hint="eastAsia"/>
          <w:sz w:val="24"/>
          <w:szCs w:val="24"/>
          <w:lang w:eastAsia="zh-CN"/>
        </w:rPr>
        <w:t>卫星连接的国际合作，全世界都在讨论、制定和实施防范有害干扰的规则与措施。在国际电联和国际</w:t>
      </w:r>
      <w:r w:rsidRPr="00FC4044">
        <w:rPr>
          <w:rFonts w:hint="eastAsia"/>
          <w:sz w:val="24"/>
          <w:szCs w:val="24"/>
          <w:lang w:eastAsia="zh-CN"/>
        </w:rPr>
        <w:t>ICT</w:t>
      </w:r>
      <w:r w:rsidRPr="00FC4044">
        <w:rPr>
          <w:rFonts w:hint="eastAsia"/>
          <w:sz w:val="24"/>
          <w:szCs w:val="24"/>
          <w:lang w:eastAsia="zh-CN"/>
        </w:rPr>
        <w:t>业界在</w:t>
      </w:r>
      <w:r w:rsidRPr="00FC4044">
        <w:rPr>
          <w:rFonts w:hint="eastAsia"/>
          <w:sz w:val="24"/>
          <w:szCs w:val="24"/>
          <w:lang w:eastAsia="zh-CN"/>
        </w:rPr>
        <w:t>2012</w:t>
      </w:r>
      <w:r w:rsidRPr="00FC4044">
        <w:rPr>
          <w:rFonts w:hint="eastAsia"/>
          <w:sz w:val="24"/>
          <w:szCs w:val="24"/>
          <w:lang w:eastAsia="zh-CN"/>
        </w:rPr>
        <w:t>年世界无线电通信大会期间以及其后持续进行的对话的基础上，无线电通信局高兴地宣布将于</w:t>
      </w:r>
      <w:r w:rsidRPr="00FC4044">
        <w:rPr>
          <w:rFonts w:hint="eastAsia"/>
          <w:sz w:val="24"/>
          <w:szCs w:val="24"/>
          <w:lang w:eastAsia="zh-CN"/>
        </w:rPr>
        <w:t>2013</w:t>
      </w:r>
      <w:r w:rsidRPr="00FC4044">
        <w:rPr>
          <w:rFonts w:hint="eastAsia"/>
          <w:sz w:val="24"/>
          <w:szCs w:val="24"/>
          <w:lang w:eastAsia="zh-CN"/>
        </w:rPr>
        <w:t>年</w:t>
      </w:r>
      <w:r w:rsidRPr="00FC4044">
        <w:rPr>
          <w:rFonts w:hint="eastAsia"/>
          <w:sz w:val="24"/>
          <w:szCs w:val="24"/>
          <w:lang w:eastAsia="zh-CN"/>
        </w:rPr>
        <w:t>6</w:t>
      </w:r>
      <w:r w:rsidRPr="00FC4044">
        <w:rPr>
          <w:rFonts w:hint="eastAsia"/>
          <w:sz w:val="24"/>
          <w:szCs w:val="24"/>
          <w:lang w:eastAsia="zh-CN"/>
        </w:rPr>
        <w:t>月</w:t>
      </w:r>
      <w:r w:rsidRPr="00FC4044">
        <w:rPr>
          <w:rFonts w:hint="eastAsia"/>
          <w:sz w:val="24"/>
          <w:szCs w:val="24"/>
          <w:lang w:eastAsia="zh-CN"/>
        </w:rPr>
        <w:t>10</w:t>
      </w:r>
      <w:r w:rsidRPr="00FC4044">
        <w:rPr>
          <w:rFonts w:hint="eastAsia"/>
          <w:sz w:val="24"/>
          <w:szCs w:val="24"/>
          <w:lang w:eastAsia="zh-CN"/>
        </w:rPr>
        <w:t>日在日内瓦举行为期一天的讲习班。</w:t>
      </w:r>
      <w:r w:rsidRPr="00FC4044">
        <w:rPr>
          <w:sz w:val="24"/>
          <w:szCs w:val="24"/>
          <w:lang w:eastAsia="zh-CN"/>
        </w:rPr>
        <w:t xml:space="preserve"> </w:t>
      </w:r>
    </w:p>
    <w:p w:rsidR="008C0C87" w:rsidRPr="00FC4044" w:rsidRDefault="008C0C87" w:rsidP="009829EF">
      <w:pPr>
        <w:spacing w:line="240" w:lineRule="auto"/>
        <w:rPr>
          <w:sz w:val="24"/>
          <w:szCs w:val="24"/>
          <w:lang w:eastAsia="zh-CN"/>
        </w:rPr>
      </w:pPr>
      <w:r w:rsidRPr="00FC4044">
        <w:rPr>
          <w:rFonts w:hint="eastAsia"/>
          <w:sz w:val="24"/>
          <w:szCs w:val="24"/>
          <w:lang w:eastAsia="zh-CN"/>
        </w:rPr>
        <w:t>日内瓦讲习班将是一次开放活动，力促国家主管部门、卫星通信行业、</w:t>
      </w:r>
      <w:r w:rsidR="003A489A" w:rsidRPr="00FC4044">
        <w:rPr>
          <w:rFonts w:hint="eastAsia"/>
          <w:sz w:val="24"/>
          <w:szCs w:val="24"/>
          <w:lang w:eastAsia="zh-CN"/>
        </w:rPr>
        <w:t>用户团体、其他</w:t>
      </w:r>
      <w:r w:rsidR="003A489A" w:rsidRPr="00FC4044">
        <w:rPr>
          <w:rFonts w:hint="eastAsia"/>
          <w:sz w:val="24"/>
          <w:szCs w:val="24"/>
          <w:lang w:eastAsia="zh-CN"/>
        </w:rPr>
        <w:t>ICT</w:t>
      </w:r>
      <w:r w:rsidR="003A489A" w:rsidRPr="00FC4044">
        <w:rPr>
          <w:rFonts w:hint="eastAsia"/>
          <w:sz w:val="24"/>
          <w:szCs w:val="24"/>
          <w:lang w:eastAsia="zh-CN"/>
        </w:rPr>
        <w:t>利益攸关方以及关注这一议题的所有各方参与。</w:t>
      </w:r>
    </w:p>
    <w:p w:rsidR="008C0C87" w:rsidRPr="00FC4044" w:rsidRDefault="00E318B5" w:rsidP="009829EF">
      <w:pPr>
        <w:spacing w:line="240" w:lineRule="auto"/>
        <w:rPr>
          <w:sz w:val="24"/>
          <w:szCs w:val="24"/>
          <w:lang w:eastAsia="zh-CN"/>
        </w:rPr>
      </w:pPr>
      <w:r w:rsidRPr="00FC4044">
        <w:rPr>
          <w:rFonts w:hint="eastAsia"/>
          <w:sz w:val="24"/>
          <w:szCs w:val="24"/>
          <w:lang w:eastAsia="zh-CN"/>
        </w:rPr>
        <w:t>讲习班将向国际电联利益攸关方提供以下机会：</w:t>
      </w:r>
    </w:p>
    <w:p w:rsidR="008C0C87" w:rsidRPr="00FC4044" w:rsidRDefault="00E318B5" w:rsidP="009829EF">
      <w:pPr>
        <w:pStyle w:val="enumlev1"/>
        <w:spacing w:line="240" w:lineRule="auto"/>
        <w:rPr>
          <w:sz w:val="24"/>
          <w:szCs w:val="24"/>
          <w:lang w:eastAsia="zh-CN"/>
        </w:rPr>
      </w:pPr>
      <w:r w:rsidRPr="00FC4044">
        <w:rPr>
          <w:sz w:val="24"/>
          <w:szCs w:val="24"/>
          <w:lang w:eastAsia="zh-CN"/>
        </w:rPr>
        <w:t>–</w:t>
      </w:r>
      <w:r w:rsidR="008C0C87" w:rsidRPr="00FC4044">
        <w:rPr>
          <w:sz w:val="24"/>
          <w:szCs w:val="24"/>
          <w:lang w:eastAsia="zh-CN"/>
        </w:rPr>
        <w:tab/>
      </w:r>
      <w:r w:rsidRPr="00FC4044">
        <w:rPr>
          <w:rFonts w:hint="eastAsia"/>
          <w:sz w:val="24"/>
          <w:szCs w:val="24"/>
          <w:lang w:eastAsia="zh-CN"/>
        </w:rPr>
        <w:t>了解影响卫星系统的有害干扰情况，</w:t>
      </w:r>
    </w:p>
    <w:p w:rsidR="008C0C87" w:rsidRPr="00FC4044" w:rsidRDefault="00E318B5" w:rsidP="009829EF">
      <w:pPr>
        <w:pStyle w:val="enumlev1"/>
        <w:spacing w:line="240" w:lineRule="auto"/>
        <w:rPr>
          <w:sz w:val="24"/>
          <w:szCs w:val="24"/>
          <w:lang w:eastAsia="zh-CN"/>
        </w:rPr>
      </w:pPr>
      <w:r w:rsidRPr="00FC4044">
        <w:rPr>
          <w:sz w:val="24"/>
          <w:szCs w:val="24"/>
          <w:lang w:eastAsia="zh-CN"/>
        </w:rPr>
        <w:t>–</w:t>
      </w:r>
      <w:r w:rsidR="008C0C87" w:rsidRPr="00FC4044">
        <w:rPr>
          <w:sz w:val="24"/>
          <w:szCs w:val="24"/>
          <w:lang w:eastAsia="zh-CN"/>
        </w:rPr>
        <w:tab/>
      </w:r>
      <w:r w:rsidRPr="00FC4044">
        <w:rPr>
          <w:rFonts w:hint="eastAsia"/>
          <w:sz w:val="24"/>
          <w:szCs w:val="24"/>
          <w:lang w:eastAsia="zh-CN"/>
        </w:rPr>
        <w:t>审议解决这一问题的现行监管和技术举措和战略，以及</w:t>
      </w:r>
    </w:p>
    <w:p w:rsidR="008C0C87" w:rsidRPr="00FC4044" w:rsidRDefault="00E318B5" w:rsidP="009829EF">
      <w:pPr>
        <w:pStyle w:val="enumlev1"/>
        <w:spacing w:line="240" w:lineRule="auto"/>
        <w:rPr>
          <w:sz w:val="24"/>
          <w:szCs w:val="24"/>
          <w:lang w:eastAsia="zh-CN"/>
        </w:rPr>
      </w:pPr>
      <w:r w:rsidRPr="00FC4044">
        <w:rPr>
          <w:sz w:val="24"/>
          <w:szCs w:val="24"/>
          <w:lang w:eastAsia="zh-CN"/>
        </w:rPr>
        <w:t>–</w:t>
      </w:r>
      <w:r w:rsidR="008C0C87" w:rsidRPr="00FC4044">
        <w:rPr>
          <w:sz w:val="24"/>
          <w:szCs w:val="24"/>
          <w:lang w:eastAsia="zh-CN"/>
        </w:rPr>
        <w:tab/>
      </w:r>
      <w:r w:rsidRPr="00FC4044">
        <w:rPr>
          <w:rFonts w:hint="eastAsia"/>
          <w:sz w:val="24"/>
          <w:szCs w:val="24"/>
          <w:lang w:eastAsia="zh-CN"/>
        </w:rPr>
        <w:t>分享有关做法和这些措施对</w:t>
      </w:r>
      <w:r w:rsidRPr="00FC4044">
        <w:rPr>
          <w:rFonts w:hint="eastAsia"/>
          <w:sz w:val="24"/>
          <w:szCs w:val="24"/>
          <w:lang w:eastAsia="zh-CN"/>
        </w:rPr>
        <w:t>ICT</w:t>
      </w:r>
      <w:r w:rsidRPr="00FC4044">
        <w:rPr>
          <w:rFonts w:hint="eastAsia"/>
          <w:sz w:val="24"/>
          <w:szCs w:val="24"/>
          <w:lang w:eastAsia="zh-CN"/>
        </w:rPr>
        <w:t>运作效率和服务产生的影响的报告。</w:t>
      </w:r>
    </w:p>
    <w:p w:rsidR="008C0C87" w:rsidRPr="00FC4044" w:rsidRDefault="006C55FE" w:rsidP="00EA3BC9">
      <w:pPr>
        <w:spacing w:line="240" w:lineRule="auto"/>
        <w:rPr>
          <w:sz w:val="24"/>
          <w:szCs w:val="24"/>
          <w:lang w:eastAsia="zh-CN"/>
        </w:rPr>
      </w:pPr>
      <w:r w:rsidRPr="00FC4044">
        <w:rPr>
          <w:rFonts w:hint="eastAsia"/>
          <w:sz w:val="24"/>
          <w:szCs w:val="24"/>
          <w:lang w:eastAsia="zh-CN"/>
        </w:rPr>
        <w:t>将在为与会者建立的讲习班网站（</w:t>
      </w:r>
      <w:r w:rsidRPr="00FC4044">
        <w:rPr>
          <w:color w:val="0070C0"/>
          <w:sz w:val="24"/>
          <w:szCs w:val="24"/>
          <w:u w:val="single"/>
        </w:rPr>
        <w:t>http://www.itu.int/GO/ITU-R/interference-geneva-2013</w:t>
      </w:r>
      <w:r w:rsidRPr="00FC4044">
        <w:rPr>
          <w:rFonts w:hint="eastAsia"/>
          <w:sz w:val="24"/>
          <w:szCs w:val="24"/>
          <w:lang w:eastAsia="zh-CN"/>
        </w:rPr>
        <w:t>）发布相关文件，包括有关提交演讲稿和其后参会的信息。此论坛将很快提供讲习班的详细日程，并根据源源获得的新的或经更新的信息对日程进行更新。</w:t>
      </w:r>
    </w:p>
    <w:p w:rsidR="004B508E" w:rsidRDefault="004B50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8C0C87" w:rsidRPr="00FC4044" w:rsidRDefault="006C55FE" w:rsidP="009829EF">
      <w:pPr>
        <w:spacing w:line="240" w:lineRule="auto"/>
        <w:rPr>
          <w:sz w:val="24"/>
          <w:szCs w:val="24"/>
          <w:lang w:eastAsia="zh-CN"/>
        </w:rPr>
      </w:pPr>
      <w:r w:rsidRPr="00FC4044">
        <w:rPr>
          <w:rFonts w:hint="eastAsia"/>
          <w:sz w:val="24"/>
          <w:szCs w:val="24"/>
          <w:lang w:eastAsia="zh-CN"/>
        </w:rPr>
        <w:lastRenderedPageBreak/>
        <w:t>欲获取更多信息，请联系：</w:t>
      </w:r>
      <w:r w:rsidR="008C0C87" w:rsidRPr="00FC4044">
        <w:rPr>
          <w:sz w:val="24"/>
          <w:szCs w:val="24"/>
          <w:lang w:eastAsia="zh-CN"/>
        </w:rPr>
        <w:t>Yvon Henri</w:t>
      </w:r>
      <w:r w:rsidRPr="00FC4044">
        <w:rPr>
          <w:rFonts w:hint="eastAsia"/>
          <w:sz w:val="24"/>
          <w:szCs w:val="24"/>
          <w:lang w:eastAsia="zh-CN"/>
        </w:rPr>
        <w:t>先生</w:t>
      </w:r>
      <w:r w:rsidR="00BD531A" w:rsidRPr="00FC4044">
        <w:rPr>
          <w:rFonts w:hint="eastAsia"/>
          <w:sz w:val="24"/>
          <w:szCs w:val="24"/>
          <w:lang w:eastAsia="zh-CN"/>
        </w:rPr>
        <w:t>（召集人</w:t>
      </w:r>
      <w:r w:rsidR="00BD531A" w:rsidRPr="00FC4044">
        <w:rPr>
          <w:rFonts w:hint="eastAsia"/>
          <w:sz w:val="24"/>
          <w:szCs w:val="24"/>
          <w:lang w:eastAsia="zh-CN"/>
        </w:rPr>
        <w:t>/</w:t>
      </w:r>
      <w:r w:rsidR="00BD531A" w:rsidRPr="00FC4044">
        <w:rPr>
          <w:rFonts w:hint="eastAsia"/>
          <w:sz w:val="24"/>
          <w:szCs w:val="24"/>
          <w:lang w:eastAsia="zh-CN"/>
        </w:rPr>
        <w:t>主持人），（</w:t>
      </w:r>
      <w:hyperlink r:id="rId9" w:history="1">
        <w:r w:rsidR="00BD531A" w:rsidRPr="00FC4044">
          <w:rPr>
            <w:rStyle w:val="Hyperlink"/>
            <w:color w:val="0070C0"/>
            <w:sz w:val="24"/>
            <w:szCs w:val="24"/>
            <w:lang w:eastAsia="zh-CN"/>
          </w:rPr>
          <w:t>yvon.henri@itu.int</w:t>
        </w:r>
      </w:hyperlink>
      <w:r w:rsidR="00BD531A" w:rsidRPr="00FC4044">
        <w:rPr>
          <w:rFonts w:hint="eastAsia"/>
          <w:sz w:val="24"/>
          <w:szCs w:val="24"/>
          <w:lang w:eastAsia="zh-CN"/>
        </w:rPr>
        <w:t>），电话：</w:t>
      </w:r>
      <w:r w:rsidR="008C0C87" w:rsidRPr="00FC4044">
        <w:rPr>
          <w:sz w:val="24"/>
          <w:szCs w:val="24"/>
          <w:lang w:eastAsia="zh-CN"/>
        </w:rPr>
        <w:t>+41 22 730 5536</w:t>
      </w:r>
      <w:r w:rsidR="00BD531A" w:rsidRPr="00FC4044">
        <w:rPr>
          <w:rFonts w:hint="eastAsia"/>
          <w:sz w:val="24"/>
          <w:szCs w:val="24"/>
          <w:lang w:eastAsia="zh-CN"/>
        </w:rPr>
        <w:t>。</w:t>
      </w:r>
    </w:p>
    <w:p w:rsidR="00D631CE" w:rsidRPr="00FC4044" w:rsidRDefault="00D631CE" w:rsidP="004B508E">
      <w:pPr>
        <w:spacing w:before="36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4E29D4" w:rsidRPr="00FC4044" w:rsidRDefault="004E29D4" w:rsidP="004B508E">
      <w:pPr>
        <w:spacing w:before="36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D35AB9" w:rsidRPr="00FC4044" w:rsidRDefault="00D35AB9" w:rsidP="004B508E">
      <w:pPr>
        <w:spacing w:before="36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Pr="00FC4044" w:rsidRDefault="009C6A12" w:rsidP="009829EF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C40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FC4044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FC40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C4044">
        <w:rPr>
          <w:rFonts w:asciiTheme="majorEastAsia" w:eastAsiaTheme="majorEastAsia" w:hAnsiTheme="majorEastAsia"/>
          <w:sz w:val="24"/>
          <w:szCs w:val="24"/>
          <w:lang w:eastAsia="zh-CN"/>
        </w:rPr>
        <w:t>•</w:t>
      </w:r>
      <w:r w:rsidRPr="00FC40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4E29D4" w:rsidRPr="00FC4044" w:rsidRDefault="004E29D4" w:rsidP="004B508E">
      <w:pPr>
        <w:spacing w:before="168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4E29D4" w:rsidRPr="00FC4044" w:rsidRDefault="004E29D4" w:rsidP="009829EF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C4044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附件：</w:t>
      </w:r>
      <w:r w:rsidRPr="00FC4044">
        <w:rPr>
          <w:rFonts w:asciiTheme="minorHAnsi" w:hAnsiTheme="minorHAnsi" w:cstheme="minorHAnsi" w:hint="eastAsia"/>
          <w:sz w:val="24"/>
          <w:szCs w:val="24"/>
          <w:lang w:eastAsia="zh-CN"/>
        </w:rPr>
        <w:t>综合信息</w:t>
      </w:r>
    </w:p>
    <w:p w:rsidR="005B1525" w:rsidRDefault="005B1525" w:rsidP="004B508E">
      <w:pPr>
        <w:tabs>
          <w:tab w:val="left" w:pos="284"/>
          <w:tab w:val="left" w:pos="568"/>
        </w:tabs>
        <w:spacing w:before="3360" w:after="120" w:line="240" w:lineRule="auto"/>
        <w:rPr>
          <w:rFonts w:ascii="SimSun" w:hAnsi="SimSun"/>
          <w:b/>
          <w:bCs/>
          <w:sz w:val="18"/>
          <w:szCs w:val="18"/>
          <w:lang w:val="fr-CH" w:eastAsia="zh-CN"/>
        </w:rPr>
      </w:pPr>
    </w:p>
    <w:p w:rsidR="004E29D4" w:rsidRPr="004C7EA1" w:rsidRDefault="004E29D4" w:rsidP="004B508E">
      <w:pPr>
        <w:tabs>
          <w:tab w:val="left" w:pos="284"/>
          <w:tab w:val="left" w:pos="568"/>
        </w:tabs>
        <w:spacing w:before="3360" w:after="120" w:line="240" w:lineRule="auto"/>
        <w:rPr>
          <w:rFonts w:ascii="SimSun" w:hAnsi="SimSun"/>
          <w:b/>
          <w:bCs/>
          <w:sz w:val="18"/>
          <w:szCs w:val="18"/>
          <w:lang w:eastAsia="zh-CN"/>
        </w:rPr>
      </w:pPr>
      <w:r w:rsidRPr="004C7EA1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4E29D4" w:rsidRPr="004C7EA1" w:rsidRDefault="004E29D4" w:rsidP="009829EF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4E29D4" w:rsidRPr="004C7EA1" w:rsidRDefault="004E29D4" w:rsidP="009829EF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4E29D4" w:rsidRDefault="004E29D4" w:rsidP="00982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 w:cstheme="minorHAnsi"/>
          <w:sz w:val="28"/>
          <w:szCs w:val="28"/>
          <w:lang w:val="fr-FR" w:eastAsia="zh-CN"/>
        </w:rPr>
      </w:pPr>
      <w:r>
        <w:rPr>
          <w:rFonts w:asciiTheme="majorEastAsia" w:eastAsiaTheme="majorEastAsia" w:hAnsiTheme="majorEastAsia" w:cstheme="minorHAnsi"/>
          <w:sz w:val="28"/>
          <w:szCs w:val="28"/>
          <w:lang w:val="fr-FR" w:eastAsia="zh-CN"/>
        </w:rPr>
        <w:br w:type="page"/>
      </w:r>
    </w:p>
    <w:p w:rsidR="00FC4044" w:rsidRPr="00C90EC7" w:rsidRDefault="00FC4044" w:rsidP="009829EF">
      <w:pPr>
        <w:pStyle w:val="NormalWeb"/>
        <w:jc w:val="center"/>
        <w:rPr>
          <w:rFonts w:ascii="Calibri" w:hAnsi="Calibri"/>
          <w:b/>
          <w:bCs/>
          <w:sz w:val="28"/>
          <w:szCs w:val="28"/>
          <w:lang w:val="fr-CH"/>
        </w:rPr>
      </w:pPr>
      <w:r>
        <w:rPr>
          <w:rFonts w:ascii="Calibri" w:hAnsi="Calibri" w:hint="eastAsia"/>
          <w:b/>
          <w:bCs/>
          <w:sz w:val="28"/>
          <w:szCs w:val="28"/>
          <w:lang w:val="fr-CH"/>
        </w:rPr>
        <w:lastRenderedPageBreak/>
        <w:t>附件</w:t>
      </w:r>
    </w:p>
    <w:p w:rsidR="00FC4044" w:rsidRPr="00C90EC7" w:rsidRDefault="00FC4044" w:rsidP="009829EF">
      <w:pPr>
        <w:pStyle w:val="NormalWeb"/>
        <w:jc w:val="center"/>
        <w:rPr>
          <w:rStyle w:val="Strong"/>
          <w:rFonts w:ascii="Calibri" w:hAnsi="Calibri"/>
          <w:sz w:val="28"/>
          <w:szCs w:val="28"/>
          <w:lang w:val="fr-CH"/>
        </w:rPr>
      </w:pPr>
      <w:r>
        <w:rPr>
          <w:rStyle w:val="Strong"/>
          <w:rFonts w:ascii="Calibri" w:hAnsi="Calibri" w:hint="eastAsia"/>
          <w:sz w:val="28"/>
          <w:szCs w:val="28"/>
          <w:lang w:val="fr-CH"/>
        </w:rPr>
        <w:t>综合信息</w:t>
      </w:r>
    </w:p>
    <w:p w:rsidR="00FC4044" w:rsidRPr="00572694" w:rsidRDefault="00FC4044" w:rsidP="009829EF">
      <w:pPr>
        <w:pStyle w:val="NormalWeb"/>
        <w:jc w:val="center"/>
        <w:rPr>
          <w:rFonts w:ascii="Calibri" w:hAnsi="Calibri"/>
          <w:lang w:val="fr-CH"/>
        </w:rPr>
      </w:pPr>
    </w:p>
    <w:p w:rsidR="00FC4044" w:rsidRPr="0043106F" w:rsidRDefault="00FC4044" w:rsidP="004B508E">
      <w:pPr>
        <w:pStyle w:val="enumlev1"/>
        <w:numPr>
          <w:ilvl w:val="0"/>
          <w:numId w:val="3"/>
        </w:numPr>
        <w:tabs>
          <w:tab w:val="clear" w:pos="720"/>
        </w:tabs>
        <w:ind w:left="794" w:hanging="79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举办方：国际电联无线电通信局（</w:t>
      </w:r>
      <w:r w:rsidRPr="0043106F">
        <w:rPr>
          <w:sz w:val="24"/>
          <w:szCs w:val="24"/>
          <w:lang w:eastAsia="zh-CN"/>
        </w:rPr>
        <w:t>ITU-BR</w:t>
      </w:r>
      <w:r>
        <w:rPr>
          <w:rFonts w:hint="eastAsia"/>
          <w:sz w:val="24"/>
          <w:szCs w:val="24"/>
          <w:lang w:eastAsia="zh-CN"/>
        </w:rPr>
        <w:t>）</w:t>
      </w:r>
    </w:p>
    <w:p w:rsidR="00FC4044" w:rsidRPr="0043106F" w:rsidRDefault="00FC4044" w:rsidP="004B508E">
      <w:pPr>
        <w:pStyle w:val="enumlev1"/>
        <w:numPr>
          <w:ilvl w:val="0"/>
          <w:numId w:val="3"/>
        </w:numPr>
        <w:tabs>
          <w:tab w:val="clear" w:pos="720"/>
        </w:tabs>
        <w:spacing w:before="120" w:after="120"/>
        <w:ind w:left="794" w:hanging="794"/>
        <w:jc w:val="left"/>
        <w:rPr>
          <w:sz w:val="24"/>
          <w:szCs w:val="24"/>
          <w:u w:val="single"/>
        </w:rPr>
      </w:pPr>
      <w:r w:rsidRPr="0043106F">
        <w:rPr>
          <w:color w:val="0070C0"/>
          <w:sz w:val="24"/>
          <w:szCs w:val="24"/>
          <w:u w:val="single"/>
        </w:rPr>
        <w:t>http://www.itu.int/GO/ITU-R/interference-geneva-2013</w:t>
      </w:r>
    </w:p>
    <w:p w:rsidR="00FC4044" w:rsidRPr="0043106F" w:rsidRDefault="00543849" w:rsidP="004B508E">
      <w:pPr>
        <w:pStyle w:val="enumlev1"/>
        <w:numPr>
          <w:ilvl w:val="0"/>
          <w:numId w:val="3"/>
        </w:numPr>
        <w:tabs>
          <w:tab w:val="clear" w:pos="720"/>
        </w:tabs>
        <w:spacing w:before="120" w:after="120"/>
        <w:ind w:left="794" w:hanging="794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日期：</w:t>
      </w:r>
      <w:r w:rsidR="00FC4044" w:rsidRPr="0043106F">
        <w:rPr>
          <w:b/>
          <w:bCs/>
          <w:sz w:val="24"/>
          <w:szCs w:val="24"/>
        </w:rPr>
        <w:t>2013</w:t>
      </w:r>
      <w:r>
        <w:rPr>
          <w:rFonts w:hint="eastAsia"/>
          <w:b/>
          <w:bCs/>
          <w:sz w:val="24"/>
          <w:szCs w:val="24"/>
          <w:lang w:eastAsia="zh-CN"/>
        </w:rPr>
        <w:t>年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rFonts w:hint="eastAsia"/>
          <w:b/>
          <w:bCs/>
          <w:sz w:val="24"/>
          <w:szCs w:val="24"/>
          <w:lang w:eastAsia="zh-CN"/>
        </w:rPr>
        <w:t>月</w:t>
      </w:r>
      <w:r>
        <w:rPr>
          <w:rFonts w:hint="eastAsia"/>
          <w:b/>
          <w:bCs/>
          <w:sz w:val="24"/>
          <w:szCs w:val="24"/>
          <w:lang w:eastAsia="zh-CN"/>
        </w:rPr>
        <w:t>10</w:t>
      </w:r>
      <w:r>
        <w:rPr>
          <w:rFonts w:hint="eastAsia"/>
          <w:b/>
          <w:bCs/>
          <w:sz w:val="24"/>
          <w:szCs w:val="24"/>
          <w:lang w:eastAsia="zh-CN"/>
        </w:rPr>
        <w:t>日</w:t>
      </w:r>
    </w:p>
    <w:p w:rsidR="00FC4044" w:rsidRPr="0043106F" w:rsidRDefault="00543849" w:rsidP="004B508E">
      <w:pPr>
        <w:pStyle w:val="enumlev1"/>
        <w:numPr>
          <w:ilvl w:val="0"/>
          <w:numId w:val="3"/>
        </w:numPr>
        <w:tabs>
          <w:tab w:val="clear" w:pos="720"/>
        </w:tabs>
        <w:spacing w:before="120" w:after="120"/>
        <w:ind w:left="794" w:hanging="79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地点：</w:t>
      </w:r>
      <w:r w:rsidRPr="00543849">
        <w:rPr>
          <w:rFonts w:hint="eastAsia"/>
          <w:b/>
          <w:bCs/>
          <w:sz w:val="24"/>
          <w:szCs w:val="24"/>
          <w:lang w:eastAsia="zh-CN"/>
        </w:rPr>
        <w:t>日内瓦</w:t>
      </w:r>
      <w:r>
        <w:rPr>
          <w:rFonts w:hint="eastAsia"/>
          <w:b/>
          <w:bCs/>
          <w:sz w:val="24"/>
          <w:szCs w:val="24"/>
          <w:lang w:eastAsia="zh-CN"/>
        </w:rPr>
        <w:t>（瑞士）</w:t>
      </w:r>
    </w:p>
    <w:p w:rsidR="00FC4044" w:rsidRPr="0043106F" w:rsidRDefault="00543849" w:rsidP="004B508E">
      <w:pPr>
        <w:pStyle w:val="enumlev1"/>
        <w:numPr>
          <w:ilvl w:val="0"/>
          <w:numId w:val="3"/>
        </w:numPr>
        <w:tabs>
          <w:tab w:val="clear" w:pos="720"/>
        </w:tabs>
        <w:spacing w:before="120" w:after="120"/>
        <w:ind w:left="794" w:hanging="79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讲习班将以英文开展工作</w:t>
      </w:r>
    </w:p>
    <w:p w:rsidR="00FC4044" w:rsidRPr="0043106F" w:rsidRDefault="00543849" w:rsidP="004B508E">
      <w:pPr>
        <w:pStyle w:val="enumlev1"/>
        <w:numPr>
          <w:ilvl w:val="0"/>
          <w:numId w:val="3"/>
        </w:numPr>
        <w:tabs>
          <w:tab w:val="clear" w:pos="720"/>
        </w:tabs>
        <w:spacing w:before="120" w:after="120"/>
        <w:ind w:left="794" w:hanging="794"/>
        <w:jc w:val="left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讲习班</w:t>
      </w:r>
      <w:r w:rsidR="00805868">
        <w:rPr>
          <w:rFonts w:hint="eastAsia"/>
          <w:bCs/>
          <w:sz w:val="24"/>
          <w:szCs w:val="24"/>
          <w:lang w:eastAsia="zh-CN"/>
        </w:rPr>
        <w:t>涉及</w:t>
      </w:r>
      <w:r>
        <w:rPr>
          <w:rFonts w:hint="eastAsia"/>
          <w:bCs/>
          <w:sz w:val="24"/>
          <w:szCs w:val="24"/>
          <w:lang w:eastAsia="zh-CN"/>
        </w:rPr>
        <w:t>的</w:t>
      </w:r>
      <w:r w:rsidR="00805868">
        <w:rPr>
          <w:rFonts w:hint="eastAsia"/>
          <w:bCs/>
          <w:sz w:val="24"/>
          <w:szCs w:val="24"/>
          <w:lang w:eastAsia="zh-CN"/>
        </w:rPr>
        <w:t>主要</w:t>
      </w:r>
      <w:r>
        <w:rPr>
          <w:rFonts w:hint="eastAsia"/>
          <w:bCs/>
          <w:sz w:val="24"/>
          <w:szCs w:val="24"/>
          <w:lang w:eastAsia="zh-CN"/>
        </w:rPr>
        <w:t>议</w:t>
      </w:r>
      <w:r w:rsidR="00805868">
        <w:rPr>
          <w:rFonts w:hint="eastAsia"/>
          <w:bCs/>
          <w:sz w:val="24"/>
          <w:szCs w:val="24"/>
          <w:lang w:eastAsia="zh-CN"/>
        </w:rPr>
        <w:t>项包括</w:t>
      </w:r>
      <w:r>
        <w:rPr>
          <w:rFonts w:hint="eastAsia"/>
          <w:bCs/>
          <w:sz w:val="24"/>
          <w:szCs w:val="24"/>
          <w:lang w:eastAsia="zh-CN"/>
        </w:rPr>
        <w:t>：</w:t>
      </w:r>
    </w:p>
    <w:p w:rsidR="00FC4044" w:rsidRPr="0043106F" w:rsidRDefault="00543849" w:rsidP="004B508E">
      <w:pPr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联合国多边非约束性空间安全举措</w:t>
      </w:r>
    </w:p>
    <w:p w:rsidR="00FC4044" w:rsidRPr="0043106F" w:rsidRDefault="00543849" w:rsidP="004B508E">
      <w:pPr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卫星服务和干扰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543849">
        <w:rPr>
          <w:sz w:val="24"/>
          <w:szCs w:val="24"/>
          <w:lang w:eastAsia="zh-CN"/>
        </w:rPr>
        <w:t>–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现状</w:t>
      </w:r>
    </w:p>
    <w:p w:rsidR="00FC4044" w:rsidRPr="0043106F" w:rsidRDefault="00543849" w:rsidP="004B508E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就消除故意和无意有害干扰的措施开展合作</w:t>
      </w:r>
    </w:p>
    <w:p w:rsidR="00FC4044" w:rsidRPr="0043106F" w:rsidRDefault="00805868" w:rsidP="004B508E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发现</w:t>
      </w:r>
      <w:r w:rsidR="00543849">
        <w:rPr>
          <w:rFonts w:hint="eastAsia"/>
          <w:sz w:val="24"/>
          <w:szCs w:val="24"/>
          <w:lang w:eastAsia="zh-CN"/>
        </w:rPr>
        <w:t>和</w:t>
      </w:r>
      <w:r w:rsidR="00543849">
        <w:rPr>
          <w:rFonts w:hint="eastAsia"/>
          <w:sz w:val="24"/>
          <w:szCs w:val="24"/>
          <w:lang w:eastAsia="zh-CN"/>
        </w:rPr>
        <w:t>/</w:t>
      </w:r>
      <w:r w:rsidR="00543849">
        <w:rPr>
          <w:rFonts w:hint="eastAsia"/>
          <w:sz w:val="24"/>
          <w:szCs w:val="24"/>
          <w:lang w:eastAsia="zh-CN"/>
        </w:rPr>
        <w:t>或缓解有害干扰的技术</w:t>
      </w:r>
    </w:p>
    <w:p w:rsidR="00FC4044" w:rsidRPr="0043106F" w:rsidRDefault="00FC4044" w:rsidP="004B508E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  <w:lang w:eastAsia="zh-CN"/>
        </w:rPr>
      </w:pPr>
      <w:r w:rsidRPr="0043106F">
        <w:rPr>
          <w:sz w:val="24"/>
          <w:szCs w:val="24"/>
          <w:lang w:eastAsia="zh-CN"/>
        </w:rPr>
        <w:t>DVB</w:t>
      </w:r>
      <w:r w:rsidR="00543849">
        <w:rPr>
          <w:rFonts w:hint="eastAsia"/>
          <w:sz w:val="24"/>
          <w:szCs w:val="24"/>
          <w:lang w:eastAsia="zh-CN"/>
        </w:rPr>
        <w:t>载波身份识别的实施工作</w:t>
      </w:r>
    </w:p>
    <w:p w:rsidR="00FC4044" w:rsidRPr="0043106F" w:rsidRDefault="00FC4044" w:rsidP="004B508E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VSAT &amp; SNG</w:t>
      </w:r>
      <w:r w:rsidR="00543849">
        <w:rPr>
          <w:rFonts w:hint="eastAsia"/>
          <w:sz w:val="24"/>
          <w:szCs w:val="24"/>
          <w:lang w:eastAsia="zh-CN"/>
        </w:rPr>
        <w:t>设施的交付和操作培训</w:t>
      </w:r>
    </w:p>
    <w:p w:rsidR="00FC4044" w:rsidRPr="0043106F" w:rsidRDefault="00805868" w:rsidP="004B508E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20" w:after="120" w:line="240" w:lineRule="auto"/>
        <w:ind w:left="1134" w:hanging="283"/>
        <w:jc w:val="left"/>
        <w:textAlignment w:val="auto"/>
        <w:rPr>
          <w:sz w:val="24"/>
          <w:szCs w:val="24"/>
        </w:rPr>
      </w:pPr>
      <w:r>
        <w:rPr>
          <w:rFonts w:cs="Arial" w:hint="eastAsia"/>
          <w:sz w:val="24"/>
          <w:szCs w:val="24"/>
          <w:lang w:eastAsia="zh-CN"/>
        </w:rPr>
        <w:t>治理</w:t>
      </w:r>
      <w:r w:rsidR="00543849">
        <w:rPr>
          <w:rFonts w:cs="Arial" w:hint="eastAsia"/>
          <w:sz w:val="24"/>
          <w:szCs w:val="24"/>
          <w:lang w:eastAsia="zh-CN"/>
        </w:rPr>
        <w:t>强化措施</w:t>
      </w:r>
    </w:p>
    <w:p w:rsidR="007F361D" w:rsidRDefault="007F361D" w:rsidP="004B508E">
      <w:pPr>
        <w:pStyle w:val="Reasons"/>
        <w:spacing w:before="120" w:after="120"/>
        <w:rPr>
          <w:rFonts w:eastAsiaTheme="minorEastAsia"/>
          <w:lang w:eastAsia="zh-CN"/>
        </w:rPr>
      </w:pPr>
    </w:p>
    <w:p w:rsidR="00545FB5" w:rsidRPr="00545FB5" w:rsidRDefault="00545FB5" w:rsidP="004B508E">
      <w:pPr>
        <w:pStyle w:val="Reasons"/>
        <w:spacing w:before="120" w:after="120"/>
        <w:rPr>
          <w:rFonts w:eastAsiaTheme="minorEastAsia"/>
          <w:lang w:eastAsia="zh-CN"/>
        </w:rPr>
      </w:pPr>
    </w:p>
    <w:p w:rsidR="007F361D" w:rsidRDefault="007F361D" w:rsidP="009829EF">
      <w:pPr>
        <w:spacing w:line="240" w:lineRule="auto"/>
        <w:jc w:val="center"/>
      </w:pPr>
      <w:r>
        <w:t>______________</w:t>
      </w:r>
    </w:p>
    <w:sectPr w:rsidR="007F361D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96" w:rsidRDefault="00311596">
      <w:r>
        <w:separator/>
      </w:r>
    </w:p>
  </w:endnote>
  <w:endnote w:type="continuationSeparator" w:id="0">
    <w:p w:rsidR="00311596" w:rsidRDefault="0031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 w:eastAsia="zh-CN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  <w:p w:rsidR="00B429C1" w:rsidRPr="00E53DCE" w:rsidRDefault="00B429C1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96" w:rsidRDefault="00311596">
      <w:r>
        <w:t>____________________</w:t>
      </w:r>
    </w:p>
  </w:footnote>
  <w:footnote w:type="continuationSeparator" w:id="0">
    <w:p w:rsidR="00311596" w:rsidRDefault="0031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 w:rsidP="004B508E">
    <w:pPr>
      <w:pStyle w:val="Header"/>
      <w:spacing w:after="720"/>
    </w:pPr>
    <w:r>
      <w:tab/>
    </w:r>
    <w:r>
      <w:tab/>
      <w:t xml:space="preserve">– </w:t>
    </w:r>
    <w:r w:rsidR="007209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20964">
      <w:rPr>
        <w:rStyle w:val="PageNumber"/>
      </w:rPr>
      <w:fldChar w:fldCharType="separate"/>
    </w:r>
    <w:r w:rsidR="00D67B36">
      <w:rPr>
        <w:rStyle w:val="PageNumber"/>
        <w:noProof/>
      </w:rPr>
      <w:t>2</w:t>
    </w:r>
    <w:r w:rsidR="00720964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C" w:rsidRPr="00AF3325" w:rsidRDefault="00E915AF" w:rsidP="00565A3C">
    <w:pPr>
      <w:pStyle w:val="Header"/>
    </w:pPr>
    <w:r>
      <w:tab/>
    </w:r>
    <w:r>
      <w:tab/>
    </w:r>
    <w:r w:rsidR="00720964" w:rsidRPr="00AF3325">
      <w:rPr>
        <w:i/>
      </w:rPr>
      <w:fldChar w:fldCharType="begin"/>
    </w:r>
    <w:r w:rsidR="00565A3C" w:rsidRPr="00AF3325">
      <w:rPr>
        <w:i/>
      </w:rPr>
      <w:instrText xml:space="preserve"> PAGE  \* MERGEFORMAT </w:instrText>
    </w:r>
    <w:r w:rsidR="00720964" w:rsidRPr="00AF3325">
      <w:rPr>
        <w:i/>
      </w:rPr>
      <w:fldChar w:fldCharType="separate"/>
    </w:r>
    <w:r w:rsidR="00D67B36">
      <w:rPr>
        <w:i/>
        <w:noProof/>
      </w:rPr>
      <w:t>3</w:t>
    </w:r>
    <w:r w:rsidR="00720964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11596"/>
    <w:rsid w:val="00006A31"/>
    <w:rsid w:val="00006C82"/>
    <w:rsid w:val="00010E30"/>
    <w:rsid w:val="00015C76"/>
    <w:rsid w:val="00026CF8"/>
    <w:rsid w:val="00027005"/>
    <w:rsid w:val="00030BD7"/>
    <w:rsid w:val="00031E64"/>
    <w:rsid w:val="00034340"/>
    <w:rsid w:val="00035CB3"/>
    <w:rsid w:val="00041A98"/>
    <w:rsid w:val="00045A8D"/>
    <w:rsid w:val="0005167A"/>
    <w:rsid w:val="00054E5D"/>
    <w:rsid w:val="00070258"/>
    <w:rsid w:val="0007323C"/>
    <w:rsid w:val="00086D03"/>
    <w:rsid w:val="00095885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AF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1596"/>
    <w:rsid w:val="00316935"/>
    <w:rsid w:val="003266ED"/>
    <w:rsid w:val="00326C68"/>
    <w:rsid w:val="003370B8"/>
    <w:rsid w:val="00345D38"/>
    <w:rsid w:val="00352097"/>
    <w:rsid w:val="003666FF"/>
    <w:rsid w:val="00366DB6"/>
    <w:rsid w:val="0037309C"/>
    <w:rsid w:val="00380A6E"/>
    <w:rsid w:val="003836D4"/>
    <w:rsid w:val="003A1F49"/>
    <w:rsid w:val="003A489A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765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08E"/>
    <w:rsid w:val="004B7C9A"/>
    <w:rsid w:val="004C6779"/>
    <w:rsid w:val="004D733B"/>
    <w:rsid w:val="004E0DC4"/>
    <w:rsid w:val="004E0FB5"/>
    <w:rsid w:val="004E29D4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849"/>
    <w:rsid w:val="00543DF8"/>
    <w:rsid w:val="00545FB5"/>
    <w:rsid w:val="00546101"/>
    <w:rsid w:val="00553DD7"/>
    <w:rsid w:val="005638CF"/>
    <w:rsid w:val="00565A3C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525"/>
    <w:rsid w:val="005B214C"/>
    <w:rsid w:val="005B4CDA"/>
    <w:rsid w:val="005D3669"/>
    <w:rsid w:val="005E5EB3"/>
    <w:rsid w:val="005F3CB6"/>
    <w:rsid w:val="005F657C"/>
    <w:rsid w:val="00602D53"/>
    <w:rsid w:val="006047E5"/>
    <w:rsid w:val="00615942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5FE"/>
    <w:rsid w:val="006C7CDE"/>
    <w:rsid w:val="00720964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B3DB1"/>
    <w:rsid w:val="007D183E"/>
    <w:rsid w:val="007D43D0"/>
    <w:rsid w:val="007E1833"/>
    <w:rsid w:val="007E3F13"/>
    <w:rsid w:val="007F361D"/>
    <w:rsid w:val="007F751A"/>
    <w:rsid w:val="00800012"/>
    <w:rsid w:val="0080261F"/>
    <w:rsid w:val="00805868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0C87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26EA"/>
    <w:rsid w:val="00963D9D"/>
    <w:rsid w:val="0098013E"/>
    <w:rsid w:val="00981B54"/>
    <w:rsid w:val="009829EF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613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29C1"/>
    <w:rsid w:val="00B579B0"/>
    <w:rsid w:val="00B57D11"/>
    <w:rsid w:val="00B649D7"/>
    <w:rsid w:val="00B81C2F"/>
    <w:rsid w:val="00B90743"/>
    <w:rsid w:val="00B90C45"/>
    <w:rsid w:val="00B933BE"/>
    <w:rsid w:val="00BD1A90"/>
    <w:rsid w:val="00BD531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67B36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8B5"/>
    <w:rsid w:val="00E355A8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BC9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02D5"/>
    <w:rsid w:val="00FA2358"/>
    <w:rsid w:val="00FB2592"/>
    <w:rsid w:val="00FB2810"/>
    <w:rsid w:val="00FB7A2C"/>
    <w:rsid w:val="00FC2947"/>
    <w:rsid w:val="00FC4044"/>
    <w:rsid w:val="00FE0818"/>
    <w:rsid w:val="00FE6FB1"/>
    <w:rsid w:val="00FF0B9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FC40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C40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customStyle="1" w:styleId="Reasons">
    <w:name w:val="Reasons"/>
    <w:basedOn w:val="Normal"/>
    <w:qFormat/>
    <w:rsid w:val="007F36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65A3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FC40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C40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customStyle="1" w:styleId="Reasons">
    <w:name w:val="Reasons"/>
    <w:basedOn w:val="Normal"/>
    <w:qFormat/>
    <w:rsid w:val="007F36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65A3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(yvon.henri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2E20-E9CB-48DD-9A68-986E9B02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0</TotalTime>
  <Pages>3</Pages>
  <Words>152</Words>
  <Characters>868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marchett</cp:lastModifiedBy>
  <cp:revision>2</cp:revision>
  <cp:lastPrinted>2013-05-03T08:31:00Z</cp:lastPrinted>
  <dcterms:created xsi:type="dcterms:W3CDTF">2013-05-06T09:30:00Z</dcterms:created>
  <dcterms:modified xsi:type="dcterms:W3CDTF">2013-05-06T09:30:00Z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