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6547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65478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65478" w:rsidTr="006160CB">
        <w:tc>
          <w:tcPr>
            <w:tcW w:w="7054" w:type="dxa"/>
            <w:gridSpan w:val="2"/>
            <w:shd w:val="clear" w:color="auto" w:fill="auto"/>
          </w:tcPr>
          <w:p w:rsidR="001152EF" w:rsidRPr="00B65478" w:rsidRDefault="00B65478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65478">
              <w:rPr>
                <w:lang w:val="ru-RU"/>
              </w:rPr>
              <w:t>Циркулярное письмо</w:t>
            </w:r>
          </w:p>
          <w:p w:rsidR="00E53DCE" w:rsidRPr="00B65478" w:rsidRDefault="00E9175C" w:rsidP="00E9175C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C</w:t>
            </w:r>
            <w:r w:rsidR="00B65478" w:rsidRPr="00B65478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B65478">
              <w:rPr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B65478" w:rsidRPr="00B65478">
              <w:rPr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B65478" w:rsidRDefault="00351992" w:rsidP="00C278C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30</w:t>
                </w:r>
                <w:r w:rsidR="00B65478" w:rsidRPr="00B65478">
                  <w:rPr>
                    <w:rFonts w:cs="Arial"/>
                    <w:lang w:val="ru-RU"/>
                  </w:rPr>
                  <w:t xml:space="preserve"> апреля 2013 года</w:t>
                </w:r>
              </w:sdtContent>
            </w:sdt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F26672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6547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65478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51992" w:rsidTr="006160CB">
        <w:tc>
          <w:tcPr>
            <w:tcW w:w="1526" w:type="dxa"/>
            <w:shd w:val="clear" w:color="auto" w:fill="auto"/>
          </w:tcPr>
          <w:p w:rsidR="00E53DCE" w:rsidRPr="00B65478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278CE">
              <w:rPr>
                <w:lang w:val="ru-RU"/>
              </w:rPr>
              <w:t>Предмет</w:t>
            </w:r>
            <w:r w:rsidRPr="00B6547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E9175C" w:rsidRDefault="00E9175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E9175C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  <w:tr w:rsidR="00E53DCE" w:rsidRPr="00351992" w:rsidTr="006160CB">
        <w:tc>
          <w:tcPr>
            <w:tcW w:w="1526" w:type="dxa"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51992" w:rsidTr="006160CB">
        <w:tc>
          <w:tcPr>
            <w:tcW w:w="1526" w:type="dxa"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51992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51992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9175C" w:rsidRPr="00E9175C" w:rsidRDefault="00E9175C" w:rsidP="00E9175C">
      <w:pPr>
        <w:jc w:val="both"/>
        <w:rPr>
          <w:lang w:val="ru-RU"/>
        </w:rPr>
      </w:pPr>
      <w:r w:rsidRPr="00E9175C">
        <w:rPr>
          <w:lang w:val="ru-RU"/>
        </w:rPr>
        <w:t>В соответствии с положениями пп. 13.12 и 13.14 Регламента радиосвязи Радиорегламентарный комитет (РРК) на своем 62</w:t>
      </w:r>
      <w:r w:rsidRPr="00E9175C">
        <w:rPr>
          <w:lang w:val="ru-RU"/>
        </w:rPr>
        <w:noBreakHyphen/>
        <w:t>м собрании (18−22 марта 2013 г.) утвердил измененные Правила процедуры (Издание 2012 г., Обновление 3).</w:t>
      </w:r>
    </w:p>
    <w:p w:rsidR="00E9175C" w:rsidRPr="00E9175C" w:rsidRDefault="00E9175C" w:rsidP="00E9175C">
      <w:pPr>
        <w:jc w:val="both"/>
        <w:rPr>
          <w:lang w:val="ru-RU"/>
        </w:rPr>
      </w:pPr>
      <w:r w:rsidRPr="00E9175C">
        <w:rPr>
          <w:lang w:val="ru-RU"/>
        </w:rPr>
        <w:t xml:space="preserve">Эти новые либо измененные Правила процедуры включены в прилагаемые страницы Правил процедуры, заменяющие страницы Правил процедуры издания 2012 года (упомянутых в CR/339). Правила процедуры, представленные в Приложении, вступают в силу незамедлительно или с указанной даты. </w:t>
      </w:r>
    </w:p>
    <w:p w:rsidR="00B65478" w:rsidRPr="00B65478" w:rsidRDefault="00B65478" w:rsidP="00C278CE">
      <w:pPr>
        <w:spacing w:before="1320"/>
        <w:rPr>
          <w:lang w:val="ru-RU"/>
        </w:rPr>
      </w:pPr>
      <w:bookmarkStart w:id="0" w:name="ddistribution"/>
      <w:bookmarkEnd w:id="0"/>
      <w:r w:rsidRPr="00B65478">
        <w:rPr>
          <w:lang w:val="ru-RU"/>
        </w:rPr>
        <w:t>Франсуа Ранси</w:t>
      </w:r>
      <w:r w:rsidRPr="00B65478">
        <w:rPr>
          <w:lang w:val="ru-RU"/>
        </w:rPr>
        <w:br/>
        <w:t xml:space="preserve">Директор </w:t>
      </w:r>
    </w:p>
    <w:p w:rsidR="00B65478" w:rsidRPr="00B65478" w:rsidRDefault="00B65478" w:rsidP="00E9175C">
      <w:pPr>
        <w:spacing w:before="1440"/>
        <w:rPr>
          <w:lang w:val="ru-RU"/>
        </w:rPr>
      </w:pPr>
      <w:r w:rsidRPr="00B65478">
        <w:rPr>
          <w:b/>
          <w:bCs/>
          <w:lang w:val="ru-RU"/>
        </w:rPr>
        <w:t>Приложение</w:t>
      </w:r>
      <w:r w:rsidRPr="00B65478">
        <w:rPr>
          <w:lang w:val="ru-RU"/>
        </w:rPr>
        <w:t xml:space="preserve">: </w:t>
      </w:r>
      <w:hyperlink r:id="rId9" w:history="1">
        <w:r w:rsidR="00E9175C" w:rsidRPr="00E9175C">
          <w:rPr>
            <w:rStyle w:val="Hyperlink"/>
            <w:lang w:val="ru-RU"/>
          </w:rPr>
          <w:t>Правила процедуры – Издание 2012 года – Обновление 3</w:t>
        </w:r>
      </w:hyperlink>
      <w:r w:rsidR="00E9175C" w:rsidRPr="00E9175C">
        <w:rPr>
          <w:rStyle w:val="FootnoteReference"/>
          <w:sz w:val="16"/>
        </w:rPr>
        <w:footnoteReference w:id="1"/>
      </w:r>
    </w:p>
    <w:p w:rsidR="00B65478" w:rsidRPr="00C278CE" w:rsidRDefault="00B65478" w:rsidP="00C278CE">
      <w:pPr>
        <w:spacing w:before="1560"/>
        <w:rPr>
          <w:sz w:val="16"/>
          <w:szCs w:val="16"/>
          <w:lang w:val="ru-RU"/>
        </w:rPr>
      </w:pPr>
      <w:r w:rsidRPr="00C278CE">
        <w:rPr>
          <w:b/>
          <w:bCs/>
          <w:sz w:val="16"/>
          <w:szCs w:val="16"/>
          <w:lang w:val="ru-RU"/>
        </w:rPr>
        <w:t>Рассылка</w:t>
      </w:r>
      <w:r w:rsidRPr="00C278CE">
        <w:rPr>
          <w:sz w:val="16"/>
          <w:szCs w:val="16"/>
          <w:lang w:val="ru-RU"/>
        </w:rPr>
        <w:t>:</w:t>
      </w:r>
    </w:p>
    <w:p w:rsidR="00B65478" w:rsidRPr="00C278CE" w:rsidRDefault="00B65478" w:rsidP="00B65478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278CE">
        <w:rPr>
          <w:sz w:val="16"/>
          <w:szCs w:val="16"/>
          <w:lang w:val="ru-RU"/>
        </w:rPr>
        <w:t>–</w:t>
      </w:r>
      <w:r w:rsidRPr="00C278CE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B65478" w:rsidRPr="00C278CE" w:rsidRDefault="00B65478" w:rsidP="00B65478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278CE">
        <w:rPr>
          <w:sz w:val="16"/>
          <w:szCs w:val="16"/>
          <w:lang w:val="ru-RU"/>
        </w:rPr>
        <w:t>–</w:t>
      </w:r>
      <w:r w:rsidRPr="00C278CE">
        <w:rPr>
          <w:sz w:val="16"/>
          <w:szCs w:val="16"/>
          <w:lang w:val="ru-RU"/>
        </w:rPr>
        <w:tab/>
        <w:t>Членам Радиорегламентарного комитета</w:t>
      </w:r>
    </w:p>
    <w:sectPr w:rsidR="00B65478" w:rsidRPr="00C278CE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351992">
      <w:rPr>
        <w:noProof/>
        <w:sz w:val="16"/>
        <w:szCs w:val="16"/>
      </w:rPr>
      <w:t>Y:\APP\BR\CIRCS_DMS\CR\300\346\346R.DOCX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</w:t>
    </w:r>
    <w:r w:rsidR="00E9175C">
      <w:rPr>
        <w:noProof/>
        <w:sz w:val="16"/>
        <w:szCs w:val="16"/>
      </w:rPr>
      <w:t>342493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1992">
      <w:rPr>
        <w:noProof/>
        <w:sz w:val="16"/>
        <w:szCs w:val="16"/>
      </w:rPr>
      <w:t>18.04.13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351992">
      <w:rPr>
        <w:noProof/>
        <w:sz w:val="16"/>
        <w:szCs w:val="16"/>
      </w:rPr>
      <w:t>30.04.13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  <w:footnote w:id="1">
    <w:p w:rsidR="00E9175C" w:rsidRPr="006A1BE1" w:rsidRDefault="00E9175C" w:rsidP="001605D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</w:pPr>
      <w:r w:rsidRPr="00E9175C">
        <w:rPr>
          <w:rStyle w:val="FootnoteReference"/>
          <w:sz w:val="16"/>
        </w:rPr>
        <w:footnoteRef/>
      </w:r>
      <w:r w:rsidRPr="002D76F3">
        <w:tab/>
      </w:r>
      <w:hyperlink r:id="rId1" w:history="1">
        <w:r w:rsidR="001605D7" w:rsidRPr="00BF7753">
          <w:rPr>
            <w:rStyle w:val="Hyperlink"/>
          </w:rPr>
          <w:t>http://www.itu.int/pub/R-REG-ROP-2012</w:t>
        </w:r>
      </w:hyperlink>
      <w:r w:rsidRPr="002D76F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E9175C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1992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2E99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0D75-FB33-43EE-9FE5-6850404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14</TotalTime>
  <Pages>1</Pages>
  <Words>104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5</cp:revision>
  <cp:lastPrinted>2013-04-30T06:37:00Z</cp:lastPrinted>
  <dcterms:created xsi:type="dcterms:W3CDTF">2013-04-18T09:19:00Z</dcterms:created>
  <dcterms:modified xsi:type="dcterms:W3CDTF">2013-04-30T06:37:00Z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