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203DB6" w:rsidRDefault="00203DB6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203DB6" w:rsidRDefault="00203DB6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CR/343</w:t>
            </w:r>
          </w:p>
        </w:tc>
        <w:tc>
          <w:tcPr>
            <w:tcW w:w="8069" w:type="dxa"/>
          </w:tcPr>
          <w:p w:rsidR="00FA7B4D" w:rsidRPr="00203DB6" w:rsidRDefault="00CB743B" w:rsidP="00FE1623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203DB6">
              <w:t>31 janvier 2013</w:t>
            </w:r>
          </w:p>
        </w:tc>
      </w:tr>
    </w:tbl>
    <w:p w:rsidR="00FA7B4D" w:rsidRPr="00FE1623" w:rsidRDefault="00FE1623" w:rsidP="00FA7B4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3203D8" w:rsidRPr="005545DB" w:rsidRDefault="00FE1623" w:rsidP="00203DB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3" w:name="dtitle1"/>
      <w:bookmarkEnd w:id="3"/>
      <w:r w:rsidR="00203DB6" w:rsidRPr="00D01564">
        <w:rPr>
          <w:lang w:val="fr-CH"/>
        </w:rPr>
        <w:t xml:space="preserve">Mise en œuvre des dispositions relatives à la mise en service et à la suspension </w:t>
      </w:r>
      <w:r w:rsidR="00203DB6">
        <w:rPr>
          <w:lang w:val="fr-CH"/>
        </w:rPr>
        <w:t>de l</w:t>
      </w:r>
      <w:r w:rsidR="005545DB">
        <w:rPr>
          <w:lang w:val="fr-CH"/>
        </w:rPr>
        <w:t>'</w:t>
      </w:r>
      <w:r w:rsidR="00203DB6">
        <w:rPr>
          <w:lang w:val="fr-CH"/>
        </w:rPr>
        <w:t>utilisation d'une assignation de fréquence à une station spatiale sur l'orbite des satellites géostationnaires</w:t>
      </w:r>
    </w:p>
    <w:p w:rsidR="003203D8" w:rsidRPr="00FE1623" w:rsidRDefault="00FE1623" w:rsidP="003203D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  <w:bCs/>
        </w:rPr>
        <w:t>A l'attention du Directeur général</w:t>
      </w:r>
    </w:p>
    <w:p w:rsidR="003203D8" w:rsidRPr="00FE1623" w:rsidRDefault="00FE1623" w:rsidP="003203D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Madame, Monsieur,</w:t>
      </w:r>
    </w:p>
    <w:p w:rsidR="00203DB6" w:rsidRPr="002D5A5A" w:rsidRDefault="00203DB6" w:rsidP="005545DB">
      <w:pPr>
        <w:pStyle w:val="Heading1"/>
        <w:rPr>
          <w:lang w:val="fr-CH"/>
        </w:rPr>
      </w:pPr>
      <w:r w:rsidRPr="002D5A5A">
        <w:rPr>
          <w:lang w:val="fr-CH"/>
        </w:rPr>
        <w:t>1</w:t>
      </w:r>
      <w:r w:rsidRPr="002D5A5A">
        <w:rPr>
          <w:lang w:val="fr-CH"/>
        </w:rPr>
        <w:tab/>
        <w:t>Introduction</w:t>
      </w:r>
    </w:p>
    <w:p w:rsidR="00203DB6" w:rsidRPr="000D4760" w:rsidRDefault="00203DB6" w:rsidP="005545DB">
      <w:pPr>
        <w:rPr>
          <w:szCs w:val="24"/>
          <w:lang w:val="fr-CH"/>
        </w:rPr>
      </w:pPr>
      <w:r w:rsidRPr="00D01564">
        <w:rPr>
          <w:lang w:val="fr-CH"/>
        </w:rPr>
        <w:t>1.1</w:t>
      </w:r>
      <w:r w:rsidRPr="00D01564">
        <w:rPr>
          <w:lang w:val="fr-CH"/>
        </w:rPr>
        <w:tab/>
        <w:t>La Conférence mondiale des radiocommunications (Genève, 2012) (CMR-12) a a</w:t>
      </w:r>
      <w:r>
        <w:rPr>
          <w:lang w:val="fr-CH"/>
        </w:rPr>
        <w:t>jouté</w:t>
      </w:r>
      <w:r w:rsidRPr="00D01564">
        <w:rPr>
          <w:lang w:val="fr-CH"/>
        </w:rPr>
        <w:t xml:space="preserve"> de nouvelles dispositions dans le Règlement des radiocommunications, à savoir le numéro</w:t>
      </w:r>
      <w:r w:rsidRPr="00D01564">
        <w:rPr>
          <w:szCs w:val="24"/>
          <w:lang w:val="fr-CH"/>
        </w:rPr>
        <w:t xml:space="preserve"> </w:t>
      </w:r>
      <w:r w:rsidRPr="00D01564">
        <w:rPr>
          <w:b/>
          <w:bCs/>
          <w:szCs w:val="24"/>
          <w:lang w:val="fr-CH"/>
        </w:rPr>
        <w:t>11.44.2</w:t>
      </w:r>
      <w:r w:rsidRPr="00D01564">
        <w:rPr>
          <w:szCs w:val="24"/>
          <w:lang w:val="fr-CH"/>
        </w:rPr>
        <w:t xml:space="preserve"> et le numéro </w:t>
      </w:r>
      <w:r w:rsidRPr="00D01564">
        <w:rPr>
          <w:b/>
          <w:bCs/>
          <w:szCs w:val="24"/>
          <w:lang w:val="fr-CH"/>
        </w:rPr>
        <w:t>11.44B</w:t>
      </w:r>
      <w:r w:rsidRPr="00D01564">
        <w:rPr>
          <w:szCs w:val="24"/>
          <w:lang w:val="fr-CH"/>
        </w:rPr>
        <w:t>, afin de mieux définir la mise en service d'une assignation de fréquence à une station spatiale sur l'orbite des satellites géostationnaires</w:t>
      </w:r>
      <w:r>
        <w:rPr>
          <w:szCs w:val="24"/>
          <w:lang w:val="fr-CH"/>
        </w:rPr>
        <w:t xml:space="preserve"> (OSG). </w:t>
      </w:r>
      <w:r w:rsidRPr="00D01564">
        <w:rPr>
          <w:szCs w:val="24"/>
          <w:lang w:val="fr-CH"/>
        </w:rPr>
        <w:t xml:space="preserve">En outre, l'élément de données A.2.a de l'Appendice </w:t>
      </w:r>
      <w:r w:rsidRPr="00D01564">
        <w:rPr>
          <w:b/>
          <w:bCs/>
          <w:szCs w:val="24"/>
          <w:lang w:val="fr-CH"/>
        </w:rPr>
        <w:t>4</w:t>
      </w:r>
      <w:r w:rsidRPr="00D01564">
        <w:rPr>
          <w:szCs w:val="24"/>
          <w:lang w:val="fr-CH"/>
        </w:rPr>
        <w:t xml:space="preserve"> </w:t>
      </w:r>
      <w:r>
        <w:rPr>
          <w:szCs w:val="24"/>
          <w:lang w:val="fr-CH"/>
        </w:rPr>
        <w:t>a été modifié a</w:t>
      </w:r>
      <w:r w:rsidRPr="00D01564">
        <w:rPr>
          <w:szCs w:val="24"/>
          <w:lang w:val="fr-CH"/>
        </w:rPr>
        <w:t>fin de faire référence au</w:t>
      </w:r>
      <w:r>
        <w:rPr>
          <w:szCs w:val="24"/>
          <w:lang w:val="fr-CH"/>
        </w:rPr>
        <w:t>x</w:t>
      </w:r>
      <w:r w:rsidRPr="00D01564">
        <w:rPr>
          <w:szCs w:val="24"/>
          <w:lang w:val="fr-CH"/>
        </w:rPr>
        <w:t xml:space="preserve"> numéro</w:t>
      </w:r>
      <w:r>
        <w:rPr>
          <w:szCs w:val="24"/>
          <w:lang w:val="fr-CH"/>
        </w:rPr>
        <w:t>s</w:t>
      </w:r>
      <w:r w:rsidRPr="00D01564">
        <w:rPr>
          <w:szCs w:val="24"/>
          <w:lang w:val="fr-CH"/>
        </w:rPr>
        <w:t xml:space="preserve"> </w:t>
      </w:r>
      <w:r w:rsidRPr="00D01564">
        <w:rPr>
          <w:b/>
          <w:bCs/>
          <w:szCs w:val="24"/>
          <w:lang w:val="fr-CH"/>
        </w:rPr>
        <w:t>11.44.2</w:t>
      </w:r>
      <w:r w:rsidRPr="00D01564">
        <w:rPr>
          <w:szCs w:val="24"/>
          <w:lang w:val="fr-CH"/>
        </w:rPr>
        <w:t xml:space="preserve"> </w:t>
      </w:r>
      <w:r>
        <w:rPr>
          <w:szCs w:val="24"/>
          <w:lang w:val="fr-CH"/>
        </w:rPr>
        <w:t>et</w:t>
      </w:r>
      <w:r w:rsidRPr="00D01564">
        <w:rPr>
          <w:szCs w:val="24"/>
          <w:lang w:val="fr-CH"/>
        </w:rPr>
        <w:t xml:space="preserve"> </w:t>
      </w:r>
      <w:r w:rsidRPr="00D01564">
        <w:rPr>
          <w:b/>
          <w:bCs/>
          <w:szCs w:val="24"/>
          <w:lang w:val="fr-CH"/>
        </w:rPr>
        <w:t>11.44B</w:t>
      </w:r>
      <w:r w:rsidRPr="00D01564">
        <w:rPr>
          <w:szCs w:val="24"/>
          <w:lang w:val="fr-CH"/>
        </w:rPr>
        <w:t xml:space="preserve"> </w:t>
      </w:r>
      <w:r>
        <w:rPr>
          <w:szCs w:val="24"/>
          <w:lang w:val="fr-CH"/>
        </w:rPr>
        <w:t xml:space="preserve">pour déterminer la date de mise en service d'une assignation de fréquence à une station spatiale OSG, y compris les assignations de fréquence dans les Appendice </w:t>
      </w:r>
      <w:r w:rsidRPr="00D01564">
        <w:rPr>
          <w:b/>
          <w:bCs/>
          <w:szCs w:val="24"/>
          <w:lang w:val="fr-CH"/>
        </w:rPr>
        <w:t>30</w:t>
      </w:r>
      <w:r w:rsidRPr="00D01564">
        <w:rPr>
          <w:szCs w:val="24"/>
          <w:lang w:val="fr-CH"/>
        </w:rPr>
        <w:t xml:space="preserve">, </w:t>
      </w:r>
      <w:r w:rsidRPr="00D01564">
        <w:rPr>
          <w:b/>
          <w:bCs/>
          <w:szCs w:val="24"/>
          <w:lang w:val="fr-CH"/>
        </w:rPr>
        <w:t>30A</w:t>
      </w:r>
      <w:r w:rsidRPr="00D01564">
        <w:rPr>
          <w:szCs w:val="24"/>
          <w:lang w:val="fr-CH"/>
        </w:rPr>
        <w:t xml:space="preserve"> </w:t>
      </w:r>
      <w:r>
        <w:rPr>
          <w:szCs w:val="24"/>
          <w:lang w:val="fr-CH"/>
        </w:rPr>
        <w:t>et</w:t>
      </w:r>
      <w:r w:rsidRPr="00D01564">
        <w:rPr>
          <w:szCs w:val="24"/>
          <w:lang w:val="fr-CH"/>
        </w:rPr>
        <w:t xml:space="preserve"> </w:t>
      </w:r>
      <w:r w:rsidRPr="00D01564">
        <w:rPr>
          <w:b/>
          <w:bCs/>
          <w:szCs w:val="24"/>
          <w:lang w:val="fr-CH"/>
        </w:rPr>
        <w:t>30B</w:t>
      </w:r>
      <w:r w:rsidRPr="00D01564">
        <w:rPr>
          <w:szCs w:val="24"/>
          <w:lang w:val="fr-CH"/>
        </w:rPr>
        <w:t>. La CMR-12 a également modifié le numéro </w:t>
      </w:r>
      <w:r w:rsidRPr="00D01564">
        <w:rPr>
          <w:b/>
          <w:bCs/>
          <w:szCs w:val="24"/>
          <w:lang w:val="fr-CH"/>
        </w:rPr>
        <w:t>11.49</w:t>
      </w:r>
      <w:r w:rsidRPr="00D01564">
        <w:rPr>
          <w:szCs w:val="24"/>
          <w:lang w:val="fr-CH"/>
        </w:rPr>
        <w:t xml:space="preserve"> et ajouté le numéro </w:t>
      </w:r>
      <w:r w:rsidRPr="00D01564">
        <w:rPr>
          <w:b/>
          <w:bCs/>
          <w:szCs w:val="24"/>
          <w:lang w:val="fr-CH"/>
        </w:rPr>
        <w:t>11.49.1</w:t>
      </w:r>
      <w:r w:rsidRPr="00D01564">
        <w:rPr>
          <w:szCs w:val="24"/>
          <w:lang w:val="fr-CH"/>
        </w:rPr>
        <w:t xml:space="preserve"> pour porter à trois (3) </w:t>
      </w:r>
      <w:r>
        <w:rPr>
          <w:szCs w:val="24"/>
          <w:lang w:val="fr-CH"/>
        </w:rPr>
        <w:t>ans</w:t>
      </w:r>
      <w:r w:rsidRPr="00D01564">
        <w:rPr>
          <w:szCs w:val="24"/>
          <w:lang w:val="fr-CH"/>
        </w:rPr>
        <w:t xml:space="preserve"> la période autorisée pour la suspension de l'utilisation d'une assignation de fréquence à une station spatiale et</w:t>
      </w:r>
      <w:r w:rsidR="005545DB">
        <w:rPr>
          <w:szCs w:val="24"/>
          <w:lang w:val="fr-CH"/>
        </w:rPr>
        <w:t>,</w:t>
      </w:r>
      <w:r w:rsidRPr="00D01564">
        <w:rPr>
          <w:szCs w:val="24"/>
          <w:lang w:val="fr-CH"/>
        </w:rPr>
        <w:t xml:space="preserve"> dans le même temps</w:t>
      </w:r>
      <w:r w:rsidR="005545DB">
        <w:rPr>
          <w:szCs w:val="24"/>
          <w:lang w:val="fr-CH"/>
        </w:rPr>
        <w:t>,</w:t>
      </w:r>
      <w:r>
        <w:rPr>
          <w:szCs w:val="24"/>
          <w:lang w:val="fr-CH"/>
        </w:rPr>
        <w:t xml:space="preserve"> spécifier</w:t>
      </w:r>
      <w:r w:rsidRPr="00D01564">
        <w:rPr>
          <w:szCs w:val="24"/>
          <w:lang w:val="fr-CH"/>
        </w:rPr>
        <w:t xml:space="preserve"> les conditions de remise en service d'une assignation de fréquence inscrite. De même, les §</w:t>
      </w:r>
      <w:r w:rsidR="005545DB">
        <w:rPr>
          <w:szCs w:val="24"/>
          <w:lang w:val="fr-CH"/>
        </w:rPr>
        <w:t xml:space="preserve"> </w:t>
      </w:r>
      <w:r w:rsidRPr="00D01564">
        <w:rPr>
          <w:szCs w:val="24"/>
          <w:lang w:val="fr-CH"/>
        </w:rPr>
        <w:t>5.2.10, §</w:t>
      </w:r>
      <w:r w:rsidR="005545DB">
        <w:rPr>
          <w:szCs w:val="24"/>
          <w:lang w:val="fr-CH"/>
        </w:rPr>
        <w:t xml:space="preserve"> </w:t>
      </w:r>
      <w:r w:rsidRPr="00D01564">
        <w:rPr>
          <w:szCs w:val="24"/>
          <w:lang w:val="fr-CH"/>
        </w:rPr>
        <w:t>5.2.11 et la note de bas de page 20</w:t>
      </w:r>
      <w:r w:rsidRPr="006B0C62">
        <w:rPr>
          <w:i/>
          <w:iCs/>
          <w:szCs w:val="24"/>
          <w:lang w:val="fr-CH"/>
        </w:rPr>
        <w:t>bis</w:t>
      </w:r>
      <w:r w:rsidRPr="00D01564">
        <w:rPr>
          <w:szCs w:val="24"/>
          <w:lang w:val="fr-CH"/>
        </w:rPr>
        <w:t xml:space="preserve"> ont été ajoutés dans </w:t>
      </w:r>
      <w:r>
        <w:rPr>
          <w:szCs w:val="24"/>
          <w:lang w:val="fr-CH"/>
        </w:rPr>
        <w:t xml:space="preserve">l'Appendice </w:t>
      </w:r>
      <w:r w:rsidRPr="00D01564">
        <w:rPr>
          <w:b/>
          <w:bCs/>
          <w:szCs w:val="24"/>
          <w:lang w:val="fr-CH"/>
        </w:rPr>
        <w:t>30</w:t>
      </w:r>
      <w:r>
        <w:rPr>
          <w:szCs w:val="24"/>
          <w:lang w:val="fr-CH"/>
        </w:rPr>
        <w:t xml:space="preserve"> et les </w:t>
      </w:r>
      <w:r w:rsidRPr="00D01564">
        <w:rPr>
          <w:szCs w:val="24"/>
          <w:lang w:val="fr-CH"/>
        </w:rPr>
        <w:t>§</w:t>
      </w:r>
      <w:r w:rsidR="005545DB">
        <w:rPr>
          <w:szCs w:val="24"/>
          <w:lang w:val="fr-CH"/>
        </w:rPr>
        <w:t xml:space="preserve"> </w:t>
      </w:r>
      <w:r w:rsidRPr="00D01564">
        <w:rPr>
          <w:szCs w:val="24"/>
          <w:lang w:val="fr-CH"/>
        </w:rPr>
        <w:t>5.2.10, §</w:t>
      </w:r>
      <w:r w:rsidR="005545DB">
        <w:rPr>
          <w:szCs w:val="24"/>
          <w:lang w:val="fr-CH"/>
        </w:rPr>
        <w:t xml:space="preserve"> </w:t>
      </w:r>
      <w:r w:rsidRPr="00D01564">
        <w:rPr>
          <w:szCs w:val="24"/>
          <w:lang w:val="fr-CH"/>
        </w:rPr>
        <w:t>5.2.11</w:t>
      </w:r>
      <w:r>
        <w:rPr>
          <w:szCs w:val="24"/>
          <w:lang w:val="fr-CH"/>
        </w:rPr>
        <w:t xml:space="preserve"> </w:t>
      </w:r>
      <w:r w:rsidR="005545DB">
        <w:rPr>
          <w:szCs w:val="24"/>
          <w:lang w:val="fr-CH"/>
        </w:rPr>
        <w:t>et</w:t>
      </w:r>
      <w:r>
        <w:rPr>
          <w:szCs w:val="24"/>
          <w:lang w:val="fr-CH"/>
        </w:rPr>
        <w:t xml:space="preserve"> la note de bas de page </w:t>
      </w:r>
      <w:r w:rsidRPr="00D01564">
        <w:rPr>
          <w:szCs w:val="24"/>
          <w:lang w:val="fr-CH"/>
        </w:rPr>
        <w:t>24</w:t>
      </w:r>
      <w:r w:rsidRPr="006B0C62">
        <w:rPr>
          <w:i/>
          <w:iCs/>
          <w:szCs w:val="24"/>
          <w:lang w:val="fr-CH"/>
        </w:rPr>
        <w:t>bis</w:t>
      </w:r>
      <w:r>
        <w:rPr>
          <w:szCs w:val="24"/>
          <w:lang w:val="fr-CH"/>
        </w:rPr>
        <w:t xml:space="preserve"> ont été ajoutés dans l'Appendice </w:t>
      </w:r>
      <w:r w:rsidRPr="00D01564">
        <w:rPr>
          <w:b/>
          <w:bCs/>
          <w:szCs w:val="24"/>
          <w:lang w:val="fr-CH"/>
        </w:rPr>
        <w:t>30A</w:t>
      </w:r>
      <w:r w:rsidRPr="00D01564">
        <w:rPr>
          <w:szCs w:val="24"/>
          <w:lang w:val="fr-CH"/>
        </w:rPr>
        <w:t xml:space="preserve"> </w:t>
      </w:r>
      <w:r>
        <w:rPr>
          <w:szCs w:val="24"/>
          <w:lang w:val="fr-CH"/>
        </w:rPr>
        <w:t>en ce qui concerne la suspension de l'utilisation d'une assignation de fréquence figurant dans la Liste.</w:t>
      </w:r>
      <w:r w:rsidRPr="000D4760">
        <w:rPr>
          <w:szCs w:val="24"/>
          <w:lang w:val="fr-CH"/>
        </w:rPr>
        <w:t xml:space="preserve"> La CMR-12 a en outre modifié les dispositions du numéro </w:t>
      </w:r>
      <w:r w:rsidRPr="000D4760">
        <w:rPr>
          <w:b/>
          <w:bCs/>
          <w:szCs w:val="24"/>
          <w:lang w:val="fr-CH"/>
        </w:rPr>
        <w:t>11.41</w:t>
      </w:r>
      <w:r w:rsidRPr="000D4760">
        <w:rPr>
          <w:szCs w:val="24"/>
          <w:lang w:val="fr-CH"/>
        </w:rPr>
        <w:t xml:space="preserve"> et ajouté le numéro </w:t>
      </w:r>
      <w:r w:rsidRPr="000D4760">
        <w:rPr>
          <w:b/>
          <w:bCs/>
          <w:szCs w:val="24"/>
          <w:lang w:val="fr-CH"/>
        </w:rPr>
        <w:t xml:space="preserve">11.41.2 </w:t>
      </w:r>
      <w:r w:rsidRPr="000D4760">
        <w:rPr>
          <w:szCs w:val="24"/>
          <w:lang w:val="fr-CH"/>
        </w:rPr>
        <w:t xml:space="preserve">pour préciser les obligations qui incombent à l'administration </w:t>
      </w:r>
      <w:proofErr w:type="spellStart"/>
      <w:r w:rsidRPr="000D4760">
        <w:rPr>
          <w:szCs w:val="24"/>
          <w:lang w:val="fr-CH"/>
        </w:rPr>
        <w:t>notifi</w:t>
      </w:r>
      <w:r>
        <w:rPr>
          <w:szCs w:val="24"/>
          <w:lang w:val="fr-CH"/>
        </w:rPr>
        <w:t>catrice</w:t>
      </w:r>
      <w:proofErr w:type="spellEnd"/>
      <w:r w:rsidRPr="000D4760">
        <w:rPr>
          <w:szCs w:val="24"/>
          <w:lang w:val="fr-CH"/>
        </w:rPr>
        <w:t xml:space="preserve"> lorsqu'elle soumet une fiche de notification en application du numéro </w:t>
      </w:r>
      <w:r w:rsidRPr="000D4760">
        <w:rPr>
          <w:b/>
          <w:bCs/>
          <w:szCs w:val="24"/>
          <w:lang w:val="fr-CH"/>
        </w:rPr>
        <w:t>11.41</w:t>
      </w:r>
      <w:r w:rsidRPr="000D4760">
        <w:rPr>
          <w:szCs w:val="24"/>
          <w:lang w:val="fr-CH"/>
        </w:rPr>
        <w:t>.</w:t>
      </w:r>
    </w:p>
    <w:p w:rsidR="00203DB6" w:rsidRPr="00B8711B" w:rsidRDefault="00203DB6" w:rsidP="005545DB">
      <w:pPr>
        <w:rPr>
          <w:lang w:val="fr-CH"/>
        </w:rPr>
      </w:pPr>
      <w:r w:rsidRPr="00B8711B">
        <w:rPr>
          <w:lang w:val="fr-CH"/>
        </w:rPr>
        <w:t>1.2</w:t>
      </w:r>
      <w:r w:rsidRPr="00B8711B">
        <w:rPr>
          <w:lang w:val="fr-CH"/>
        </w:rPr>
        <w:tab/>
      </w:r>
      <w:r>
        <w:rPr>
          <w:lang w:val="fr-CH"/>
        </w:rPr>
        <w:t>A sa</w:t>
      </w:r>
      <w:r w:rsidRPr="00B8711B">
        <w:rPr>
          <w:lang w:val="fr-CH"/>
        </w:rPr>
        <w:t xml:space="preserve"> 61</w:t>
      </w:r>
      <w:r w:rsidR="005545DB">
        <w:rPr>
          <w:lang w:val="fr-CH"/>
        </w:rPr>
        <w:t>ème</w:t>
      </w:r>
      <w:r w:rsidRPr="00B8711B">
        <w:rPr>
          <w:lang w:val="fr-CH"/>
        </w:rPr>
        <w:t xml:space="preserve"> réunion, le Comité du </w:t>
      </w:r>
      <w:r w:rsidR="005545DB">
        <w:rPr>
          <w:lang w:val="fr-CH"/>
        </w:rPr>
        <w:t>R</w:t>
      </w:r>
      <w:r w:rsidRPr="00B8711B">
        <w:rPr>
          <w:lang w:val="fr-CH"/>
        </w:rPr>
        <w:t xml:space="preserve">èglement des radiocommunications a approuvé les Règles de procédure relatives au numéro </w:t>
      </w:r>
      <w:r w:rsidRPr="00B8711B">
        <w:rPr>
          <w:b/>
          <w:bCs/>
          <w:lang w:val="fr-CH"/>
        </w:rPr>
        <w:t>11.44B</w:t>
      </w:r>
      <w:r w:rsidRPr="00B8711B">
        <w:rPr>
          <w:lang w:val="fr-CH"/>
        </w:rPr>
        <w:t xml:space="preserve"> et au numéro </w:t>
      </w:r>
      <w:r w:rsidRPr="002D5A5A">
        <w:rPr>
          <w:b/>
          <w:bCs/>
          <w:lang w:val="fr-CH"/>
        </w:rPr>
        <w:t>11.49</w:t>
      </w:r>
      <w:r w:rsidRPr="002D5A5A">
        <w:rPr>
          <w:lang w:val="fr-CH"/>
        </w:rPr>
        <w:t xml:space="preserve">, lesquelles sont entrées en vigueur le 1er janvier 2013. </w:t>
      </w:r>
      <w:r w:rsidRPr="00B8711B">
        <w:rPr>
          <w:lang w:val="fr-CH"/>
        </w:rPr>
        <w:t xml:space="preserve">De </w:t>
      </w:r>
      <w:r>
        <w:rPr>
          <w:lang w:val="fr-CH"/>
        </w:rPr>
        <w:t xml:space="preserve">même, à </w:t>
      </w:r>
      <w:r w:rsidRPr="00B8711B">
        <w:rPr>
          <w:lang w:val="fr-CH"/>
        </w:rPr>
        <w:t>sa 60</w:t>
      </w:r>
      <w:r w:rsidR="005545DB">
        <w:rPr>
          <w:lang w:val="fr-CH"/>
        </w:rPr>
        <w:t>èm</w:t>
      </w:r>
      <w:r w:rsidRPr="00B8711B">
        <w:rPr>
          <w:lang w:val="fr-CH"/>
        </w:rPr>
        <w:t>e réunion, le Comité a approuvé les Règles de procédure relatives au §</w:t>
      </w:r>
      <w:r w:rsidR="005545DB">
        <w:rPr>
          <w:lang w:val="fr-CH"/>
        </w:rPr>
        <w:t xml:space="preserve"> </w:t>
      </w:r>
      <w:r w:rsidRPr="00B8711B">
        <w:rPr>
          <w:lang w:val="fr-CH"/>
        </w:rPr>
        <w:t>8.17 de l</w:t>
      </w:r>
      <w:r w:rsidR="005545DB">
        <w:rPr>
          <w:lang w:val="fr-CH"/>
        </w:rPr>
        <w:t>'</w:t>
      </w:r>
      <w:r w:rsidRPr="00B8711B">
        <w:rPr>
          <w:lang w:val="fr-CH"/>
        </w:rPr>
        <w:t>Article 8 de l</w:t>
      </w:r>
      <w:r w:rsidR="005545DB">
        <w:rPr>
          <w:lang w:val="fr-CH"/>
        </w:rPr>
        <w:t>'</w:t>
      </w:r>
      <w:r w:rsidRPr="00B8711B">
        <w:rPr>
          <w:lang w:val="fr-CH"/>
        </w:rPr>
        <w:t xml:space="preserve">Appendice </w:t>
      </w:r>
      <w:r w:rsidRPr="00B8711B">
        <w:rPr>
          <w:b/>
          <w:bCs/>
          <w:lang w:val="fr-CH"/>
        </w:rPr>
        <w:t>30B</w:t>
      </w:r>
      <w:r w:rsidRPr="005545DB">
        <w:rPr>
          <w:lang w:val="fr-CH"/>
        </w:rPr>
        <w:t>,</w:t>
      </w:r>
      <w:r w:rsidRPr="00B8711B">
        <w:rPr>
          <w:lang w:val="fr-CH"/>
        </w:rPr>
        <w:t xml:space="preserve"> qui précise la procédure </w:t>
      </w:r>
      <w:r>
        <w:rPr>
          <w:lang w:val="fr-CH"/>
        </w:rPr>
        <w:t xml:space="preserve">de suspension de l'utilisation d'une assignation compte tenu des nouvelles notes de bas de page susmentionnées des </w:t>
      </w:r>
      <w:r w:rsidRPr="00B8711B">
        <w:rPr>
          <w:lang w:val="fr-CH"/>
        </w:rPr>
        <w:t xml:space="preserve">Appendices </w:t>
      </w:r>
      <w:r w:rsidRPr="00B8711B">
        <w:rPr>
          <w:b/>
          <w:bCs/>
          <w:lang w:val="fr-CH"/>
        </w:rPr>
        <w:t>30</w:t>
      </w:r>
      <w:r w:rsidRPr="00B8711B">
        <w:rPr>
          <w:lang w:val="fr-CH"/>
        </w:rPr>
        <w:t xml:space="preserve"> </w:t>
      </w:r>
      <w:r>
        <w:rPr>
          <w:lang w:val="fr-CH"/>
        </w:rPr>
        <w:t>et</w:t>
      </w:r>
      <w:r w:rsidRPr="00B8711B">
        <w:rPr>
          <w:lang w:val="fr-CH"/>
        </w:rPr>
        <w:t xml:space="preserve"> </w:t>
      </w:r>
      <w:r w:rsidRPr="00B8711B">
        <w:rPr>
          <w:b/>
          <w:bCs/>
          <w:lang w:val="fr-CH"/>
        </w:rPr>
        <w:t>30A</w:t>
      </w:r>
      <w:r w:rsidRPr="00B8711B">
        <w:rPr>
          <w:lang w:val="fr-CH"/>
        </w:rPr>
        <w:t>.</w:t>
      </w:r>
    </w:p>
    <w:p w:rsidR="00203DB6" w:rsidRPr="00D704E6" w:rsidRDefault="00203DB6" w:rsidP="005545DB">
      <w:pPr>
        <w:rPr>
          <w:lang w:val="fr-CH"/>
        </w:rPr>
      </w:pPr>
      <w:r w:rsidRPr="00B8711B">
        <w:rPr>
          <w:lang w:val="fr-CH"/>
        </w:rPr>
        <w:lastRenderedPageBreak/>
        <w:t>1.3</w:t>
      </w:r>
      <w:r w:rsidRPr="00B8711B">
        <w:rPr>
          <w:lang w:val="fr-CH"/>
        </w:rPr>
        <w:tab/>
      </w:r>
      <w:r>
        <w:rPr>
          <w:lang w:val="fr-CH"/>
        </w:rPr>
        <w:t>L</w:t>
      </w:r>
      <w:r w:rsidRPr="00B8711B">
        <w:rPr>
          <w:lang w:val="fr-CH"/>
        </w:rPr>
        <w:t xml:space="preserve">'objet de la présente Lettre circulaire est de fournir aux Administrations </w:t>
      </w:r>
      <w:r>
        <w:rPr>
          <w:lang w:val="fr-CH"/>
        </w:rPr>
        <w:t>des informations sur la mise en œuvre des dispositions susmentionnées par le Bureau des radiocommunications.</w:t>
      </w:r>
    </w:p>
    <w:p w:rsidR="00203DB6" w:rsidRPr="002D5A5A" w:rsidRDefault="00203DB6" w:rsidP="005545DB">
      <w:pPr>
        <w:pStyle w:val="Heading1"/>
        <w:rPr>
          <w:lang w:val="fr-CH"/>
        </w:rPr>
      </w:pPr>
      <w:r w:rsidRPr="002D5A5A">
        <w:rPr>
          <w:lang w:val="fr-CH"/>
        </w:rPr>
        <w:t>2</w:t>
      </w:r>
      <w:r w:rsidRPr="002D5A5A">
        <w:rPr>
          <w:lang w:val="fr-CH"/>
        </w:rPr>
        <w:tab/>
        <w:t>Mise en service</w:t>
      </w:r>
    </w:p>
    <w:p w:rsidR="00203DB6" w:rsidRPr="002D5A5A" w:rsidRDefault="00203DB6" w:rsidP="005545DB">
      <w:pPr>
        <w:rPr>
          <w:lang w:val="fr-CH"/>
        </w:rPr>
      </w:pPr>
      <w:r w:rsidRPr="00B80858">
        <w:rPr>
          <w:lang w:val="fr-CH"/>
        </w:rPr>
        <w:t>2.1</w:t>
      </w:r>
      <w:r w:rsidRPr="00B80858">
        <w:rPr>
          <w:lang w:val="fr-CH"/>
        </w:rPr>
        <w:tab/>
        <w:t xml:space="preserve">Le numéro </w:t>
      </w:r>
      <w:r w:rsidRPr="00B80858">
        <w:rPr>
          <w:rStyle w:val="Artref"/>
          <w:b/>
          <w:color w:val="000000"/>
          <w:lang w:val="fr-CH"/>
        </w:rPr>
        <w:t>11.44</w:t>
      </w:r>
      <w:r w:rsidRPr="005545DB">
        <w:rPr>
          <w:rStyle w:val="Artref"/>
          <w:bCs/>
          <w:color w:val="000000"/>
          <w:lang w:val="fr-CH"/>
        </w:rPr>
        <w:t>,</w:t>
      </w:r>
      <w:r w:rsidRPr="00B80858">
        <w:rPr>
          <w:lang w:val="fr-CH"/>
        </w:rPr>
        <w:t xml:space="preserve"> les </w:t>
      </w:r>
      <w:r w:rsidRPr="00B80858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 xml:space="preserve"> </w:t>
      </w:r>
      <w:r w:rsidRPr="00B80858">
        <w:rPr>
          <w:lang w:val="fr-CH"/>
        </w:rPr>
        <w:t xml:space="preserve">4.1.3 et 4.2.6 des Appendices </w:t>
      </w:r>
      <w:r w:rsidRPr="00B80858">
        <w:rPr>
          <w:b/>
          <w:bCs/>
          <w:lang w:val="fr-CH"/>
        </w:rPr>
        <w:t>30</w:t>
      </w:r>
      <w:r w:rsidRPr="00B80858">
        <w:rPr>
          <w:lang w:val="fr-CH"/>
        </w:rPr>
        <w:t xml:space="preserve"> et </w:t>
      </w:r>
      <w:r w:rsidRPr="00B80858">
        <w:rPr>
          <w:b/>
          <w:bCs/>
          <w:lang w:val="fr-CH"/>
        </w:rPr>
        <w:t>30A</w:t>
      </w:r>
      <w:r w:rsidRPr="00B80858">
        <w:rPr>
          <w:lang w:val="fr-CH"/>
        </w:rPr>
        <w:t xml:space="preserve"> et le </w:t>
      </w:r>
      <w:r w:rsidRPr="00B80858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 xml:space="preserve"> </w:t>
      </w:r>
      <w:r w:rsidRPr="00B80858">
        <w:rPr>
          <w:lang w:val="fr-CH"/>
        </w:rPr>
        <w:t>6.1 de l</w:t>
      </w:r>
      <w:r w:rsidR="005545DB">
        <w:rPr>
          <w:lang w:val="fr-CH"/>
        </w:rPr>
        <w:t>'</w:t>
      </w:r>
      <w:r w:rsidRPr="00B80858">
        <w:rPr>
          <w:lang w:val="fr-CH"/>
        </w:rPr>
        <w:t>Appendice</w:t>
      </w:r>
      <w:r w:rsidR="005545DB">
        <w:rPr>
          <w:lang w:val="fr-CH"/>
        </w:rPr>
        <w:t> </w:t>
      </w:r>
      <w:r w:rsidRPr="00B80858">
        <w:rPr>
          <w:b/>
          <w:bCs/>
          <w:lang w:val="fr-CH"/>
        </w:rPr>
        <w:t>30B</w:t>
      </w:r>
      <w:r w:rsidRPr="00B80858">
        <w:rPr>
          <w:lang w:val="fr-CH"/>
        </w:rPr>
        <w:t xml:space="preserve"> fixent les délais réglementaires</w:t>
      </w:r>
      <w:r w:rsidRPr="005545DB">
        <w:rPr>
          <w:rStyle w:val="FootnoteReference"/>
          <w:color w:val="000000"/>
        </w:rPr>
        <w:footnoteReference w:id="1"/>
      </w:r>
      <w:r w:rsidRPr="00B80858">
        <w:rPr>
          <w:lang w:val="fr-CH"/>
        </w:rPr>
        <w:t xml:space="preserve"> </w:t>
      </w:r>
      <w:r>
        <w:rPr>
          <w:lang w:val="fr-CH"/>
        </w:rPr>
        <w:t xml:space="preserve">pour la mise en service d'une assignation de fréquence à une station spatiale d'un réseau à satellite. </w:t>
      </w:r>
    </w:p>
    <w:p w:rsidR="00203DB6" w:rsidRPr="00423305" w:rsidRDefault="00203DB6" w:rsidP="005545DB">
      <w:pPr>
        <w:rPr>
          <w:szCs w:val="24"/>
          <w:lang w:val="fr-CH"/>
        </w:rPr>
      </w:pPr>
      <w:r w:rsidRPr="00423305">
        <w:rPr>
          <w:lang w:val="fr-CH"/>
        </w:rPr>
        <w:t>2.2</w:t>
      </w:r>
      <w:r w:rsidRPr="00423305">
        <w:rPr>
          <w:lang w:val="fr-CH"/>
        </w:rPr>
        <w:tab/>
        <w:t xml:space="preserve">Pour une assignation de fréquence à une station spatiale sur l'orbite des satellites géostationnaires, le Bureau traitera les renseignements relatifs à la mise en service en deux temps: </w:t>
      </w:r>
      <w:r>
        <w:rPr>
          <w:lang w:val="fr-CH"/>
        </w:rPr>
        <w:t>les renseignements initiaux et la confirmation</w:t>
      </w:r>
      <w:r w:rsidRPr="00423305">
        <w:rPr>
          <w:szCs w:val="24"/>
          <w:lang w:val="fr-CH"/>
        </w:rPr>
        <w:t>.</w:t>
      </w:r>
    </w:p>
    <w:p w:rsidR="00203DB6" w:rsidRPr="00423305" w:rsidRDefault="00203DB6" w:rsidP="005545DB">
      <w:pPr>
        <w:rPr>
          <w:szCs w:val="24"/>
          <w:lang w:val="fr-CH"/>
        </w:rPr>
      </w:pPr>
      <w:r w:rsidRPr="00423305">
        <w:rPr>
          <w:lang w:val="fr-CH"/>
        </w:rPr>
        <w:t>2.3</w:t>
      </w:r>
      <w:r w:rsidRPr="00423305">
        <w:rPr>
          <w:lang w:val="fr-CH"/>
        </w:rPr>
        <w:tab/>
      </w:r>
      <w:r>
        <w:rPr>
          <w:lang w:val="fr-CH"/>
        </w:rPr>
        <w:t>L</w:t>
      </w:r>
      <w:r w:rsidRPr="00423305">
        <w:rPr>
          <w:lang w:val="fr-CH"/>
        </w:rPr>
        <w:t>es renseignements relatifs à la mise en service</w:t>
      </w:r>
      <w:r>
        <w:rPr>
          <w:lang w:val="fr-CH"/>
        </w:rPr>
        <w:t xml:space="preserve"> d'une assignation de fréquence peuvent être communiqués au</w:t>
      </w:r>
      <w:r w:rsidRPr="00423305">
        <w:rPr>
          <w:lang w:val="fr-CH"/>
        </w:rPr>
        <w:t xml:space="preserve"> Bureau </w:t>
      </w:r>
      <w:r>
        <w:rPr>
          <w:lang w:val="fr-CH"/>
        </w:rPr>
        <w:t>de deux façons, comme indiqué ci-après:</w:t>
      </w:r>
    </w:p>
    <w:p w:rsidR="00203DB6" w:rsidRPr="00423305" w:rsidRDefault="00203DB6" w:rsidP="005545DB">
      <w:pPr>
        <w:rPr>
          <w:lang w:val="fr-CH"/>
        </w:rPr>
      </w:pPr>
      <w:r w:rsidRPr="00423305">
        <w:rPr>
          <w:lang w:val="fr-CH"/>
        </w:rPr>
        <w:t>2.3.1</w:t>
      </w:r>
      <w:r w:rsidRPr="00423305">
        <w:rPr>
          <w:lang w:val="fr-CH"/>
        </w:rPr>
        <w:tab/>
        <w:t xml:space="preserve">Pour la notification d'une assignation de fréquence à un réseau à satellite </w:t>
      </w:r>
      <w:r w:rsidR="005545DB">
        <w:rPr>
          <w:lang w:val="fr-CH"/>
        </w:rPr>
        <w:t>O</w:t>
      </w:r>
      <w:r w:rsidRPr="00423305">
        <w:rPr>
          <w:lang w:val="fr-CH"/>
        </w:rPr>
        <w:t xml:space="preserve">SG au titre de l'Article </w:t>
      </w:r>
      <w:r w:rsidRPr="00423305">
        <w:rPr>
          <w:b/>
          <w:bCs/>
          <w:lang w:val="fr-CH"/>
        </w:rPr>
        <w:t>11</w:t>
      </w:r>
      <w:r w:rsidRPr="00423305">
        <w:rPr>
          <w:lang w:val="fr-CH"/>
        </w:rPr>
        <w:t>, de l'Article 5 des</w:t>
      </w:r>
      <w:r>
        <w:rPr>
          <w:lang w:val="fr-CH"/>
        </w:rPr>
        <w:t xml:space="preserve"> </w:t>
      </w:r>
      <w:r w:rsidRPr="00423305">
        <w:rPr>
          <w:lang w:val="fr-CH"/>
        </w:rPr>
        <w:t xml:space="preserve">Appendices </w:t>
      </w:r>
      <w:r w:rsidRPr="00423305">
        <w:rPr>
          <w:b/>
          <w:bCs/>
          <w:lang w:val="fr-CH"/>
        </w:rPr>
        <w:t>30</w:t>
      </w:r>
      <w:r w:rsidRPr="00423305">
        <w:rPr>
          <w:lang w:val="fr-CH"/>
        </w:rPr>
        <w:t xml:space="preserve"> </w:t>
      </w:r>
      <w:r>
        <w:rPr>
          <w:lang w:val="fr-CH"/>
        </w:rPr>
        <w:t>et</w:t>
      </w:r>
      <w:r w:rsidRPr="00423305">
        <w:rPr>
          <w:lang w:val="fr-CH"/>
        </w:rPr>
        <w:t xml:space="preserve"> </w:t>
      </w:r>
      <w:r w:rsidRPr="00423305">
        <w:rPr>
          <w:b/>
          <w:bCs/>
          <w:lang w:val="fr-CH"/>
        </w:rPr>
        <w:t>30A</w:t>
      </w:r>
      <w:r w:rsidRPr="00423305">
        <w:rPr>
          <w:lang w:val="fr-CH"/>
        </w:rPr>
        <w:t xml:space="preserve"> </w:t>
      </w:r>
      <w:r w:rsidR="005545DB">
        <w:rPr>
          <w:lang w:val="fr-CH"/>
        </w:rPr>
        <w:t>ou</w:t>
      </w:r>
      <w:r w:rsidRPr="00423305">
        <w:rPr>
          <w:lang w:val="fr-CH"/>
        </w:rPr>
        <w:t xml:space="preserve"> de l</w:t>
      </w:r>
      <w:r w:rsidR="005545DB">
        <w:rPr>
          <w:lang w:val="fr-CH"/>
        </w:rPr>
        <w:t>'</w:t>
      </w:r>
      <w:r w:rsidRPr="00423305">
        <w:rPr>
          <w:lang w:val="fr-CH"/>
        </w:rPr>
        <w:t>Article 8 de l</w:t>
      </w:r>
      <w:r w:rsidR="005545DB">
        <w:rPr>
          <w:lang w:val="fr-CH"/>
        </w:rPr>
        <w:t>'</w:t>
      </w:r>
      <w:r w:rsidRPr="00423305">
        <w:rPr>
          <w:lang w:val="fr-CH"/>
        </w:rPr>
        <w:t xml:space="preserve">Appendice </w:t>
      </w:r>
      <w:r w:rsidRPr="00423305">
        <w:rPr>
          <w:b/>
          <w:bCs/>
          <w:lang w:val="fr-CH"/>
        </w:rPr>
        <w:t>30B</w:t>
      </w:r>
      <w:r w:rsidRPr="00423305">
        <w:rPr>
          <w:lang w:val="fr-CH"/>
        </w:rPr>
        <w:t xml:space="preserve"> ayant une date de mise en service antérieure à la date de réception de la fiche de notification,</w:t>
      </w:r>
      <w:r>
        <w:rPr>
          <w:lang w:val="fr-CH"/>
        </w:rPr>
        <w:t xml:space="preserve"> les renseignements initiaux sont considérés comme ayant été communiqués au Bureau lorsque l'administration </w:t>
      </w:r>
      <w:proofErr w:type="spellStart"/>
      <w:r>
        <w:rPr>
          <w:lang w:val="fr-CH"/>
        </w:rPr>
        <w:t>notificatrice</w:t>
      </w:r>
      <w:proofErr w:type="spellEnd"/>
      <w:r>
        <w:rPr>
          <w:lang w:val="fr-CH"/>
        </w:rPr>
        <w:t xml:space="preserve"> a fourni au Bureau la date de mise en service notifiée de l'assignation de fréquence, conformément au</w:t>
      </w:r>
      <w:r w:rsidR="00AA5B42">
        <w:rPr>
          <w:lang w:val="fr-CH"/>
        </w:rPr>
        <w:t>x</w:t>
      </w:r>
      <w:r>
        <w:rPr>
          <w:lang w:val="fr-CH"/>
        </w:rPr>
        <w:t xml:space="preserve"> numéro</w:t>
      </w:r>
      <w:r w:rsidR="00AA5B42">
        <w:rPr>
          <w:lang w:val="fr-CH"/>
        </w:rPr>
        <w:t>s</w:t>
      </w:r>
      <w:r w:rsidRPr="00423305">
        <w:rPr>
          <w:lang w:val="fr-CH"/>
        </w:rPr>
        <w:t xml:space="preserve"> </w:t>
      </w:r>
      <w:r w:rsidRPr="00423305">
        <w:rPr>
          <w:b/>
          <w:bCs/>
          <w:lang w:val="fr-CH"/>
        </w:rPr>
        <w:t>11.15</w:t>
      </w:r>
      <w:r w:rsidRPr="00423305">
        <w:rPr>
          <w:lang w:val="fr-CH"/>
        </w:rPr>
        <w:t>/</w:t>
      </w:r>
      <w:r w:rsidRPr="00423305">
        <w:rPr>
          <w:b/>
          <w:bCs/>
          <w:lang w:val="fr-CH"/>
        </w:rPr>
        <w:t>11.25</w:t>
      </w:r>
      <w:r w:rsidRPr="00423305">
        <w:rPr>
          <w:lang w:val="fr-CH"/>
        </w:rPr>
        <w:t xml:space="preserve">, au </w:t>
      </w:r>
      <w:r w:rsidRPr="00423305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 xml:space="preserve"> </w:t>
      </w:r>
      <w:r w:rsidRPr="00423305">
        <w:rPr>
          <w:lang w:val="fr-CH"/>
        </w:rPr>
        <w:t xml:space="preserve">5.1.3 de l'Appendice </w:t>
      </w:r>
      <w:r w:rsidRPr="00423305">
        <w:rPr>
          <w:b/>
          <w:bCs/>
          <w:lang w:val="fr-CH"/>
        </w:rPr>
        <w:t xml:space="preserve">30, </w:t>
      </w:r>
      <w:r w:rsidR="005545DB">
        <w:rPr>
          <w:lang w:val="fr-CH"/>
        </w:rPr>
        <w:t>a</w:t>
      </w:r>
      <w:r w:rsidRPr="00423305">
        <w:rPr>
          <w:lang w:val="fr-CH"/>
        </w:rPr>
        <w:t xml:space="preserve">u </w:t>
      </w:r>
      <w:r w:rsidRPr="00423305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 xml:space="preserve"> </w:t>
      </w:r>
      <w:r w:rsidRPr="00423305">
        <w:rPr>
          <w:lang w:val="fr-CH"/>
        </w:rPr>
        <w:t xml:space="preserve">5.1.7 </w:t>
      </w:r>
      <w:r>
        <w:rPr>
          <w:lang w:val="fr-CH"/>
        </w:rPr>
        <w:t>de l</w:t>
      </w:r>
      <w:r w:rsidR="005545DB">
        <w:rPr>
          <w:lang w:val="fr-CH"/>
        </w:rPr>
        <w:t>'</w:t>
      </w:r>
      <w:r>
        <w:rPr>
          <w:lang w:val="fr-CH"/>
        </w:rPr>
        <w:t>Appendice</w:t>
      </w:r>
      <w:r w:rsidRPr="00423305">
        <w:rPr>
          <w:lang w:val="fr-CH"/>
        </w:rPr>
        <w:t xml:space="preserve"> </w:t>
      </w:r>
      <w:r w:rsidRPr="00423305">
        <w:rPr>
          <w:b/>
          <w:bCs/>
          <w:lang w:val="fr-CH"/>
        </w:rPr>
        <w:t xml:space="preserve">30A </w:t>
      </w:r>
      <w:r w:rsidR="005545DB" w:rsidRPr="005545DB">
        <w:rPr>
          <w:lang w:val="fr-CH"/>
        </w:rPr>
        <w:t>ou au</w:t>
      </w:r>
      <w:r w:rsidRPr="00423305">
        <w:rPr>
          <w:color w:val="000000"/>
          <w:lang w:val="fr-CH"/>
        </w:rPr>
        <w:t xml:space="preserve"> </w:t>
      </w:r>
      <w:r w:rsidRPr="00423305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 xml:space="preserve"> </w:t>
      </w:r>
      <w:r w:rsidRPr="00423305">
        <w:rPr>
          <w:lang w:val="fr-CH"/>
        </w:rPr>
        <w:t xml:space="preserve">8.1 </w:t>
      </w:r>
      <w:r>
        <w:rPr>
          <w:lang w:val="fr-CH"/>
        </w:rPr>
        <w:t>de l</w:t>
      </w:r>
      <w:r w:rsidR="005545DB">
        <w:rPr>
          <w:lang w:val="fr-CH"/>
        </w:rPr>
        <w:t>'</w:t>
      </w:r>
      <w:r>
        <w:rPr>
          <w:lang w:val="fr-CH"/>
        </w:rPr>
        <w:t>Appendice</w:t>
      </w:r>
      <w:r w:rsidRPr="00423305">
        <w:rPr>
          <w:lang w:val="fr-CH"/>
        </w:rPr>
        <w:t xml:space="preserve"> </w:t>
      </w:r>
      <w:r w:rsidRPr="00423305">
        <w:rPr>
          <w:b/>
          <w:bCs/>
          <w:lang w:val="fr-CH"/>
        </w:rPr>
        <w:t>30B</w:t>
      </w:r>
      <w:r w:rsidR="005545DB">
        <w:rPr>
          <w:lang w:val="fr-CH"/>
        </w:rPr>
        <w:t>.</w:t>
      </w:r>
    </w:p>
    <w:p w:rsidR="00B46582" w:rsidRDefault="00203DB6" w:rsidP="00596742">
      <w:pPr>
        <w:rPr>
          <w:lang w:val="fr-CH"/>
        </w:rPr>
      </w:pPr>
      <w:r w:rsidRPr="00423305">
        <w:rPr>
          <w:lang w:val="fr-CH"/>
        </w:rPr>
        <w:t>2.3.2</w:t>
      </w:r>
      <w:r w:rsidRPr="00423305">
        <w:rPr>
          <w:lang w:val="fr-CH"/>
        </w:rPr>
        <w:tab/>
        <w:t xml:space="preserve">Pour la notification d'une assignation de fréquence à un réseau à satellite OSG au titre de l'Article 11, de l'Article 5 des Appendices </w:t>
      </w:r>
      <w:r w:rsidRPr="00423305">
        <w:rPr>
          <w:b/>
          <w:bCs/>
          <w:lang w:val="fr-CH"/>
        </w:rPr>
        <w:t>30</w:t>
      </w:r>
      <w:r w:rsidRPr="00423305">
        <w:rPr>
          <w:lang w:val="fr-CH"/>
        </w:rPr>
        <w:t xml:space="preserve"> et </w:t>
      </w:r>
      <w:r w:rsidRPr="00423305">
        <w:rPr>
          <w:b/>
          <w:bCs/>
          <w:lang w:val="fr-CH"/>
        </w:rPr>
        <w:t>30A</w:t>
      </w:r>
      <w:r w:rsidRPr="00423305">
        <w:rPr>
          <w:lang w:val="fr-CH"/>
        </w:rPr>
        <w:t xml:space="preserve"> </w:t>
      </w:r>
      <w:r w:rsidR="005545DB">
        <w:rPr>
          <w:lang w:val="fr-CH"/>
        </w:rPr>
        <w:t>ou</w:t>
      </w:r>
      <w:r w:rsidRPr="00423305">
        <w:rPr>
          <w:lang w:val="fr-CH"/>
        </w:rPr>
        <w:t xml:space="preserve"> de l'Article 8 </w:t>
      </w:r>
      <w:r>
        <w:rPr>
          <w:lang w:val="fr-CH"/>
        </w:rPr>
        <w:t>de l'Appendice</w:t>
      </w:r>
      <w:r w:rsidRPr="00423305">
        <w:rPr>
          <w:lang w:val="fr-CH"/>
        </w:rPr>
        <w:t xml:space="preserve"> </w:t>
      </w:r>
      <w:r w:rsidRPr="00423305">
        <w:rPr>
          <w:b/>
          <w:bCs/>
          <w:lang w:val="fr-CH"/>
        </w:rPr>
        <w:t>30B</w:t>
      </w:r>
      <w:r>
        <w:rPr>
          <w:b/>
          <w:bCs/>
          <w:lang w:val="fr-CH"/>
        </w:rPr>
        <w:t xml:space="preserve"> </w:t>
      </w:r>
      <w:r w:rsidRPr="00423305">
        <w:rPr>
          <w:lang w:val="fr-CH"/>
        </w:rPr>
        <w:t xml:space="preserve">ayant une date de mise en service </w:t>
      </w:r>
      <w:r>
        <w:rPr>
          <w:lang w:val="fr-CH"/>
        </w:rPr>
        <w:t>postérieure à la date de réception de la fiche de notification, l'assignation de fréquence sera traitée au titre du numéro</w:t>
      </w:r>
      <w:r w:rsidR="00596742">
        <w:rPr>
          <w:lang w:val="fr-CH"/>
        </w:rPr>
        <w:t xml:space="preserve"> </w:t>
      </w:r>
      <w:r w:rsidRPr="00423305">
        <w:rPr>
          <w:b/>
          <w:bCs/>
          <w:lang w:val="fr-CH"/>
        </w:rPr>
        <w:t>11.47</w:t>
      </w:r>
      <w:r w:rsidRPr="005545DB">
        <w:rPr>
          <w:lang w:val="fr-CH"/>
        </w:rPr>
        <w:t>,</w:t>
      </w:r>
      <w:r w:rsidRPr="00423305">
        <w:rPr>
          <w:b/>
          <w:bCs/>
          <w:lang w:val="fr-CH"/>
        </w:rPr>
        <w:t xml:space="preserve"> </w:t>
      </w:r>
      <w:r w:rsidRPr="00423305">
        <w:rPr>
          <w:lang w:val="fr-CH"/>
        </w:rPr>
        <w:t>du</w:t>
      </w:r>
      <w:r>
        <w:rPr>
          <w:b/>
          <w:bCs/>
          <w:lang w:val="fr-CH"/>
        </w:rPr>
        <w:t xml:space="preserve"> </w:t>
      </w:r>
      <w:r w:rsidRPr="00423305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 xml:space="preserve"> </w:t>
      </w:r>
      <w:r w:rsidRPr="00423305">
        <w:rPr>
          <w:lang w:val="fr-CH"/>
        </w:rPr>
        <w:t xml:space="preserve">5.3.1 </w:t>
      </w:r>
      <w:r>
        <w:rPr>
          <w:lang w:val="fr-CH"/>
        </w:rPr>
        <w:t>des</w:t>
      </w:r>
      <w:r w:rsidRPr="00423305">
        <w:rPr>
          <w:lang w:val="fr-CH"/>
        </w:rPr>
        <w:t xml:space="preserve"> Appendices </w:t>
      </w:r>
      <w:r w:rsidRPr="00423305">
        <w:rPr>
          <w:b/>
          <w:bCs/>
          <w:lang w:val="fr-CH"/>
        </w:rPr>
        <w:t>30</w:t>
      </w:r>
      <w:r w:rsidRPr="00423305">
        <w:rPr>
          <w:lang w:val="fr-CH"/>
        </w:rPr>
        <w:t xml:space="preserve"> </w:t>
      </w:r>
      <w:r>
        <w:rPr>
          <w:lang w:val="fr-CH"/>
        </w:rPr>
        <w:t>et</w:t>
      </w:r>
      <w:r w:rsidRPr="00423305">
        <w:rPr>
          <w:lang w:val="fr-CH"/>
        </w:rPr>
        <w:t xml:space="preserve"> </w:t>
      </w:r>
      <w:r w:rsidRPr="00423305">
        <w:rPr>
          <w:b/>
          <w:bCs/>
          <w:lang w:val="fr-CH"/>
        </w:rPr>
        <w:t>30A</w:t>
      </w:r>
      <w:r w:rsidRPr="00423305">
        <w:rPr>
          <w:color w:val="000000"/>
          <w:lang w:val="fr-CH"/>
        </w:rPr>
        <w:t xml:space="preserve"> </w:t>
      </w:r>
      <w:r w:rsidR="005545DB">
        <w:rPr>
          <w:color w:val="000000"/>
          <w:lang w:val="fr-CH"/>
        </w:rPr>
        <w:t>ou</w:t>
      </w:r>
      <w:r>
        <w:rPr>
          <w:color w:val="000000"/>
          <w:lang w:val="fr-CH"/>
        </w:rPr>
        <w:t xml:space="preserve"> du </w:t>
      </w:r>
      <w:r w:rsidRPr="00423305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 xml:space="preserve"> </w:t>
      </w:r>
      <w:r w:rsidRPr="00423305">
        <w:rPr>
          <w:lang w:val="fr-CH"/>
        </w:rPr>
        <w:t xml:space="preserve">8.16 </w:t>
      </w:r>
      <w:r>
        <w:rPr>
          <w:lang w:val="fr-CH"/>
        </w:rPr>
        <w:t>de l</w:t>
      </w:r>
      <w:r w:rsidR="005545DB">
        <w:rPr>
          <w:lang w:val="fr-CH"/>
        </w:rPr>
        <w:t>'</w:t>
      </w:r>
      <w:r>
        <w:rPr>
          <w:lang w:val="fr-CH"/>
        </w:rPr>
        <w:t>Appendice</w:t>
      </w:r>
      <w:r w:rsidRPr="00423305">
        <w:rPr>
          <w:lang w:val="fr-CH"/>
        </w:rPr>
        <w:t xml:space="preserve"> </w:t>
      </w:r>
      <w:r w:rsidRPr="00423305">
        <w:rPr>
          <w:b/>
          <w:bCs/>
          <w:lang w:val="fr-CH"/>
        </w:rPr>
        <w:t>30B</w:t>
      </w:r>
      <w:r w:rsidRPr="00423305">
        <w:rPr>
          <w:lang w:val="fr-CH"/>
        </w:rPr>
        <w:t>,</w:t>
      </w:r>
      <w:r w:rsidRPr="00423305">
        <w:rPr>
          <w:b/>
          <w:bCs/>
          <w:lang w:val="fr-CH"/>
        </w:rPr>
        <w:t xml:space="preserve"> </w:t>
      </w:r>
      <w:r w:rsidRPr="00423305">
        <w:rPr>
          <w:lang w:val="fr-CH"/>
        </w:rPr>
        <w:t>selon le cas</w:t>
      </w:r>
      <w:r>
        <w:rPr>
          <w:lang w:val="fr-CH"/>
        </w:rPr>
        <w:t>, et aboutira à une inscription provisoire dans le Fichier de référence</w:t>
      </w:r>
      <w:r w:rsidRPr="005545DB">
        <w:rPr>
          <w:lang w:val="fr-CH"/>
        </w:rPr>
        <w:t xml:space="preserve">. </w:t>
      </w:r>
    </w:p>
    <w:p w:rsidR="00203DB6" w:rsidRPr="00B6216D" w:rsidRDefault="00203DB6" w:rsidP="00AA031D">
      <w:pPr>
        <w:rPr>
          <w:lang w:val="fr-CH"/>
        </w:rPr>
      </w:pPr>
      <w:r w:rsidRPr="00423305">
        <w:rPr>
          <w:lang w:val="fr-CH"/>
        </w:rPr>
        <w:t>Ensuite, l'administration communiquera au B</w:t>
      </w:r>
      <w:r>
        <w:rPr>
          <w:lang w:val="fr-CH"/>
        </w:rPr>
        <w:t>ureau</w:t>
      </w:r>
      <w:r w:rsidRPr="00423305">
        <w:rPr>
          <w:lang w:val="fr-CH"/>
        </w:rPr>
        <w:t xml:space="preserve"> la date à laquelle l'assignation au réseau à satellite a effectivement été mise en service</w:t>
      </w:r>
      <w:r>
        <w:rPr>
          <w:lang w:val="fr-CH"/>
        </w:rPr>
        <w:t>, fournissant ainsi une date de mise en service mise à jour ou confirmée. Cette</w:t>
      </w:r>
      <w:r w:rsidRPr="00B6216D">
        <w:rPr>
          <w:lang w:val="fr-CH"/>
        </w:rPr>
        <w:t xml:space="preserve"> communication sera considérée comme les «renseignements initiaux</w:t>
      </w:r>
      <w:r>
        <w:rPr>
          <w:lang w:val="fr-CH"/>
        </w:rPr>
        <w:t>». C</w:t>
      </w:r>
      <w:r w:rsidRPr="00B6216D">
        <w:rPr>
          <w:lang w:val="fr-CH"/>
        </w:rPr>
        <w:t xml:space="preserve">es renseignements initiaux relatifs à la mise en service doivent être reçus par le Bureau </w:t>
      </w:r>
      <w:r>
        <w:rPr>
          <w:lang w:val="fr-CH"/>
        </w:rPr>
        <w:t>au plus tard 30</w:t>
      </w:r>
      <w:r w:rsidR="00B46582">
        <w:rPr>
          <w:lang w:val="fr-CH"/>
        </w:rPr>
        <w:t> </w:t>
      </w:r>
      <w:r>
        <w:rPr>
          <w:lang w:val="fr-CH"/>
        </w:rPr>
        <w:t xml:space="preserve">jours après le délai réglementaire applicable </w:t>
      </w:r>
      <w:r w:rsidRPr="00B6216D">
        <w:rPr>
          <w:lang w:val="fr-CH"/>
        </w:rPr>
        <w:t>(</w:t>
      </w:r>
      <w:r>
        <w:rPr>
          <w:lang w:val="fr-CH"/>
        </w:rPr>
        <w:t>numéro</w:t>
      </w:r>
      <w:r w:rsidR="005545DB" w:rsidRPr="005545DB">
        <w:t xml:space="preserve"> </w:t>
      </w:r>
      <w:r w:rsidRPr="00B6216D">
        <w:rPr>
          <w:b/>
          <w:bCs/>
          <w:lang w:val="fr-CH"/>
        </w:rPr>
        <w:t>11.47</w:t>
      </w:r>
      <w:r w:rsidRPr="005545DB">
        <w:rPr>
          <w:lang w:val="fr-CH"/>
        </w:rPr>
        <w:t>,</w:t>
      </w:r>
      <w:r w:rsidRPr="00B6216D">
        <w:rPr>
          <w:b/>
          <w:bCs/>
          <w:lang w:val="fr-CH"/>
        </w:rPr>
        <w:t xml:space="preserve"> </w:t>
      </w:r>
      <w:r w:rsidRPr="00B6216D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> </w:t>
      </w:r>
      <w:r w:rsidRPr="00B6216D">
        <w:rPr>
          <w:lang w:val="fr-CH"/>
        </w:rPr>
        <w:t xml:space="preserve">5.3.1 </w:t>
      </w:r>
      <w:r>
        <w:rPr>
          <w:lang w:val="fr-CH"/>
        </w:rPr>
        <w:t>des</w:t>
      </w:r>
      <w:r w:rsidRPr="00B6216D">
        <w:rPr>
          <w:lang w:val="fr-CH"/>
        </w:rPr>
        <w:t xml:space="preserve"> Appendices</w:t>
      </w:r>
      <w:r w:rsidR="005545DB">
        <w:rPr>
          <w:lang w:val="fr-CH"/>
        </w:rPr>
        <w:t> </w:t>
      </w:r>
      <w:r w:rsidRPr="00B6216D">
        <w:rPr>
          <w:b/>
          <w:bCs/>
          <w:lang w:val="fr-CH"/>
        </w:rPr>
        <w:t>30</w:t>
      </w:r>
      <w:r w:rsidRPr="00B6216D">
        <w:rPr>
          <w:lang w:val="fr-CH"/>
        </w:rPr>
        <w:t xml:space="preserve"> </w:t>
      </w:r>
      <w:r>
        <w:rPr>
          <w:lang w:val="fr-CH"/>
        </w:rPr>
        <w:t>et</w:t>
      </w:r>
      <w:r w:rsidRPr="00B6216D">
        <w:rPr>
          <w:lang w:val="fr-CH"/>
        </w:rPr>
        <w:t xml:space="preserve"> </w:t>
      </w:r>
      <w:r w:rsidRPr="00B6216D">
        <w:rPr>
          <w:b/>
          <w:bCs/>
          <w:lang w:val="fr-CH"/>
        </w:rPr>
        <w:t>30A</w:t>
      </w:r>
      <w:r w:rsidRPr="00B6216D">
        <w:rPr>
          <w:color w:val="000000"/>
          <w:lang w:val="fr-CH"/>
        </w:rPr>
        <w:t xml:space="preserve"> </w:t>
      </w:r>
      <w:r w:rsidR="00AA031D">
        <w:rPr>
          <w:color w:val="000000"/>
          <w:lang w:val="fr-CH"/>
        </w:rPr>
        <w:t>ou</w:t>
      </w:r>
      <w:r w:rsidRPr="00B6216D">
        <w:rPr>
          <w:color w:val="000000"/>
          <w:lang w:val="fr-CH"/>
        </w:rPr>
        <w:t xml:space="preserve"> </w:t>
      </w:r>
      <w:r w:rsidRPr="00B6216D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> </w:t>
      </w:r>
      <w:r w:rsidRPr="00B6216D">
        <w:rPr>
          <w:lang w:val="fr-CH"/>
        </w:rPr>
        <w:t xml:space="preserve">8.16 </w:t>
      </w:r>
      <w:r>
        <w:rPr>
          <w:lang w:val="fr-CH"/>
        </w:rPr>
        <w:t>de l</w:t>
      </w:r>
      <w:r w:rsidR="005545DB">
        <w:rPr>
          <w:lang w:val="fr-CH"/>
        </w:rPr>
        <w:t>'</w:t>
      </w:r>
      <w:r>
        <w:rPr>
          <w:lang w:val="fr-CH"/>
        </w:rPr>
        <w:t>Appendice</w:t>
      </w:r>
      <w:r w:rsidRPr="00B6216D">
        <w:rPr>
          <w:lang w:val="fr-CH"/>
        </w:rPr>
        <w:t xml:space="preserve"> </w:t>
      </w:r>
      <w:r w:rsidRPr="00B6216D">
        <w:rPr>
          <w:b/>
          <w:bCs/>
          <w:lang w:val="fr-CH"/>
        </w:rPr>
        <w:t>30B</w:t>
      </w:r>
      <w:r w:rsidRPr="00B6216D">
        <w:rPr>
          <w:lang w:val="fr-CH"/>
        </w:rPr>
        <w:t xml:space="preserve">), </w:t>
      </w:r>
      <w:r>
        <w:rPr>
          <w:lang w:val="fr-CH"/>
        </w:rPr>
        <w:t xml:space="preserve">et la date de mise en service doit être située dans le délai réglementaire. </w:t>
      </w:r>
      <w:r w:rsidRPr="00B6216D">
        <w:rPr>
          <w:lang w:val="fr-CH"/>
        </w:rPr>
        <w:t xml:space="preserve">Dans le cas contraire, le Bureau annulera l'inscription dans le Fichier de référence </w:t>
      </w:r>
      <w:r>
        <w:rPr>
          <w:lang w:val="fr-CH"/>
        </w:rPr>
        <w:t>conformément au numéro</w:t>
      </w:r>
      <w:r w:rsidR="00B46582">
        <w:rPr>
          <w:lang w:val="fr-CH"/>
        </w:rPr>
        <w:t> </w:t>
      </w:r>
      <w:r w:rsidRPr="005545DB">
        <w:rPr>
          <w:b/>
          <w:bCs/>
          <w:lang w:val="fr-CH"/>
        </w:rPr>
        <w:t>11.47</w:t>
      </w:r>
      <w:r w:rsidR="005545DB" w:rsidRPr="005545DB">
        <w:rPr>
          <w:lang w:val="fr-CH"/>
        </w:rPr>
        <w:t>,</w:t>
      </w:r>
      <w:r w:rsidR="005545DB">
        <w:rPr>
          <w:b/>
          <w:bCs/>
          <w:lang w:val="fr-CH"/>
        </w:rPr>
        <w:t xml:space="preserve"> </w:t>
      </w:r>
      <w:r w:rsidRPr="005545DB">
        <w:rPr>
          <w:lang w:val="fr-CH"/>
        </w:rPr>
        <w:t xml:space="preserve">au </w:t>
      </w:r>
      <w:r w:rsidRPr="005545DB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 xml:space="preserve"> </w:t>
      </w:r>
      <w:r w:rsidRPr="005545DB">
        <w:rPr>
          <w:lang w:val="fr-CH"/>
        </w:rPr>
        <w:t>5.3.1</w:t>
      </w:r>
      <w:r w:rsidR="005545DB">
        <w:rPr>
          <w:lang w:val="fr-CH"/>
        </w:rPr>
        <w:t xml:space="preserve"> </w:t>
      </w:r>
      <w:r>
        <w:rPr>
          <w:lang w:val="fr-CH"/>
        </w:rPr>
        <w:t xml:space="preserve">des Appendices </w:t>
      </w:r>
      <w:r w:rsidRPr="00B6216D">
        <w:rPr>
          <w:b/>
          <w:bCs/>
          <w:lang w:val="fr-CH"/>
        </w:rPr>
        <w:t>30</w:t>
      </w:r>
      <w:r w:rsidRPr="00B6216D">
        <w:rPr>
          <w:lang w:val="fr-CH"/>
        </w:rPr>
        <w:t xml:space="preserve"> </w:t>
      </w:r>
      <w:r>
        <w:rPr>
          <w:lang w:val="fr-CH"/>
        </w:rPr>
        <w:t>et</w:t>
      </w:r>
      <w:r w:rsidRPr="00B6216D">
        <w:rPr>
          <w:lang w:val="fr-CH"/>
        </w:rPr>
        <w:t xml:space="preserve"> </w:t>
      </w:r>
      <w:r w:rsidRPr="00B6216D">
        <w:rPr>
          <w:b/>
          <w:bCs/>
          <w:lang w:val="fr-CH"/>
        </w:rPr>
        <w:t>30A</w:t>
      </w:r>
      <w:r w:rsidRPr="00B6216D">
        <w:rPr>
          <w:color w:val="000000"/>
          <w:lang w:val="fr-CH"/>
        </w:rPr>
        <w:t xml:space="preserve"> </w:t>
      </w:r>
      <w:r w:rsidR="005545DB">
        <w:rPr>
          <w:color w:val="000000"/>
          <w:lang w:val="fr-CH"/>
        </w:rPr>
        <w:t>ou</w:t>
      </w:r>
      <w:r>
        <w:rPr>
          <w:color w:val="000000"/>
          <w:lang w:val="fr-CH"/>
        </w:rPr>
        <w:t xml:space="preserve"> au</w:t>
      </w:r>
      <w:r w:rsidRPr="00B6216D">
        <w:rPr>
          <w:color w:val="000000"/>
          <w:lang w:val="fr-CH"/>
        </w:rPr>
        <w:t xml:space="preserve"> </w:t>
      </w:r>
      <w:r w:rsidRPr="00B6216D">
        <w:rPr>
          <w:rFonts w:cs="Calibri"/>
          <w:lang w:val="fr-CH"/>
        </w:rPr>
        <w:t>§</w:t>
      </w:r>
      <w:r w:rsidR="005545DB">
        <w:rPr>
          <w:rFonts w:cs="Calibri"/>
          <w:lang w:val="fr-CH"/>
        </w:rPr>
        <w:t xml:space="preserve"> </w:t>
      </w:r>
      <w:r w:rsidRPr="00B6216D">
        <w:rPr>
          <w:lang w:val="fr-CH"/>
        </w:rPr>
        <w:t xml:space="preserve">8.16 </w:t>
      </w:r>
      <w:r>
        <w:rPr>
          <w:lang w:val="fr-CH"/>
        </w:rPr>
        <w:t>de l</w:t>
      </w:r>
      <w:r w:rsidR="005545DB">
        <w:rPr>
          <w:lang w:val="fr-CH"/>
        </w:rPr>
        <w:t>'</w:t>
      </w:r>
      <w:r w:rsidRPr="00B6216D">
        <w:rPr>
          <w:lang w:val="fr-CH"/>
        </w:rPr>
        <w:t>Appendi</w:t>
      </w:r>
      <w:r>
        <w:rPr>
          <w:lang w:val="fr-CH"/>
        </w:rPr>
        <w:t>ce</w:t>
      </w:r>
      <w:r w:rsidRPr="00B6216D">
        <w:rPr>
          <w:lang w:val="fr-CH"/>
        </w:rPr>
        <w:t xml:space="preserve"> </w:t>
      </w:r>
      <w:r w:rsidRPr="00B6216D">
        <w:rPr>
          <w:b/>
          <w:bCs/>
          <w:lang w:val="fr-CH"/>
        </w:rPr>
        <w:t>30B</w:t>
      </w:r>
      <w:r w:rsidRPr="00B6216D">
        <w:rPr>
          <w:lang w:val="fr-CH"/>
        </w:rPr>
        <w:t xml:space="preserve">, </w:t>
      </w:r>
      <w:r>
        <w:rPr>
          <w:lang w:val="fr-CH"/>
        </w:rPr>
        <w:t>après en avoir informé l'administration concernée.</w:t>
      </w:r>
    </w:p>
    <w:p w:rsidR="00203DB6" w:rsidRPr="00A83F2E" w:rsidRDefault="00203DB6" w:rsidP="00C3613E">
      <w:pPr>
        <w:rPr>
          <w:lang w:val="fr-CH"/>
        </w:rPr>
      </w:pPr>
      <w:r w:rsidRPr="00B6216D">
        <w:rPr>
          <w:szCs w:val="22"/>
          <w:lang w:val="fr-CH"/>
        </w:rPr>
        <w:t>2.3.</w:t>
      </w:r>
      <w:r w:rsidR="00C3613E">
        <w:rPr>
          <w:szCs w:val="22"/>
          <w:lang w:val="fr-CH"/>
        </w:rPr>
        <w:t>3</w:t>
      </w:r>
      <w:r w:rsidRPr="00B6216D">
        <w:rPr>
          <w:szCs w:val="22"/>
          <w:lang w:val="fr-CH"/>
        </w:rPr>
        <w:tab/>
        <w:t xml:space="preserve">Le Bureau insérera le statut de l'assignation de fréquence dans le </w:t>
      </w:r>
      <w:r w:rsidRPr="00B6216D">
        <w:rPr>
          <w:lang w:val="fr-CH"/>
        </w:rPr>
        <w:t>SNS [</w:t>
      </w:r>
      <w:proofErr w:type="spellStart"/>
      <w:r w:rsidRPr="00B6216D">
        <w:rPr>
          <w:lang w:val="fr-CH"/>
        </w:rPr>
        <w:t>grp.f_biu</w:t>
      </w:r>
      <w:proofErr w:type="spellEnd"/>
      <w:r w:rsidRPr="00B6216D">
        <w:rPr>
          <w:lang w:val="fr-CH"/>
        </w:rPr>
        <w:t>=</w:t>
      </w:r>
      <w:r w:rsidR="00B46582">
        <w:rPr>
          <w:lang w:val="fr-CH"/>
        </w:rPr>
        <w:t>«</w:t>
      </w:r>
      <w:r w:rsidRPr="00B6216D">
        <w:rPr>
          <w:lang w:val="fr-CH"/>
        </w:rPr>
        <w:t>I</w:t>
      </w:r>
      <w:r w:rsidR="00B46582">
        <w:rPr>
          <w:lang w:val="fr-CH"/>
        </w:rPr>
        <w:t>»</w:t>
      </w:r>
      <w:r w:rsidRPr="00B6216D">
        <w:rPr>
          <w:lang w:val="fr-CH"/>
        </w:rPr>
        <w:t xml:space="preserve">], </w:t>
      </w:r>
      <w:r>
        <w:rPr>
          <w:lang w:val="fr-CH"/>
        </w:rPr>
        <w:t>et postera l'information sur la page web UIT</w:t>
      </w:r>
      <w:r w:rsidRPr="00B6216D">
        <w:rPr>
          <w:lang w:val="fr-CH"/>
        </w:rPr>
        <w:t>-BR</w:t>
      </w:r>
      <w:r>
        <w:rPr>
          <w:lang w:val="fr-CH"/>
        </w:rPr>
        <w:t xml:space="preserve">, en indiquant </w:t>
      </w:r>
      <w:r w:rsidR="00B46582">
        <w:rPr>
          <w:lang w:val="fr-CH"/>
        </w:rPr>
        <w:t>«</w:t>
      </w:r>
      <w:r w:rsidRPr="00B6216D">
        <w:rPr>
          <w:lang w:val="fr-CH"/>
        </w:rPr>
        <w:t>I</w:t>
      </w:r>
      <w:r w:rsidR="00B46582">
        <w:rPr>
          <w:lang w:val="fr-CH"/>
        </w:rPr>
        <w:t>»</w:t>
      </w:r>
      <w:r>
        <w:rPr>
          <w:lang w:val="fr-CH"/>
        </w:rPr>
        <w:t xml:space="preserve"> dans la colonne Statut pour les renseignements initiaux relatifs à la mise en service.</w:t>
      </w:r>
    </w:p>
    <w:p w:rsidR="00203DB6" w:rsidRPr="00A83F2E" w:rsidRDefault="00203DB6" w:rsidP="00596742">
      <w:pPr>
        <w:rPr>
          <w:lang w:val="fr-CH"/>
        </w:rPr>
      </w:pPr>
      <w:r w:rsidRPr="00A83F2E">
        <w:rPr>
          <w:lang w:val="fr-CH"/>
        </w:rPr>
        <w:t>2.3.</w:t>
      </w:r>
      <w:r w:rsidR="00C3613E">
        <w:rPr>
          <w:lang w:val="fr-CH"/>
        </w:rPr>
        <w:t>4</w:t>
      </w:r>
      <w:r w:rsidRPr="00A83F2E">
        <w:rPr>
          <w:lang w:val="fr-CH"/>
        </w:rPr>
        <w:tab/>
        <w:t>L</w:t>
      </w:r>
      <w:r>
        <w:rPr>
          <w:lang w:val="fr-CH"/>
        </w:rPr>
        <w:t>a date</w:t>
      </w:r>
      <w:r w:rsidRPr="00A83F2E">
        <w:rPr>
          <w:lang w:val="fr-CH"/>
        </w:rPr>
        <w:t xml:space="preserve"> de mise en service notifiée qui a été fournie et confirmée pendant la phase des renseignements </w:t>
      </w:r>
      <w:r>
        <w:rPr>
          <w:lang w:val="fr-CH"/>
        </w:rPr>
        <w:t>initiaux sera la date de début de la période de 90 jours, comme indiqué au numéro</w:t>
      </w:r>
      <w:r w:rsidR="009B4404">
        <w:rPr>
          <w:lang w:val="fr-CH"/>
        </w:rPr>
        <w:t> </w:t>
      </w:r>
      <w:r w:rsidRPr="00A83F2E">
        <w:rPr>
          <w:b/>
          <w:bCs/>
          <w:lang w:val="fr-CH"/>
        </w:rPr>
        <w:t>11.44.2</w:t>
      </w:r>
      <w:r w:rsidRPr="00A83F2E">
        <w:rPr>
          <w:lang w:val="fr-CH"/>
        </w:rPr>
        <w:t>.</w:t>
      </w:r>
    </w:p>
    <w:p w:rsidR="00203DB6" w:rsidRPr="0050233E" w:rsidRDefault="00203DB6" w:rsidP="00AA5B42">
      <w:pPr>
        <w:rPr>
          <w:lang w:val="fr-CH"/>
        </w:rPr>
      </w:pPr>
      <w:r w:rsidRPr="0050233E">
        <w:rPr>
          <w:lang w:val="fr-CH"/>
        </w:rPr>
        <w:lastRenderedPageBreak/>
        <w:t>2.3.</w:t>
      </w:r>
      <w:r w:rsidR="00AA5B42">
        <w:rPr>
          <w:lang w:val="fr-CH"/>
        </w:rPr>
        <w:t>5</w:t>
      </w:r>
      <w:r w:rsidRPr="0050233E">
        <w:rPr>
          <w:lang w:val="fr-CH"/>
        </w:rPr>
        <w:tab/>
        <w:t xml:space="preserve">Pour respecter les dispositions du numéro </w:t>
      </w:r>
      <w:r w:rsidRPr="0050233E">
        <w:rPr>
          <w:b/>
          <w:bCs/>
          <w:lang w:val="fr-CH"/>
        </w:rPr>
        <w:t>11.44B</w:t>
      </w:r>
      <w:r w:rsidRPr="0050233E">
        <w:rPr>
          <w:lang w:val="fr-CH"/>
        </w:rPr>
        <w:t xml:space="preserve"> en ce qui concerne la confirmation à fournir dans les 30 jours qui suivent la période de 90 jours, la date de début de la période de 90</w:t>
      </w:r>
      <w:r w:rsidR="009B4404">
        <w:rPr>
          <w:lang w:val="fr-CH"/>
        </w:rPr>
        <w:t> </w:t>
      </w:r>
      <w:r w:rsidRPr="0050233E">
        <w:rPr>
          <w:lang w:val="fr-CH"/>
        </w:rPr>
        <w:t>jours</w:t>
      </w:r>
      <w:r>
        <w:rPr>
          <w:lang w:val="fr-CH"/>
        </w:rPr>
        <w:t xml:space="preserve"> ne peut pas être antérieure de plus de 120 jours à la date de réception de la notification au titre du numéro</w:t>
      </w:r>
      <w:r w:rsidRPr="0050233E">
        <w:rPr>
          <w:lang w:val="fr-CH"/>
        </w:rPr>
        <w:t> </w:t>
      </w:r>
      <w:r w:rsidRPr="0050233E">
        <w:rPr>
          <w:b/>
          <w:bCs/>
          <w:lang w:val="fr-CH"/>
        </w:rPr>
        <w:t>11.15</w:t>
      </w:r>
      <w:r w:rsidRPr="009B4404">
        <w:rPr>
          <w:lang w:val="fr-CH"/>
        </w:rPr>
        <w:t>,</w:t>
      </w:r>
      <w:r w:rsidRPr="0050233E">
        <w:rPr>
          <w:lang w:val="fr-CH"/>
        </w:rPr>
        <w:t xml:space="preserve"> du </w:t>
      </w:r>
      <w:r w:rsidRPr="0050233E">
        <w:rPr>
          <w:rFonts w:cs="Calibri"/>
          <w:lang w:val="fr-CH"/>
        </w:rPr>
        <w:t>§</w:t>
      </w:r>
      <w:r w:rsidR="009B4404">
        <w:rPr>
          <w:rFonts w:cs="Calibri"/>
          <w:lang w:val="fr-CH"/>
        </w:rPr>
        <w:t xml:space="preserve"> </w:t>
      </w:r>
      <w:r w:rsidRPr="0050233E">
        <w:rPr>
          <w:lang w:val="fr-CH"/>
        </w:rPr>
        <w:t>5.1.3 de l</w:t>
      </w:r>
      <w:r w:rsidR="005545DB">
        <w:rPr>
          <w:lang w:val="fr-CH"/>
        </w:rPr>
        <w:t>'</w:t>
      </w:r>
      <w:r w:rsidRPr="0050233E">
        <w:rPr>
          <w:lang w:val="fr-CH"/>
        </w:rPr>
        <w:t xml:space="preserve">Appendice </w:t>
      </w:r>
      <w:r w:rsidRPr="0050233E">
        <w:rPr>
          <w:b/>
          <w:bCs/>
          <w:lang w:val="fr-CH"/>
        </w:rPr>
        <w:t>30</w:t>
      </w:r>
      <w:r w:rsidRPr="009B4404">
        <w:rPr>
          <w:lang w:val="fr-CH"/>
        </w:rPr>
        <w:t>,</w:t>
      </w:r>
      <w:r w:rsidRPr="0050233E">
        <w:rPr>
          <w:b/>
          <w:bCs/>
          <w:lang w:val="fr-CH"/>
        </w:rPr>
        <w:t xml:space="preserve"> </w:t>
      </w:r>
      <w:r w:rsidRPr="0050233E">
        <w:rPr>
          <w:lang w:val="fr-CH"/>
        </w:rPr>
        <w:t>du</w:t>
      </w:r>
      <w:r w:rsidRPr="0050233E">
        <w:rPr>
          <w:b/>
          <w:bCs/>
          <w:lang w:val="fr-CH"/>
        </w:rPr>
        <w:t xml:space="preserve"> </w:t>
      </w:r>
      <w:r w:rsidRPr="0050233E">
        <w:rPr>
          <w:rFonts w:cs="Calibri"/>
          <w:lang w:val="fr-CH"/>
        </w:rPr>
        <w:t>§</w:t>
      </w:r>
      <w:r w:rsidR="009B4404">
        <w:rPr>
          <w:rFonts w:cs="Calibri"/>
          <w:lang w:val="fr-CH"/>
        </w:rPr>
        <w:t xml:space="preserve"> </w:t>
      </w:r>
      <w:r w:rsidRPr="0050233E">
        <w:rPr>
          <w:lang w:val="fr-CH"/>
        </w:rPr>
        <w:t>5.1.7 de l</w:t>
      </w:r>
      <w:r w:rsidR="005545DB">
        <w:rPr>
          <w:lang w:val="fr-CH"/>
        </w:rPr>
        <w:t>'</w:t>
      </w:r>
      <w:r>
        <w:rPr>
          <w:lang w:val="fr-CH"/>
        </w:rPr>
        <w:t>Appendice</w:t>
      </w:r>
      <w:r w:rsidRPr="0050233E">
        <w:rPr>
          <w:lang w:val="fr-CH"/>
        </w:rPr>
        <w:t xml:space="preserve"> </w:t>
      </w:r>
      <w:r w:rsidRPr="0050233E">
        <w:rPr>
          <w:b/>
          <w:bCs/>
          <w:lang w:val="fr-CH"/>
        </w:rPr>
        <w:t xml:space="preserve">30A </w:t>
      </w:r>
      <w:r>
        <w:rPr>
          <w:lang w:val="fr-CH"/>
        </w:rPr>
        <w:t>ou</w:t>
      </w:r>
      <w:r w:rsidRPr="00297B51">
        <w:rPr>
          <w:lang w:val="fr-CH"/>
        </w:rPr>
        <w:t xml:space="preserve"> du</w:t>
      </w:r>
      <w:r>
        <w:rPr>
          <w:b/>
          <w:bCs/>
          <w:lang w:val="fr-CH"/>
        </w:rPr>
        <w:t xml:space="preserve"> </w:t>
      </w:r>
      <w:r w:rsidRPr="0050233E">
        <w:rPr>
          <w:rFonts w:cs="Calibri"/>
          <w:lang w:val="fr-CH"/>
        </w:rPr>
        <w:t>§</w:t>
      </w:r>
      <w:r w:rsidR="009B4404">
        <w:rPr>
          <w:rFonts w:cs="Calibri"/>
          <w:lang w:val="fr-CH"/>
        </w:rPr>
        <w:t xml:space="preserve"> </w:t>
      </w:r>
      <w:r w:rsidRPr="0050233E">
        <w:rPr>
          <w:lang w:val="fr-CH"/>
        </w:rPr>
        <w:t xml:space="preserve">8.1 </w:t>
      </w:r>
      <w:r>
        <w:rPr>
          <w:lang w:val="fr-CH"/>
        </w:rPr>
        <w:t>de l</w:t>
      </w:r>
      <w:r w:rsidR="005545DB">
        <w:rPr>
          <w:lang w:val="fr-CH"/>
        </w:rPr>
        <w:t>'</w:t>
      </w:r>
      <w:r>
        <w:rPr>
          <w:lang w:val="fr-CH"/>
        </w:rPr>
        <w:t>Appendice</w:t>
      </w:r>
      <w:r w:rsidRPr="0050233E">
        <w:rPr>
          <w:lang w:val="fr-CH"/>
        </w:rPr>
        <w:t xml:space="preserve"> </w:t>
      </w:r>
      <w:r w:rsidRPr="0050233E">
        <w:rPr>
          <w:b/>
          <w:bCs/>
          <w:lang w:val="fr-CH"/>
        </w:rPr>
        <w:t>30B</w:t>
      </w:r>
      <w:r w:rsidRPr="0050233E">
        <w:rPr>
          <w:lang w:val="fr-CH"/>
        </w:rPr>
        <w:t>.</w:t>
      </w:r>
    </w:p>
    <w:p w:rsidR="00203DB6" w:rsidRPr="00297B51" w:rsidRDefault="00203DB6" w:rsidP="00C3613E">
      <w:pPr>
        <w:rPr>
          <w:szCs w:val="24"/>
          <w:lang w:val="fr-CH"/>
        </w:rPr>
      </w:pPr>
      <w:r w:rsidRPr="00297B51">
        <w:rPr>
          <w:lang w:val="fr-CH"/>
        </w:rPr>
        <w:t>2.4</w:t>
      </w:r>
      <w:r w:rsidRPr="00297B51">
        <w:rPr>
          <w:lang w:val="fr-CH"/>
        </w:rPr>
        <w:tab/>
        <w:t>La confirmation de la mise en service de l'assignation de fréquence sera considérée comme ayant été communiqué</w:t>
      </w:r>
      <w:r>
        <w:rPr>
          <w:lang w:val="fr-CH"/>
        </w:rPr>
        <w:t>e au</w:t>
      </w:r>
      <w:r w:rsidRPr="00297B51">
        <w:rPr>
          <w:lang w:val="fr-CH"/>
        </w:rPr>
        <w:t xml:space="preserve"> Bureau lorsque l'administration informe</w:t>
      </w:r>
      <w:r w:rsidR="009B4404">
        <w:rPr>
          <w:lang w:val="fr-CH"/>
        </w:rPr>
        <w:t>ra</w:t>
      </w:r>
      <w:r w:rsidRPr="00297B51">
        <w:rPr>
          <w:lang w:val="fr-CH"/>
        </w:rPr>
        <w:t xml:space="preserve"> ce dernier qu'une station spatiale sur l'orbite des satellites géostationnaires ayant la capacité d'émettre ou de recevoir </w:t>
      </w:r>
      <w:r>
        <w:rPr>
          <w:lang w:val="fr-CH"/>
        </w:rPr>
        <w:t>sur cette fréquence assignée a été déployé</w:t>
      </w:r>
      <w:r w:rsidR="00596742">
        <w:rPr>
          <w:lang w:val="fr-CH"/>
        </w:rPr>
        <w:t>e</w:t>
      </w:r>
      <w:r>
        <w:rPr>
          <w:lang w:val="fr-CH"/>
        </w:rPr>
        <w:t xml:space="preserve"> à la position orbitale notifiée et maintenue à cette position pendant une période continue de 90 jours, comme indiqué dans le numéro </w:t>
      </w:r>
      <w:r w:rsidRPr="00FB221E">
        <w:rPr>
          <w:b/>
          <w:bCs/>
          <w:lang w:val="fr-CH"/>
        </w:rPr>
        <w:t>11</w:t>
      </w:r>
      <w:r w:rsidRPr="00297B51">
        <w:rPr>
          <w:b/>
          <w:bCs/>
          <w:szCs w:val="24"/>
          <w:lang w:val="fr-CH"/>
        </w:rPr>
        <w:t>.44B</w:t>
      </w:r>
      <w:r w:rsidRPr="00297B51">
        <w:rPr>
          <w:szCs w:val="24"/>
          <w:lang w:val="fr-CH"/>
        </w:rPr>
        <w:t>.</w:t>
      </w:r>
    </w:p>
    <w:p w:rsidR="00203DB6" w:rsidRPr="00FB221E" w:rsidRDefault="00203DB6" w:rsidP="00CB3583">
      <w:pPr>
        <w:rPr>
          <w:rFonts w:eastAsia="SimSun"/>
          <w:lang w:val="fr-CH" w:eastAsia="zh-CN"/>
        </w:rPr>
      </w:pPr>
      <w:r w:rsidRPr="00297B51">
        <w:rPr>
          <w:rFonts w:eastAsia="SimSun"/>
          <w:lang w:val="fr-CH" w:eastAsia="zh-CN"/>
        </w:rPr>
        <w:t>2.4.1</w:t>
      </w:r>
      <w:r w:rsidRPr="00297B51">
        <w:rPr>
          <w:rFonts w:eastAsia="SimSun"/>
          <w:lang w:val="fr-CH" w:eastAsia="zh-CN"/>
        </w:rPr>
        <w:tab/>
        <w:t>Pour éviter tout</w:t>
      </w:r>
      <w:r>
        <w:rPr>
          <w:rFonts w:eastAsia="SimSun"/>
          <w:lang w:val="fr-CH" w:eastAsia="zh-CN"/>
        </w:rPr>
        <w:t xml:space="preserve"> risque d</w:t>
      </w:r>
      <w:r w:rsidR="005545DB">
        <w:rPr>
          <w:rFonts w:eastAsia="SimSun"/>
          <w:lang w:val="fr-CH" w:eastAsia="zh-CN"/>
        </w:rPr>
        <w:t>'</w:t>
      </w:r>
      <w:r w:rsidRPr="00297B51">
        <w:rPr>
          <w:rFonts w:eastAsia="SimSun"/>
          <w:lang w:val="fr-CH" w:eastAsia="zh-CN"/>
        </w:rPr>
        <w:t xml:space="preserve">erreur d'interprétation en ce qui concerne la signification de l'expression «ayant la capacité d'émettre ou de recevoir sur cette </w:t>
      </w:r>
      <w:r w:rsidR="009B4404">
        <w:rPr>
          <w:rFonts w:eastAsia="SimSun"/>
          <w:lang w:val="fr-CH" w:eastAsia="zh-CN"/>
        </w:rPr>
        <w:t>fréquence assignée</w:t>
      </w:r>
      <w:r w:rsidRPr="00297B51">
        <w:rPr>
          <w:rFonts w:eastAsia="SimSun"/>
          <w:lang w:val="fr-CH" w:eastAsia="zh-CN"/>
        </w:rPr>
        <w:t>» et pour préciser comment il appliquera cette disposition, le Bureau a dressé une liste non exhaustive des types possibles de renseignements</w:t>
      </w:r>
      <w:r>
        <w:rPr>
          <w:rFonts w:eastAsia="SimSun"/>
          <w:lang w:val="fr-CH" w:eastAsia="zh-CN"/>
        </w:rPr>
        <w:t xml:space="preserve"> qui pourraient être demandés pour vérifier la capacité d'émission et de réception d'un satellite, une fois qu'il a reçu la date de mise en service notifiée. </w:t>
      </w:r>
      <w:r w:rsidRPr="00FB221E">
        <w:rPr>
          <w:rFonts w:eastAsia="SimSun"/>
          <w:lang w:val="fr-CH" w:eastAsia="zh-CN"/>
        </w:rPr>
        <w:t>Les renseignements demandés sont notamment les suivants:</w:t>
      </w:r>
    </w:p>
    <w:p w:rsidR="00203DB6" w:rsidRPr="00297B51" w:rsidRDefault="009B4404" w:rsidP="009B4404">
      <w:pPr>
        <w:pStyle w:val="enumlev1"/>
        <w:rPr>
          <w:rFonts w:eastAsia="SimSun"/>
          <w:lang w:val="fr-CH" w:eastAsia="zh-CN"/>
        </w:rPr>
      </w:pPr>
      <w:r w:rsidRPr="009B4404">
        <w:rPr>
          <w:rFonts w:eastAsia="SimSun"/>
          <w:lang w:val="fr-CH" w:eastAsia="zh-CN"/>
        </w:rPr>
        <w:t>•</w:t>
      </w:r>
      <w:r>
        <w:rPr>
          <w:rFonts w:eastAsia="SimSun"/>
          <w:lang w:val="fr-CH" w:eastAsia="zh-CN"/>
        </w:rPr>
        <w:tab/>
        <w:t>le nom commercial du satellite</w:t>
      </w:r>
      <w:r w:rsidR="00203DB6" w:rsidRPr="00297B51">
        <w:rPr>
          <w:rFonts w:eastAsia="SimSun"/>
          <w:lang w:val="fr-CH" w:eastAsia="zh-CN"/>
        </w:rPr>
        <w:t xml:space="preserve">; </w:t>
      </w:r>
      <w:r w:rsidR="00203DB6">
        <w:rPr>
          <w:rFonts w:eastAsia="SimSun"/>
          <w:lang w:val="fr-CH" w:eastAsia="zh-CN"/>
        </w:rPr>
        <w:t>et</w:t>
      </w:r>
    </w:p>
    <w:p w:rsidR="00203DB6" w:rsidRPr="00297B51" w:rsidRDefault="009B4404" w:rsidP="009B4404">
      <w:pPr>
        <w:pStyle w:val="enumlev1"/>
        <w:rPr>
          <w:rFonts w:eastAsia="SimSun"/>
          <w:lang w:val="fr-CH" w:eastAsia="zh-CN"/>
        </w:rPr>
      </w:pPr>
      <w:r w:rsidRPr="009B4404">
        <w:rPr>
          <w:rFonts w:eastAsia="SimSun"/>
          <w:lang w:val="fr-CH" w:eastAsia="zh-CN"/>
        </w:rPr>
        <w:t>•</w:t>
      </w:r>
      <w:r>
        <w:rPr>
          <w:rFonts w:eastAsia="SimSun"/>
          <w:lang w:val="fr-CH" w:eastAsia="zh-CN"/>
        </w:rPr>
        <w:tab/>
      </w:r>
      <w:r w:rsidR="00203DB6" w:rsidRPr="00297B51">
        <w:rPr>
          <w:rFonts w:eastAsia="SimSun"/>
          <w:lang w:val="fr-CH" w:eastAsia="zh-CN"/>
        </w:rPr>
        <w:t>un plan de fréquences fourni par le constructeur et certifié pour le satellite ou des renseignements</w:t>
      </w:r>
      <w:r w:rsidR="00203DB6">
        <w:rPr>
          <w:rFonts w:eastAsia="SimSun"/>
          <w:lang w:val="fr-CH" w:eastAsia="zh-CN"/>
        </w:rPr>
        <w:t xml:space="preserve"> relatifs à la description de la charge utile (diagramme fonctionnel, plan de fréquences, puissance de l'amplificateur à tube à ondes progressives, nombre de répéteurs, largeur de bande des répéteurs, durée attendue de la mission orbitale…)</w:t>
      </w:r>
      <w:r w:rsidR="00203DB6" w:rsidRPr="00297B51">
        <w:rPr>
          <w:rFonts w:eastAsia="SimSun"/>
          <w:lang w:val="fr-CH" w:eastAsia="zh-CN"/>
        </w:rPr>
        <w:t>;</w:t>
      </w:r>
    </w:p>
    <w:p w:rsidR="00203DB6" w:rsidRPr="00065350" w:rsidRDefault="009B4404" w:rsidP="00AA031D">
      <w:pPr>
        <w:pStyle w:val="enumlev1"/>
        <w:rPr>
          <w:rFonts w:eastAsia="SimSun"/>
          <w:lang w:val="fr-CH" w:eastAsia="zh-CN"/>
        </w:rPr>
      </w:pPr>
      <w:r w:rsidRPr="009B4404">
        <w:rPr>
          <w:rFonts w:eastAsia="SimSun"/>
          <w:lang w:val="fr-CH" w:eastAsia="zh-CN"/>
        </w:rPr>
        <w:t>•</w:t>
      </w:r>
      <w:r>
        <w:rPr>
          <w:rFonts w:eastAsia="SimSun"/>
          <w:lang w:val="fr-CH" w:eastAsia="zh-CN"/>
        </w:rPr>
        <w:tab/>
      </w:r>
      <w:r w:rsidR="00203DB6" w:rsidRPr="00065350">
        <w:rPr>
          <w:rFonts w:eastAsia="SimSun"/>
          <w:lang w:val="fr-CH" w:eastAsia="zh-CN"/>
        </w:rPr>
        <w:t xml:space="preserve">les résultats des </w:t>
      </w:r>
      <w:r w:rsidR="00203DB6">
        <w:rPr>
          <w:rFonts w:eastAsia="SimSun"/>
          <w:lang w:val="fr-CH" w:eastAsia="zh-CN"/>
        </w:rPr>
        <w:t>te</w:t>
      </w:r>
      <w:r w:rsidR="00203DB6" w:rsidRPr="00065350">
        <w:rPr>
          <w:rFonts w:eastAsia="SimSun"/>
          <w:lang w:val="fr-CH" w:eastAsia="zh-CN"/>
        </w:rPr>
        <w:t>s</w:t>
      </w:r>
      <w:r w:rsidR="00203DB6">
        <w:rPr>
          <w:rFonts w:eastAsia="SimSun"/>
          <w:lang w:val="fr-CH" w:eastAsia="zh-CN"/>
        </w:rPr>
        <w:t>ts</w:t>
      </w:r>
      <w:r w:rsidR="00203DB6" w:rsidRPr="00065350">
        <w:rPr>
          <w:rFonts w:eastAsia="SimSun"/>
          <w:lang w:val="fr-CH" w:eastAsia="zh-CN"/>
        </w:rPr>
        <w:t xml:space="preserve"> de la charge utile</w:t>
      </w:r>
      <w:r w:rsidR="00AA031D" w:rsidRPr="00AA031D">
        <w:rPr>
          <w:rFonts w:eastAsia="SimSun"/>
          <w:lang w:val="fr-CH" w:eastAsia="zh-CN"/>
        </w:rPr>
        <w:t xml:space="preserve"> </w:t>
      </w:r>
      <w:r w:rsidR="00AA031D">
        <w:rPr>
          <w:rFonts w:eastAsia="SimSun"/>
          <w:lang w:val="fr-CH" w:eastAsia="zh-CN"/>
        </w:rPr>
        <w:t>en orbite</w:t>
      </w:r>
      <w:r w:rsidR="00203DB6" w:rsidRPr="00065350">
        <w:rPr>
          <w:rFonts w:eastAsia="SimSun"/>
          <w:lang w:val="fr-CH" w:eastAsia="zh-CN"/>
        </w:rPr>
        <w:t xml:space="preserve">/répéteurs </w:t>
      </w:r>
      <w:r w:rsidR="00203DB6">
        <w:rPr>
          <w:rFonts w:eastAsia="SimSun"/>
          <w:lang w:val="fr-CH" w:eastAsia="zh-CN"/>
        </w:rPr>
        <w:t>effectués à la livraison du satellite</w:t>
      </w:r>
      <w:r w:rsidR="00203DB6" w:rsidRPr="00065350">
        <w:rPr>
          <w:rFonts w:eastAsia="SimSun"/>
          <w:lang w:val="fr-CH" w:eastAsia="zh-CN"/>
        </w:rPr>
        <w:t>;</w:t>
      </w:r>
    </w:p>
    <w:p w:rsidR="00203DB6" w:rsidRPr="00065350" w:rsidRDefault="009B4404" w:rsidP="009B4404">
      <w:pPr>
        <w:pStyle w:val="enumlev1"/>
        <w:rPr>
          <w:rFonts w:eastAsia="SimSun"/>
          <w:lang w:val="fr-CH" w:eastAsia="zh-CN"/>
        </w:rPr>
      </w:pPr>
      <w:r w:rsidRPr="009B4404">
        <w:rPr>
          <w:rFonts w:eastAsia="SimSun"/>
          <w:lang w:val="fr-CH" w:eastAsia="zh-CN"/>
        </w:rPr>
        <w:t>•</w:t>
      </w:r>
      <w:r>
        <w:rPr>
          <w:rFonts w:eastAsia="SimSun"/>
          <w:lang w:val="fr-CH" w:eastAsia="zh-CN"/>
        </w:rPr>
        <w:tab/>
      </w:r>
      <w:r w:rsidR="00203DB6" w:rsidRPr="00065350">
        <w:rPr>
          <w:rFonts w:eastAsia="SimSun"/>
          <w:lang w:val="fr-CH" w:eastAsia="zh-CN"/>
        </w:rPr>
        <w:t>la demande de licence de l'opérateur du réseau à satellite adressée à l'administration;</w:t>
      </w:r>
    </w:p>
    <w:p w:rsidR="00203DB6" w:rsidRPr="00065350" w:rsidRDefault="009B4404" w:rsidP="009B4404">
      <w:pPr>
        <w:pStyle w:val="enumlev1"/>
        <w:rPr>
          <w:rFonts w:eastAsia="SimSun"/>
          <w:lang w:val="fr-CH" w:eastAsia="zh-CN"/>
        </w:rPr>
      </w:pPr>
      <w:r w:rsidRPr="009B4404">
        <w:rPr>
          <w:rFonts w:eastAsia="SimSun"/>
          <w:lang w:val="fr-CH" w:eastAsia="zh-CN"/>
        </w:rPr>
        <w:t>•</w:t>
      </w:r>
      <w:r>
        <w:rPr>
          <w:rFonts w:eastAsia="SimSun"/>
          <w:lang w:val="fr-CH" w:eastAsia="zh-CN"/>
        </w:rPr>
        <w:tab/>
      </w:r>
      <w:r w:rsidR="00203DB6" w:rsidRPr="00065350">
        <w:rPr>
          <w:rFonts w:eastAsia="SimSun"/>
          <w:lang w:val="fr-CH" w:eastAsia="zh-CN"/>
        </w:rPr>
        <w:t>les contrats de location des répéteurs</w:t>
      </w:r>
      <w:r>
        <w:rPr>
          <w:rFonts w:eastAsia="SimSun"/>
          <w:lang w:val="fr-CH" w:eastAsia="zh-CN"/>
        </w:rPr>
        <w:t>,</w:t>
      </w:r>
      <w:r w:rsidR="00203DB6" w:rsidRPr="00065350">
        <w:rPr>
          <w:rFonts w:eastAsia="SimSun"/>
          <w:lang w:val="fr-CH" w:eastAsia="zh-CN"/>
        </w:rPr>
        <w:t xml:space="preserve"> etc.</w:t>
      </w:r>
    </w:p>
    <w:p w:rsidR="00203DB6" w:rsidRPr="00503A8A" w:rsidRDefault="00203DB6" w:rsidP="00596742">
      <w:pPr>
        <w:rPr>
          <w:rFonts w:eastAsia="SimSun"/>
          <w:lang w:val="fr-CH" w:eastAsia="zh-CN"/>
        </w:rPr>
      </w:pPr>
      <w:r w:rsidRPr="00503A8A">
        <w:rPr>
          <w:rFonts w:eastAsia="SimSun"/>
          <w:lang w:val="fr-CH" w:eastAsia="zh-CN"/>
        </w:rPr>
        <w:t>2.4.2</w:t>
      </w:r>
      <w:r w:rsidRPr="00503A8A">
        <w:rPr>
          <w:rFonts w:eastAsia="SimSun"/>
          <w:lang w:val="fr-CH" w:eastAsia="zh-CN"/>
        </w:rPr>
        <w:tab/>
        <w:t xml:space="preserve">Conscient que certains des renseignements susmentionnés sont sensibles, le Bureau se déclare prêt à envisager la possibilité que certains de ces renseignements soient fournis </w:t>
      </w:r>
      <w:r>
        <w:rPr>
          <w:rFonts w:eastAsia="SimSun"/>
          <w:lang w:val="fr-CH" w:eastAsia="zh-CN"/>
        </w:rPr>
        <w:t>sur la base d'un accord de non</w:t>
      </w:r>
      <w:r w:rsidR="00596742">
        <w:rPr>
          <w:rFonts w:eastAsia="SimSun"/>
          <w:lang w:val="fr-CH" w:eastAsia="zh-CN"/>
        </w:rPr>
        <w:t>-</w:t>
      </w:r>
      <w:r>
        <w:rPr>
          <w:rFonts w:eastAsia="SimSun"/>
          <w:lang w:val="fr-CH" w:eastAsia="zh-CN"/>
        </w:rPr>
        <w:t>divulgation entre lui-même et l'administration.</w:t>
      </w:r>
    </w:p>
    <w:p w:rsidR="00203DB6" w:rsidRPr="00503A8A" w:rsidRDefault="00203DB6" w:rsidP="00596742">
      <w:pPr>
        <w:rPr>
          <w:rFonts w:eastAsia="SimSun"/>
          <w:lang w:val="fr-CH" w:eastAsia="zh-CN"/>
        </w:rPr>
      </w:pPr>
      <w:r w:rsidRPr="00503A8A">
        <w:rPr>
          <w:lang w:val="fr-CH"/>
        </w:rPr>
        <w:t>2.4.3</w:t>
      </w:r>
      <w:r w:rsidRPr="00503A8A">
        <w:rPr>
          <w:lang w:val="fr-CH"/>
        </w:rPr>
        <w:tab/>
        <w:t>Dès qu'il a confirmation par l'administration de la date de mise en service</w:t>
      </w:r>
      <w:r>
        <w:rPr>
          <w:lang w:val="fr-CH"/>
        </w:rPr>
        <w:t xml:space="preserve"> dans les 120 jours</w:t>
      </w:r>
      <w:r w:rsidRPr="00503A8A">
        <w:rPr>
          <w:lang w:val="fr-CH"/>
        </w:rPr>
        <w:t xml:space="preserve"> qui suivent le délai réglementaire, le Bureau mettra à jour le statut du réseau à satellite dans le SNS [</w:t>
      </w:r>
      <w:proofErr w:type="spellStart"/>
      <w:r w:rsidRPr="00503A8A">
        <w:rPr>
          <w:lang w:val="fr-CH"/>
        </w:rPr>
        <w:t>grp.f_biu</w:t>
      </w:r>
      <w:proofErr w:type="spellEnd"/>
      <w:r w:rsidRPr="00503A8A">
        <w:rPr>
          <w:lang w:val="fr-CH"/>
        </w:rPr>
        <w:t xml:space="preserve">=C] </w:t>
      </w:r>
      <w:r>
        <w:rPr>
          <w:lang w:val="fr-CH"/>
        </w:rPr>
        <w:t>et postera l'information sur la page web UIT</w:t>
      </w:r>
      <w:r w:rsidRPr="00B6216D">
        <w:rPr>
          <w:lang w:val="fr-CH"/>
        </w:rPr>
        <w:t>-BR</w:t>
      </w:r>
      <w:r>
        <w:rPr>
          <w:lang w:val="fr-CH"/>
        </w:rPr>
        <w:t xml:space="preserve">, en indiquant </w:t>
      </w:r>
      <w:r w:rsidR="009B4404">
        <w:rPr>
          <w:lang w:val="fr-CH"/>
        </w:rPr>
        <w:t>«</w:t>
      </w:r>
      <w:r>
        <w:rPr>
          <w:lang w:val="fr-CH"/>
        </w:rPr>
        <w:t>Y</w:t>
      </w:r>
      <w:r w:rsidR="009B4404">
        <w:rPr>
          <w:lang w:val="fr-CH"/>
        </w:rPr>
        <w:t>»</w:t>
      </w:r>
      <w:r>
        <w:rPr>
          <w:lang w:val="fr-CH"/>
        </w:rPr>
        <w:t xml:space="preserve"> dans la colonne Statut pour la confirmation de la mise en service. </w:t>
      </w:r>
      <w:r w:rsidRPr="00503A8A">
        <w:rPr>
          <w:lang w:val="fr-CH"/>
        </w:rPr>
        <w:t xml:space="preserve">Le Bureau publiera ces renseignements dans la </w:t>
      </w:r>
      <w:r>
        <w:rPr>
          <w:lang w:val="fr-CH"/>
        </w:rPr>
        <w:t>P</w:t>
      </w:r>
      <w:r w:rsidRPr="00503A8A">
        <w:rPr>
          <w:lang w:val="fr-CH"/>
        </w:rPr>
        <w:t>artie II-S</w:t>
      </w:r>
      <w:r>
        <w:rPr>
          <w:lang w:val="fr-CH"/>
        </w:rPr>
        <w:t xml:space="preserve"> de la </w:t>
      </w:r>
      <w:r w:rsidRPr="00503A8A">
        <w:rPr>
          <w:lang w:val="fr-CH"/>
        </w:rPr>
        <w:t>BR IFIC (</w:t>
      </w:r>
      <w:r w:rsidR="009B4404">
        <w:rPr>
          <w:lang w:val="fr-CH"/>
        </w:rPr>
        <w:t>S</w:t>
      </w:r>
      <w:r>
        <w:rPr>
          <w:lang w:val="fr-CH"/>
        </w:rPr>
        <w:t>ervices spatiaux</w:t>
      </w:r>
      <w:r w:rsidRPr="00503A8A">
        <w:rPr>
          <w:lang w:val="fr-CH"/>
        </w:rPr>
        <w:t>)</w:t>
      </w:r>
      <w:r>
        <w:rPr>
          <w:lang w:val="fr-CH"/>
        </w:rPr>
        <w:t xml:space="preserve"> sur</w:t>
      </w:r>
      <w:r w:rsidRPr="00503A8A">
        <w:rPr>
          <w:lang w:val="fr-CH"/>
        </w:rPr>
        <w:t xml:space="preserve"> DVD.</w:t>
      </w:r>
    </w:p>
    <w:p w:rsidR="00203DB6" w:rsidRPr="00503A8A" w:rsidRDefault="00203DB6" w:rsidP="00596742">
      <w:pPr>
        <w:rPr>
          <w:lang w:val="fr-CH"/>
        </w:rPr>
      </w:pPr>
      <w:r w:rsidRPr="00503A8A">
        <w:rPr>
          <w:lang w:val="fr-CH"/>
        </w:rPr>
        <w:t>2.4.4</w:t>
      </w:r>
      <w:r w:rsidRPr="00503A8A">
        <w:rPr>
          <w:lang w:val="fr-CH"/>
        </w:rPr>
        <w:tab/>
        <w:t xml:space="preserve">S'il ne reçoit de l'administration ni les renseignements ni la confirmation dans les 120 jours qui suivent le délai réglementaire, le Bureau annulera les assignations correspondantes publiées au titre de </w:t>
      </w:r>
      <w:r>
        <w:rPr>
          <w:lang w:val="fr-CH"/>
        </w:rPr>
        <w:t xml:space="preserve">l'Article </w:t>
      </w:r>
      <w:r w:rsidRPr="00503A8A">
        <w:rPr>
          <w:b/>
          <w:bCs/>
          <w:lang w:val="fr-CH"/>
        </w:rPr>
        <w:t>9</w:t>
      </w:r>
      <w:r>
        <w:rPr>
          <w:lang w:val="fr-CH"/>
        </w:rPr>
        <w:t>, conformément au numéro</w:t>
      </w:r>
      <w:r w:rsidR="00596742">
        <w:rPr>
          <w:lang w:val="fr-CH"/>
        </w:rPr>
        <w:t xml:space="preserve"> </w:t>
      </w:r>
      <w:r w:rsidRPr="00503A8A">
        <w:rPr>
          <w:b/>
          <w:bCs/>
          <w:lang w:val="fr-CH"/>
        </w:rPr>
        <w:t>11.48</w:t>
      </w:r>
      <w:r w:rsidRPr="00503A8A">
        <w:rPr>
          <w:lang w:val="fr-CH"/>
        </w:rPr>
        <w:t xml:space="preserve">, </w:t>
      </w:r>
      <w:r>
        <w:rPr>
          <w:lang w:val="fr-CH"/>
        </w:rPr>
        <w:t>au titre de l'</w:t>
      </w:r>
      <w:r w:rsidRPr="00503A8A">
        <w:rPr>
          <w:lang w:val="fr-CH"/>
        </w:rPr>
        <w:t xml:space="preserve">Article 4 </w:t>
      </w:r>
      <w:r>
        <w:rPr>
          <w:lang w:val="fr-CH"/>
        </w:rPr>
        <w:t>des Appendices</w:t>
      </w:r>
      <w:r w:rsidRPr="00503A8A">
        <w:rPr>
          <w:lang w:val="fr-CH"/>
        </w:rPr>
        <w:t xml:space="preserve"> </w:t>
      </w:r>
      <w:r w:rsidRPr="00503A8A">
        <w:rPr>
          <w:b/>
          <w:bCs/>
          <w:lang w:val="fr-CH"/>
        </w:rPr>
        <w:t xml:space="preserve">30 </w:t>
      </w:r>
      <w:r>
        <w:rPr>
          <w:lang w:val="fr-CH"/>
        </w:rPr>
        <w:t xml:space="preserve">et </w:t>
      </w:r>
      <w:r w:rsidRPr="00503A8A">
        <w:rPr>
          <w:b/>
          <w:bCs/>
          <w:lang w:val="fr-CH"/>
        </w:rPr>
        <w:t>30A</w:t>
      </w:r>
      <w:r w:rsidR="009B4404">
        <w:rPr>
          <w:lang w:val="fr-CH"/>
        </w:rPr>
        <w:t xml:space="preserve"> conformément aux </w:t>
      </w:r>
      <w:r w:rsidRPr="00503A8A">
        <w:rPr>
          <w:rFonts w:cs="Calibri"/>
          <w:lang w:val="fr-CH"/>
        </w:rPr>
        <w:t>§</w:t>
      </w:r>
      <w:r w:rsidR="009B4404">
        <w:rPr>
          <w:rFonts w:cs="Calibri"/>
          <w:lang w:val="fr-CH"/>
        </w:rPr>
        <w:t xml:space="preserve"> </w:t>
      </w:r>
      <w:r w:rsidRPr="00503A8A">
        <w:rPr>
          <w:lang w:val="fr-CH"/>
        </w:rPr>
        <w:t xml:space="preserve">4.1.3 </w:t>
      </w:r>
      <w:r>
        <w:rPr>
          <w:lang w:val="fr-CH"/>
        </w:rPr>
        <w:t>et</w:t>
      </w:r>
      <w:r w:rsidRPr="00503A8A">
        <w:rPr>
          <w:lang w:val="fr-CH"/>
        </w:rPr>
        <w:t xml:space="preserve"> 4.2.6 </w:t>
      </w:r>
      <w:r>
        <w:rPr>
          <w:lang w:val="fr-CH"/>
        </w:rPr>
        <w:t xml:space="preserve">des </w:t>
      </w:r>
      <w:r w:rsidRPr="00503A8A">
        <w:rPr>
          <w:lang w:val="fr-CH"/>
        </w:rPr>
        <w:t xml:space="preserve">Appendices </w:t>
      </w:r>
      <w:r w:rsidRPr="00503A8A">
        <w:rPr>
          <w:b/>
          <w:bCs/>
          <w:lang w:val="fr-CH"/>
        </w:rPr>
        <w:t>30</w:t>
      </w:r>
      <w:r w:rsidRPr="00503A8A">
        <w:rPr>
          <w:lang w:val="fr-CH"/>
        </w:rPr>
        <w:t xml:space="preserve"> </w:t>
      </w:r>
      <w:r>
        <w:rPr>
          <w:lang w:val="fr-CH"/>
        </w:rPr>
        <w:t>et</w:t>
      </w:r>
      <w:r w:rsidRPr="00503A8A">
        <w:rPr>
          <w:lang w:val="fr-CH"/>
        </w:rPr>
        <w:t xml:space="preserve"> </w:t>
      </w:r>
      <w:r w:rsidRPr="00503A8A">
        <w:rPr>
          <w:b/>
          <w:bCs/>
          <w:lang w:val="fr-CH"/>
        </w:rPr>
        <w:t>30A</w:t>
      </w:r>
      <w:r w:rsidRPr="00503A8A">
        <w:rPr>
          <w:color w:val="000000"/>
          <w:lang w:val="fr-CH"/>
        </w:rPr>
        <w:t xml:space="preserve"> </w:t>
      </w:r>
      <w:r w:rsidR="009B4404">
        <w:rPr>
          <w:color w:val="000000"/>
          <w:lang w:val="fr-CH"/>
        </w:rPr>
        <w:t>ou</w:t>
      </w:r>
      <w:r>
        <w:rPr>
          <w:color w:val="000000"/>
          <w:lang w:val="fr-CH"/>
        </w:rPr>
        <w:t xml:space="preserve"> au titre de l'</w:t>
      </w:r>
      <w:r w:rsidRPr="00503A8A">
        <w:rPr>
          <w:color w:val="000000"/>
          <w:lang w:val="fr-CH"/>
        </w:rPr>
        <w:t>Article 6</w:t>
      </w:r>
      <w:r>
        <w:rPr>
          <w:color w:val="000000"/>
          <w:lang w:val="fr-CH"/>
        </w:rPr>
        <w:t xml:space="preserve"> conformément au </w:t>
      </w:r>
      <w:r w:rsidRPr="00503A8A">
        <w:rPr>
          <w:rFonts w:cs="Calibri"/>
          <w:lang w:val="fr-CH"/>
        </w:rPr>
        <w:t>§</w:t>
      </w:r>
      <w:r w:rsidR="009B4404">
        <w:rPr>
          <w:rFonts w:cs="Calibri"/>
          <w:lang w:val="fr-CH"/>
        </w:rPr>
        <w:t xml:space="preserve"> </w:t>
      </w:r>
      <w:r w:rsidRPr="00503A8A">
        <w:rPr>
          <w:lang w:val="fr-CH"/>
        </w:rPr>
        <w:t xml:space="preserve">6.33 </w:t>
      </w:r>
      <w:r>
        <w:rPr>
          <w:lang w:val="fr-CH"/>
        </w:rPr>
        <w:t>de l</w:t>
      </w:r>
      <w:r w:rsidR="005545DB">
        <w:rPr>
          <w:lang w:val="fr-CH"/>
        </w:rPr>
        <w:t>'</w:t>
      </w:r>
      <w:r>
        <w:rPr>
          <w:lang w:val="fr-CH"/>
        </w:rPr>
        <w:t>Appendice</w:t>
      </w:r>
      <w:r w:rsidRPr="00503A8A">
        <w:rPr>
          <w:lang w:val="fr-CH"/>
        </w:rPr>
        <w:t xml:space="preserve"> </w:t>
      </w:r>
      <w:r w:rsidRPr="00503A8A">
        <w:rPr>
          <w:b/>
          <w:bCs/>
          <w:lang w:val="fr-CH"/>
        </w:rPr>
        <w:t>30B</w:t>
      </w:r>
      <w:r w:rsidRPr="00503A8A">
        <w:rPr>
          <w:lang w:val="fr-CH"/>
        </w:rPr>
        <w:t xml:space="preserve">. Par voie de conséquence, l'inscription correspondante dans le </w:t>
      </w:r>
      <w:r w:rsidR="009B4404">
        <w:rPr>
          <w:lang w:val="fr-CH"/>
        </w:rPr>
        <w:t>F</w:t>
      </w:r>
      <w:r w:rsidRPr="00503A8A">
        <w:rPr>
          <w:lang w:val="fr-CH"/>
        </w:rPr>
        <w:t>ichier de référence</w:t>
      </w:r>
      <w:r>
        <w:rPr>
          <w:lang w:val="fr-CH"/>
        </w:rPr>
        <w:t xml:space="preserve"> sera elle aussi annulée</w:t>
      </w:r>
      <w:r w:rsidRPr="00503A8A">
        <w:rPr>
          <w:lang w:val="fr-CH"/>
        </w:rPr>
        <w:t>.</w:t>
      </w:r>
    </w:p>
    <w:p w:rsidR="00203DB6" w:rsidRPr="00FF55C6" w:rsidRDefault="00203DB6" w:rsidP="00AA5B42">
      <w:pPr>
        <w:rPr>
          <w:lang w:val="fr-CH"/>
        </w:rPr>
      </w:pPr>
      <w:r w:rsidRPr="00503A8A">
        <w:rPr>
          <w:szCs w:val="22"/>
          <w:lang w:val="fr-CH"/>
        </w:rPr>
        <w:t>2.5</w:t>
      </w:r>
      <w:r w:rsidRPr="00503A8A">
        <w:rPr>
          <w:szCs w:val="22"/>
          <w:lang w:val="fr-CH"/>
        </w:rPr>
        <w:tab/>
      </w:r>
      <w:r>
        <w:rPr>
          <w:szCs w:val="22"/>
          <w:lang w:val="fr-CH"/>
        </w:rPr>
        <w:t>L</w:t>
      </w:r>
      <w:r w:rsidRPr="00503A8A">
        <w:rPr>
          <w:szCs w:val="22"/>
          <w:lang w:val="fr-CH"/>
        </w:rPr>
        <w:t xml:space="preserve">orsque les renseignements initiaux ont été fournis, un rappel </w:t>
      </w:r>
      <w:r w:rsidR="009B4404">
        <w:rPr>
          <w:szCs w:val="22"/>
          <w:lang w:val="fr-CH"/>
        </w:rPr>
        <w:t>concernant</w:t>
      </w:r>
      <w:r w:rsidRPr="00503A8A">
        <w:rPr>
          <w:szCs w:val="22"/>
          <w:lang w:val="fr-CH"/>
        </w:rPr>
        <w:t xml:space="preserve"> la confirmation au titre du numéro</w:t>
      </w:r>
      <w:r w:rsidRPr="00503A8A">
        <w:rPr>
          <w:lang w:val="fr-CH"/>
        </w:rPr>
        <w:t xml:space="preserve"> </w:t>
      </w:r>
      <w:r w:rsidRPr="00503A8A">
        <w:rPr>
          <w:b/>
          <w:bCs/>
          <w:lang w:val="fr-CH"/>
        </w:rPr>
        <w:t>11.44B</w:t>
      </w:r>
      <w:r w:rsidRPr="00503A8A">
        <w:rPr>
          <w:lang w:val="fr-CH"/>
        </w:rPr>
        <w:t xml:space="preserve"> sera envoyé à l'administration 90 jours après la date de mise en service communiqué</w:t>
      </w:r>
      <w:r>
        <w:rPr>
          <w:lang w:val="fr-CH"/>
        </w:rPr>
        <w:t>e</w:t>
      </w:r>
      <w:r w:rsidRPr="00503A8A">
        <w:rPr>
          <w:lang w:val="fr-CH"/>
        </w:rPr>
        <w:t xml:space="preserve">, </w:t>
      </w:r>
      <w:r>
        <w:rPr>
          <w:lang w:val="fr-CH"/>
        </w:rPr>
        <w:t>sauf dans le</w:t>
      </w:r>
      <w:r w:rsidR="009B4404">
        <w:rPr>
          <w:lang w:val="fr-CH"/>
        </w:rPr>
        <w:t>s</w:t>
      </w:r>
      <w:r>
        <w:rPr>
          <w:lang w:val="fr-CH"/>
        </w:rPr>
        <w:t xml:space="preserve"> cas o</w:t>
      </w:r>
      <w:r w:rsidR="009B4404">
        <w:rPr>
          <w:lang w:val="fr-CH"/>
        </w:rPr>
        <w:t>ù</w:t>
      </w:r>
      <w:r>
        <w:rPr>
          <w:lang w:val="fr-CH"/>
        </w:rPr>
        <w:t xml:space="preserve"> une notification </w:t>
      </w:r>
      <w:r w:rsidR="009B4404">
        <w:rPr>
          <w:lang w:val="fr-CH"/>
        </w:rPr>
        <w:t>est</w:t>
      </w:r>
      <w:r>
        <w:rPr>
          <w:lang w:val="fr-CH"/>
        </w:rPr>
        <w:t xml:space="preserve"> reçue 90 jours après la date de mise en service (voir également le</w:t>
      </w:r>
      <w:r w:rsidR="009B4404">
        <w:rPr>
          <w:lang w:val="fr-CH"/>
        </w:rPr>
        <w:t xml:space="preserve"> </w:t>
      </w:r>
      <w:r>
        <w:rPr>
          <w:lang w:val="fr-CH"/>
        </w:rPr>
        <w:t>§ 2.3.4 ci-dessus)</w:t>
      </w:r>
      <w:r w:rsidRPr="00FF55C6">
        <w:rPr>
          <w:lang w:val="fr-CH"/>
        </w:rPr>
        <w:t>.</w:t>
      </w:r>
    </w:p>
    <w:p w:rsidR="00CB3583" w:rsidRDefault="00203DB6" w:rsidP="00AA5B42">
      <w:pPr>
        <w:keepNext/>
        <w:keepLines/>
        <w:rPr>
          <w:lang w:val="fr-CH"/>
        </w:rPr>
      </w:pPr>
      <w:r w:rsidRPr="00FF55C6">
        <w:rPr>
          <w:lang w:val="fr-CH"/>
        </w:rPr>
        <w:t>2.6</w:t>
      </w:r>
      <w:r w:rsidRPr="00FF55C6">
        <w:rPr>
          <w:lang w:val="fr-CH"/>
        </w:rPr>
        <w:tab/>
        <w:t>La page web UIT-BR o</w:t>
      </w:r>
      <w:r w:rsidR="009B4404">
        <w:rPr>
          <w:lang w:val="fr-CH"/>
        </w:rPr>
        <w:t>ù</w:t>
      </w:r>
      <w:r w:rsidRPr="00FF55C6">
        <w:rPr>
          <w:lang w:val="fr-CH"/>
        </w:rPr>
        <w:t xml:space="preserve"> le Bureau poste les renseignements concernant </w:t>
      </w:r>
      <w:r>
        <w:rPr>
          <w:lang w:val="fr-CH"/>
        </w:rPr>
        <w:t>le statut de la mise en service des assignations aux réseaux à satellite OSG est accessible à l'adresse suivante:</w:t>
      </w:r>
      <w:r w:rsidRPr="00FF55C6">
        <w:rPr>
          <w:lang w:val="fr-CH"/>
        </w:rPr>
        <w:t xml:space="preserve"> </w:t>
      </w:r>
      <w:hyperlink r:id="rId9" w:history="1">
        <w:r w:rsidRPr="00FF55C6">
          <w:rPr>
            <w:rStyle w:val="Hyperlink"/>
            <w:lang w:val="fr-CH"/>
          </w:rPr>
          <w:t>http://www.itu.in</w:t>
        </w:r>
        <w:r w:rsidRPr="00FF55C6">
          <w:rPr>
            <w:rStyle w:val="Hyperlink"/>
            <w:lang w:val="fr-CH"/>
          </w:rPr>
          <w:t>t</w:t>
        </w:r>
        <w:r w:rsidRPr="00FF55C6">
          <w:rPr>
            <w:rStyle w:val="Hyperlink"/>
            <w:lang w:val="fr-CH"/>
          </w:rPr>
          <w:t>/net/ITU-R/space/snl/listinuse/index.asp</w:t>
        </w:r>
      </w:hyperlink>
      <w:r w:rsidRPr="00FF55C6">
        <w:rPr>
          <w:lang w:val="fr-CH"/>
        </w:rPr>
        <w:t xml:space="preserve">. Les symboles suivants sont utilisés dans la colonne </w:t>
      </w:r>
      <w:r w:rsidR="009B4404">
        <w:rPr>
          <w:lang w:val="fr-CH"/>
        </w:rPr>
        <w:t>«</w:t>
      </w:r>
      <w:r>
        <w:rPr>
          <w:lang w:val="fr-CH"/>
        </w:rPr>
        <w:t>Statut de la mise en service»:</w:t>
      </w:r>
    </w:p>
    <w:p w:rsidR="00203DB6" w:rsidRPr="00FF55C6" w:rsidRDefault="00203DB6" w:rsidP="00CB3583">
      <w:pPr>
        <w:pStyle w:val="enumlev2"/>
        <w:spacing w:before="60"/>
        <w:rPr>
          <w:lang w:val="fr-CH"/>
        </w:rPr>
      </w:pPr>
      <w:r w:rsidRPr="00FF55C6">
        <w:rPr>
          <w:lang w:val="fr-CH"/>
        </w:rPr>
        <w:t>N: pas encore mise en service.</w:t>
      </w:r>
    </w:p>
    <w:p w:rsidR="00203DB6" w:rsidRPr="00FF55C6" w:rsidRDefault="00203DB6" w:rsidP="00CB3583">
      <w:pPr>
        <w:pStyle w:val="enumlev2"/>
        <w:spacing w:before="60"/>
        <w:rPr>
          <w:lang w:val="fr-CH"/>
        </w:rPr>
      </w:pPr>
      <w:r w:rsidRPr="00FF55C6">
        <w:rPr>
          <w:lang w:val="fr-CH"/>
        </w:rPr>
        <w:t xml:space="preserve">I: renseignements initiaux relatifs à la mise en service. </w:t>
      </w:r>
    </w:p>
    <w:p w:rsidR="00203DB6" w:rsidRPr="00FF55C6" w:rsidRDefault="00203DB6" w:rsidP="00CB3583">
      <w:pPr>
        <w:pStyle w:val="enumlev2"/>
        <w:spacing w:before="60"/>
        <w:rPr>
          <w:lang w:val="fr-CH"/>
        </w:rPr>
      </w:pPr>
      <w:r w:rsidRPr="00FF55C6">
        <w:rPr>
          <w:lang w:val="fr-CH"/>
        </w:rPr>
        <w:t>C: mise en service confirm</w:t>
      </w:r>
      <w:r w:rsidR="009B4404">
        <w:rPr>
          <w:lang w:val="fr-CH"/>
        </w:rPr>
        <w:t>é</w:t>
      </w:r>
      <w:r>
        <w:rPr>
          <w:lang w:val="fr-CH"/>
        </w:rPr>
        <w:t>e</w:t>
      </w:r>
      <w:r w:rsidRPr="00FF55C6">
        <w:rPr>
          <w:lang w:val="fr-CH"/>
        </w:rPr>
        <w:t xml:space="preserve">, conditions indiquées au numéro </w:t>
      </w:r>
      <w:r w:rsidRPr="00FF55C6">
        <w:rPr>
          <w:b/>
          <w:bCs/>
          <w:lang w:val="fr-CH"/>
        </w:rPr>
        <w:t>11.44B</w:t>
      </w:r>
      <w:r w:rsidRPr="00FF55C6">
        <w:rPr>
          <w:lang w:val="fr-CH"/>
        </w:rPr>
        <w:t xml:space="preserve"> </w:t>
      </w:r>
      <w:r>
        <w:rPr>
          <w:lang w:val="fr-CH"/>
        </w:rPr>
        <w:t>remplies.</w:t>
      </w:r>
    </w:p>
    <w:p w:rsidR="00203DB6" w:rsidRPr="00DB68BE" w:rsidRDefault="00203DB6" w:rsidP="00CB3583">
      <w:pPr>
        <w:pStyle w:val="Heading1"/>
        <w:spacing w:before="320"/>
      </w:pPr>
      <w:r>
        <w:t>3</w:t>
      </w:r>
      <w:r w:rsidRPr="00DB68BE">
        <w:tab/>
      </w:r>
      <w:r>
        <w:t>Suspension</w:t>
      </w:r>
    </w:p>
    <w:p w:rsidR="00203DB6" w:rsidRPr="006457DB" w:rsidRDefault="00203DB6" w:rsidP="00AA031D">
      <w:pPr>
        <w:rPr>
          <w:lang w:val="fr-CH"/>
        </w:rPr>
      </w:pPr>
      <w:r w:rsidRPr="00F5137B">
        <w:rPr>
          <w:lang w:val="fr-CH"/>
        </w:rPr>
        <w:t>3.1</w:t>
      </w:r>
      <w:r w:rsidRPr="00F5137B">
        <w:rPr>
          <w:lang w:val="fr-CH"/>
        </w:rPr>
        <w:tab/>
        <w:t>Conformément aux dispositions du numéro </w:t>
      </w:r>
      <w:r w:rsidRPr="00F5137B">
        <w:rPr>
          <w:rStyle w:val="Artref"/>
          <w:b/>
          <w:lang w:val="fr-CH"/>
        </w:rPr>
        <w:t xml:space="preserve">11.49 </w:t>
      </w:r>
      <w:r w:rsidRPr="00F5137B">
        <w:rPr>
          <w:rStyle w:val="Artref"/>
          <w:bCs/>
          <w:lang w:val="fr-CH"/>
        </w:rPr>
        <w:t xml:space="preserve">et du </w:t>
      </w:r>
      <w:r w:rsidRPr="00F5137B">
        <w:rPr>
          <w:lang w:val="fr-CH"/>
        </w:rPr>
        <w:t>§</w:t>
      </w:r>
      <w:r w:rsidR="009B4404">
        <w:rPr>
          <w:lang w:val="fr-CH"/>
        </w:rPr>
        <w:t xml:space="preserve"> </w:t>
      </w:r>
      <w:r w:rsidRPr="00F5137B">
        <w:rPr>
          <w:lang w:val="fr-CH"/>
        </w:rPr>
        <w:t xml:space="preserve">5.2.10 des Appendices </w:t>
      </w:r>
      <w:r w:rsidRPr="00F5137B">
        <w:rPr>
          <w:b/>
          <w:bCs/>
          <w:lang w:val="fr-CH"/>
        </w:rPr>
        <w:t xml:space="preserve">30 </w:t>
      </w:r>
      <w:r w:rsidRPr="00F5137B">
        <w:rPr>
          <w:lang w:val="fr-CH"/>
        </w:rPr>
        <w:t xml:space="preserve">et </w:t>
      </w:r>
      <w:r w:rsidRPr="00F5137B">
        <w:rPr>
          <w:b/>
          <w:bCs/>
          <w:lang w:val="fr-CH"/>
        </w:rPr>
        <w:t>30A</w:t>
      </w:r>
      <w:r w:rsidRPr="00F5137B">
        <w:rPr>
          <w:lang w:val="fr-CH"/>
        </w:rPr>
        <w:t xml:space="preserve"> </w:t>
      </w:r>
      <w:r w:rsidR="00AA031D">
        <w:rPr>
          <w:lang w:val="fr-CH"/>
        </w:rPr>
        <w:t>ainsi qu'</w:t>
      </w:r>
      <w:r w:rsidRPr="00F5137B">
        <w:rPr>
          <w:lang w:val="fr-CH"/>
        </w:rPr>
        <w:t xml:space="preserve">aux Règles de procédure relatives au numéro </w:t>
      </w:r>
      <w:r w:rsidRPr="00F5137B">
        <w:rPr>
          <w:rStyle w:val="Artref"/>
          <w:b/>
          <w:lang w:val="fr-CH"/>
        </w:rPr>
        <w:t xml:space="preserve">11.49 </w:t>
      </w:r>
      <w:r w:rsidRPr="00F5137B">
        <w:rPr>
          <w:rStyle w:val="Artref"/>
          <w:bCs/>
          <w:lang w:val="fr-CH"/>
        </w:rPr>
        <w:t xml:space="preserve">et au </w:t>
      </w:r>
      <w:r w:rsidRPr="00F5137B">
        <w:rPr>
          <w:lang w:val="fr-CH"/>
        </w:rPr>
        <w:t>§</w:t>
      </w:r>
      <w:r w:rsidR="009B4404">
        <w:rPr>
          <w:lang w:val="fr-CH"/>
        </w:rPr>
        <w:t xml:space="preserve"> </w:t>
      </w:r>
      <w:r w:rsidRPr="00F5137B">
        <w:rPr>
          <w:lang w:val="fr-CH"/>
        </w:rPr>
        <w:t>8.17 d</w:t>
      </w:r>
      <w:r>
        <w:rPr>
          <w:lang w:val="fr-CH"/>
        </w:rPr>
        <w:t xml:space="preserve">e </w:t>
      </w:r>
      <w:r w:rsidRPr="00F5137B">
        <w:rPr>
          <w:lang w:val="fr-CH"/>
        </w:rPr>
        <w:t>l</w:t>
      </w:r>
      <w:r w:rsidR="005545DB">
        <w:rPr>
          <w:lang w:val="fr-CH"/>
        </w:rPr>
        <w:t>'</w:t>
      </w:r>
      <w:r>
        <w:rPr>
          <w:lang w:val="fr-CH"/>
        </w:rPr>
        <w:t>Appendice</w:t>
      </w:r>
      <w:r w:rsidRPr="00F5137B">
        <w:rPr>
          <w:lang w:val="fr-CH"/>
        </w:rPr>
        <w:t xml:space="preserve"> </w:t>
      </w:r>
      <w:r w:rsidRPr="00F5137B">
        <w:rPr>
          <w:b/>
          <w:bCs/>
          <w:lang w:val="fr-CH"/>
        </w:rPr>
        <w:t>30B,</w:t>
      </w:r>
      <w:r w:rsidRPr="00F5137B">
        <w:rPr>
          <w:spacing w:val="-16"/>
          <w:lang w:val="fr-CH"/>
        </w:rPr>
        <w:t xml:space="preserve"> </w:t>
      </w:r>
      <w:r w:rsidRPr="00FB221E">
        <w:rPr>
          <w:lang w:val="fr-CH"/>
        </w:rPr>
        <w:t>la période maximale de suspension de l'utilisation d'une assignation de fréquence à une station spatiale est de trois (3) ans. Cette disposition s</w:t>
      </w:r>
      <w:r w:rsidR="005545DB">
        <w:rPr>
          <w:lang w:val="fr-CH"/>
        </w:rPr>
        <w:t>'</w:t>
      </w:r>
      <w:r w:rsidRPr="00FB221E">
        <w:rPr>
          <w:lang w:val="fr-CH"/>
        </w:rPr>
        <w:t>applique aux demandes de suspension d</w:t>
      </w:r>
      <w:r w:rsidR="005545DB">
        <w:rPr>
          <w:lang w:val="fr-CH"/>
        </w:rPr>
        <w:t>'</w:t>
      </w:r>
      <w:r w:rsidRPr="00FB221E">
        <w:rPr>
          <w:lang w:val="fr-CH"/>
        </w:rPr>
        <w:t>utilisation d</w:t>
      </w:r>
      <w:r w:rsidR="005545DB">
        <w:rPr>
          <w:lang w:val="fr-CH"/>
        </w:rPr>
        <w:t>'</w:t>
      </w:r>
      <w:r w:rsidRPr="00FB221E">
        <w:rPr>
          <w:lang w:val="fr-CH"/>
        </w:rPr>
        <w:t>assignations de fréq</w:t>
      </w:r>
      <w:r w:rsidR="009B4404">
        <w:rPr>
          <w:lang w:val="fr-CH"/>
        </w:rPr>
        <w:t>uence à une station spatiale reç</w:t>
      </w:r>
      <w:r w:rsidRPr="00FB221E">
        <w:rPr>
          <w:lang w:val="fr-CH"/>
        </w:rPr>
        <w:t>ues par le Bureau le 1er janvier 2013 ou après cette date.</w:t>
      </w:r>
    </w:p>
    <w:p w:rsidR="00203DB6" w:rsidRPr="0071588B" w:rsidRDefault="00203DB6" w:rsidP="009B4404">
      <w:pPr>
        <w:rPr>
          <w:lang w:val="fr-CH" w:eastAsia="zh-CN"/>
        </w:rPr>
      </w:pPr>
      <w:r w:rsidRPr="006457DB">
        <w:rPr>
          <w:lang w:val="fr-CH"/>
        </w:rPr>
        <w:t>3.2</w:t>
      </w:r>
      <w:r w:rsidRPr="006457DB">
        <w:rPr>
          <w:lang w:val="fr-CH"/>
        </w:rPr>
        <w:tab/>
        <w:t>Comme indiqué dans le numéro</w:t>
      </w:r>
      <w:r w:rsidR="009B4404">
        <w:rPr>
          <w:lang w:val="fr-CH"/>
        </w:rPr>
        <w:t xml:space="preserve"> </w:t>
      </w:r>
      <w:r w:rsidRPr="006457DB">
        <w:rPr>
          <w:b/>
          <w:bCs/>
          <w:lang w:val="fr-CH"/>
        </w:rPr>
        <w:t>11.49.1</w:t>
      </w:r>
      <w:r w:rsidRPr="009B4404">
        <w:rPr>
          <w:lang w:val="fr-CH"/>
        </w:rPr>
        <w:t>,</w:t>
      </w:r>
      <w:r w:rsidRPr="006457DB">
        <w:rPr>
          <w:lang w:val="fr-CH"/>
        </w:rPr>
        <w:t xml:space="preserve"> la note de bas de page 20</w:t>
      </w:r>
      <w:r w:rsidRPr="006B0C62">
        <w:rPr>
          <w:i/>
          <w:iCs/>
          <w:lang w:val="fr-CH"/>
        </w:rPr>
        <w:t>bis</w:t>
      </w:r>
      <w:r w:rsidRPr="006457DB">
        <w:rPr>
          <w:lang w:val="fr-CH"/>
        </w:rPr>
        <w:t xml:space="preserve"> de l</w:t>
      </w:r>
      <w:r w:rsidR="005545DB">
        <w:rPr>
          <w:lang w:val="fr-CH"/>
        </w:rPr>
        <w:t>'</w:t>
      </w:r>
      <w:r w:rsidRPr="006457DB">
        <w:rPr>
          <w:lang w:val="fr-CH"/>
        </w:rPr>
        <w:t xml:space="preserve">Appendice </w:t>
      </w:r>
      <w:r w:rsidRPr="006457DB">
        <w:rPr>
          <w:b/>
          <w:bCs/>
          <w:lang w:val="fr-CH"/>
        </w:rPr>
        <w:t>30</w:t>
      </w:r>
      <w:r w:rsidRPr="006457DB">
        <w:rPr>
          <w:lang w:val="fr-CH"/>
        </w:rPr>
        <w:t>, la note de bas de page 24</w:t>
      </w:r>
      <w:r w:rsidRPr="006B0C62">
        <w:rPr>
          <w:i/>
          <w:iCs/>
          <w:lang w:val="fr-CH"/>
        </w:rPr>
        <w:t>bis</w:t>
      </w:r>
      <w:r w:rsidRPr="006457DB">
        <w:rPr>
          <w:lang w:val="fr-CH"/>
        </w:rPr>
        <w:t xml:space="preserve"> de l</w:t>
      </w:r>
      <w:r w:rsidR="005545DB">
        <w:rPr>
          <w:lang w:val="fr-CH"/>
        </w:rPr>
        <w:t>'</w:t>
      </w:r>
      <w:r w:rsidRPr="006457DB">
        <w:rPr>
          <w:lang w:val="fr-CH"/>
        </w:rPr>
        <w:t xml:space="preserve">Appendice </w:t>
      </w:r>
      <w:r w:rsidRPr="006457DB">
        <w:rPr>
          <w:b/>
          <w:bCs/>
          <w:lang w:val="fr-CH"/>
        </w:rPr>
        <w:t>30A</w:t>
      </w:r>
      <w:r w:rsidRPr="006457DB">
        <w:rPr>
          <w:lang w:val="fr-CH"/>
        </w:rPr>
        <w:t xml:space="preserve"> et la Règle de procédure relative au §</w:t>
      </w:r>
      <w:r w:rsidR="009B4404">
        <w:rPr>
          <w:lang w:val="fr-CH"/>
        </w:rPr>
        <w:t xml:space="preserve"> </w:t>
      </w:r>
      <w:r w:rsidRPr="006457DB">
        <w:rPr>
          <w:lang w:val="fr-CH"/>
        </w:rPr>
        <w:t xml:space="preserve">8.17 </w:t>
      </w:r>
      <w:r>
        <w:rPr>
          <w:lang w:val="fr-CH"/>
        </w:rPr>
        <w:t>de l</w:t>
      </w:r>
      <w:r w:rsidR="005545DB">
        <w:rPr>
          <w:lang w:val="fr-CH"/>
        </w:rPr>
        <w:t>'</w:t>
      </w:r>
      <w:r>
        <w:rPr>
          <w:lang w:val="fr-CH"/>
        </w:rPr>
        <w:t>Appendice</w:t>
      </w:r>
      <w:r w:rsidRPr="006457DB">
        <w:rPr>
          <w:lang w:val="fr-CH"/>
        </w:rPr>
        <w:t xml:space="preserve"> </w:t>
      </w:r>
      <w:r w:rsidRPr="006457DB">
        <w:rPr>
          <w:b/>
          <w:bCs/>
          <w:lang w:val="fr-CH"/>
        </w:rPr>
        <w:t>30B</w:t>
      </w:r>
      <w:r w:rsidRPr="006457DB">
        <w:rPr>
          <w:lang w:val="fr-CH"/>
        </w:rPr>
        <w:t xml:space="preserve">, </w:t>
      </w:r>
      <w:r>
        <w:rPr>
          <w:lang w:val="fr-CH"/>
        </w:rPr>
        <w:t>la procédure de remise en service d</w:t>
      </w:r>
      <w:r w:rsidR="005545DB">
        <w:rPr>
          <w:lang w:val="fr-CH"/>
        </w:rPr>
        <w:t>'</w:t>
      </w:r>
      <w:r>
        <w:rPr>
          <w:lang w:val="fr-CH"/>
        </w:rPr>
        <w:t>une assignation de fréquence suspendue sera analogue à la procédure de mise en service décrite au § 2 ci-dessus. La date de remise en service d</w:t>
      </w:r>
      <w:r w:rsidR="005545DB">
        <w:rPr>
          <w:lang w:val="fr-CH"/>
        </w:rPr>
        <w:t>'</w:t>
      </w:r>
      <w:r>
        <w:rPr>
          <w:lang w:val="fr-CH"/>
        </w:rPr>
        <w:t>une assignation de fréquence à une station spatiale sur l</w:t>
      </w:r>
      <w:r w:rsidR="005545DB">
        <w:rPr>
          <w:lang w:val="fr-CH"/>
        </w:rPr>
        <w:t>'</w:t>
      </w:r>
      <w:r>
        <w:rPr>
          <w:lang w:val="fr-CH"/>
        </w:rPr>
        <w:t>orbite des satellites géostationnaires est la date de début de la période de 90 jours définie au numéro</w:t>
      </w:r>
      <w:r w:rsidRPr="006457DB">
        <w:rPr>
          <w:lang w:val="fr-CH" w:eastAsia="zh-CN"/>
        </w:rPr>
        <w:t xml:space="preserve"> </w:t>
      </w:r>
      <w:r w:rsidRPr="002D5A5A">
        <w:rPr>
          <w:b/>
          <w:bCs/>
          <w:lang w:val="fr-CH" w:eastAsia="zh-CN"/>
        </w:rPr>
        <w:t>11.49.1</w:t>
      </w:r>
      <w:r w:rsidRPr="002D5A5A">
        <w:rPr>
          <w:lang w:val="fr-CH" w:eastAsia="zh-CN"/>
        </w:rPr>
        <w:t xml:space="preserve">. </w:t>
      </w:r>
      <w:r w:rsidRPr="0071588B">
        <w:rPr>
          <w:lang w:val="fr-CH" w:eastAsia="zh-CN"/>
        </w:rPr>
        <w:t xml:space="preserve">Une assignation </w:t>
      </w:r>
      <w:r w:rsidRPr="0071588B">
        <w:rPr>
          <w:lang w:val="fr-CH"/>
        </w:rPr>
        <w:t>de fréquence à une station spatiale sur l</w:t>
      </w:r>
      <w:r w:rsidR="005545DB">
        <w:rPr>
          <w:lang w:val="fr-CH"/>
        </w:rPr>
        <w:t>'</w:t>
      </w:r>
      <w:r w:rsidRPr="0071588B">
        <w:rPr>
          <w:lang w:val="fr-CH"/>
        </w:rPr>
        <w:t>orbite des satellites géostationnaires est considérée comme ayant été remise en service lorsqu</w:t>
      </w:r>
      <w:r w:rsidR="005545DB">
        <w:rPr>
          <w:lang w:val="fr-CH"/>
        </w:rPr>
        <w:t>'</w:t>
      </w:r>
      <w:r w:rsidRPr="0071588B">
        <w:rPr>
          <w:lang w:val="fr-CH"/>
        </w:rPr>
        <w:t>une station spatiale</w:t>
      </w:r>
      <w:r>
        <w:rPr>
          <w:lang w:val="fr-CH"/>
        </w:rPr>
        <w:t xml:space="preserve"> </w:t>
      </w:r>
      <w:r w:rsidRPr="0071588B">
        <w:rPr>
          <w:lang w:val="fr-CH"/>
        </w:rPr>
        <w:t>ayant la capacité d</w:t>
      </w:r>
      <w:r w:rsidR="005545DB">
        <w:rPr>
          <w:lang w:val="fr-CH"/>
        </w:rPr>
        <w:t>'</w:t>
      </w:r>
      <w:r w:rsidRPr="0071588B">
        <w:rPr>
          <w:lang w:val="fr-CH"/>
        </w:rPr>
        <w:t xml:space="preserve">émettre ou de recevoir sur cette fréquence </w:t>
      </w:r>
      <w:r>
        <w:rPr>
          <w:lang w:val="fr-CH"/>
        </w:rPr>
        <w:t>assigné</w:t>
      </w:r>
      <w:r w:rsidRPr="0071588B">
        <w:rPr>
          <w:lang w:val="fr-CH"/>
        </w:rPr>
        <w:t>e a été déployée à la position orbitale notifiée et maintenue à cette position</w:t>
      </w:r>
      <w:r>
        <w:rPr>
          <w:lang w:val="fr-CH"/>
        </w:rPr>
        <w:t xml:space="preserve"> </w:t>
      </w:r>
      <w:r w:rsidRPr="0071588B">
        <w:rPr>
          <w:lang w:val="fr-CH"/>
        </w:rPr>
        <w:t>pendant une période continue de 90 jours.</w:t>
      </w:r>
      <w:r>
        <w:rPr>
          <w:lang w:val="fr-CH"/>
        </w:rPr>
        <w:t xml:space="preserve"> </w:t>
      </w:r>
      <w:r w:rsidRPr="0071588B">
        <w:rPr>
          <w:lang w:val="fr-CH"/>
        </w:rPr>
        <w:t>L</w:t>
      </w:r>
      <w:r w:rsidR="005545DB">
        <w:rPr>
          <w:lang w:val="fr-CH"/>
        </w:rPr>
        <w:t>'</w:t>
      </w:r>
      <w:r w:rsidRPr="0071588B">
        <w:rPr>
          <w:lang w:val="fr-CH"/>
        </w:rPr>
        <w:t xml:space="preserve">administration </w:t>
      </w:r>
      <w:proofErr w:type="spellStart"/>
      <w:r w:rsidRPr="0071588B">
        <w:rPr>
          <w:lang w:val="fr-CH"/>
        </w:rPr>
        <w:t>notificatrice</w:t>
      </w:r>
      <w:proofErr w:type="spellEnd"/>
      <w:r w:rsidRPr="0071588B">
        <w:rPr>
          <w:lang w:val="fr-CH"/>
        </w:rPr>
        <w:t xml:space="preserve"> en informe le Bureau dans un délai de trente jours à compter de la fin de la période de 90 jours</w:t>
      </w:r>
      <w:r>
        <w:rPr>
          <w:lang w:val="fr-CH"/>
        </w:rPr>
        <w:t>.</w:t>
      </w:r>
    </w:p>
    <w:p w:rsidR="00203DB6" w:rsidRPr="002D5A5A" w:rsidRDefault="00203DB6" w:rsidP="009B4404">
      <w:pPr>
        <w:rPr>
          <w:lang w:val="fr-CH"/>
        </w:rPr>
      </w:pPr>
      <w:r w:rsidRPr="002D5A5A">
        <w:rPr>
          <w:lang w:val="fr-CH" w:eastAsia="zh-CN"/>
        </w:rPr>
        <w:t>3.3</w:t>
      </w:r>
      <w:r w:rsidRPr="002D5A5A">
        <w:rPr>
          <w:lang w:val="fr-CH" w:eastAsia="zh-CN"/>
        </w:rPr>
        <w:tab/>
        <w:t>Par conséquent, si la date de remise en service d</w:t>
      </w:r>
      <w:r w:rsidR="005545DB">
        <w:rPr>
          <w:lang w:val="fr-CH" w:eastAsia="zh-CN"/>
        </w:rPr>
        <w:t>'</w:t>
      </w:r>
      <w:r w:rsidRPr="002D5A5A">
        <w:rPr>
          <w:lang w:val="fr-CH" w:eastAsia="zh-CN"/>
        </w:rPr>
        <w:t>une assignation de fréquence à une station spatiale est postérieure de plus de 3</w:t>
      </w:r>
      <w:r w:rsidR="009B4404">
        <w:rPr>
          <w:lang w:val="fr-CH" w:eastAsia="zh-CN"/>
        </w:rPr>
        <w:t xml:space="preserve"> </w:t>
      </w:r>
      <w:r w:rsidRPr="002D5A5A">
        <w:rPr>
          <w:lang w:val="fr-CH" w:eastAsia="zh-CN"/>
        </w:rPr>
        <w:t>ans à la date de suspension de l</w:t>
      </w:r>
      <w:r w:rsidR="005545DB">
        <w:rPr>
          <w:lang w:val="fr-CH" w:eastAsia="zh-CN"/>
        </w:rPr>
        <w:t>'</w:t>
      </w:r>
      <w:r w:rsidRPr="002D5A5A">
        <w:rPr>
          <w:lang w:val="fr-CH" w:eastAsia="zh-CN"/>
        </w:rPr>
        <w:t>utilisation, ou en l</w:t>
      </w:r>
      <w:r w:rsidR="005545DB">
        <w:rPr>
          <w:lang w:val="fr-CH" w:eastAsia="zh-CN"/>
        </w:rPr>
        <w:t>'</w:t>
      </w:r>
      <w:r w:rsidR="009B4404">
        <w:rPr>
          <w:lang w:val="fr-CH" w:eastAsia="zh-CN"/>
        </w:rPr>
        <w:t xml:space="preserve">absence de confirmation </w:t>
      </w:r>
      <w:r w:rsidRPr="002D5A5A">
        <w:rPr>
          <w:lang w:val="fr-CH" w:eastAsia="zh-CN"/>
        </w:rPr>
        <w:t xml:space="preserve">de la remise en service dans un délai de </w:t>
      </w:r>
      <w:r>
        <w:rPr>
          <w:lang w:val="fr-CH" w:eastAsia="zh-CN"/>
        </w:rPr>
        <w:t>3</w:t>
      </w:r>
      <w:r w:rsidRPr="002D5A5A">
        <w:rPr>
          <w:lang w:val="fr-CH" w:eastAsia="zh-CN"/>
        </w:rPr>
        <w:t xml:space="preserve"> ans et 120 jours après la date de suspension de l</w:t>
      </w:r>
      <w:r w:rsidR="005545DB">
        <w:rPr>
          <w:lang w:val="fr-CH" w:eastAsia="zh-CN"/>
        </w:rPr>
        <w:t>'</w:t>
      </w:r>
      <w:r w:rsidRPr="002D5A5A">
        <w:rPr>
          <w:lang w:val="fr-CH" w:eastAsia="zh-CN"/>
        </w:rPr>
        <w:t>utilisation, le Bureau annulera l</w:t>
      </w:r>
      <w:r w:rsidR="005545DB">
        <w:rPr>
          <w:lang w:val="fr-CH" w:eastAsia="zh-CN"/>
        </w:rPr>
        <w:t>'</w:t>
      </w:r>
      <w:r w:rsidRPr="002D5A5A">
        <w:rPr>
          <w:lang w:val="fr-CH" w:eastAsia="zh-CN"/>
        </w:rPr>
        <w:t xml:space="preserve">inscription dans le Fichier de </w:t>
      </w:r>
      <w:r>
        <w:rPr>
          <w:lang w:val="fr-CH" w:eastAsia="zh-CN"/>
        </w:rPr>
        <w:t>réfé</w:t>
      </w:r>
      <w:r w:rsidRPr="002D5A5A">
        <w:rPr>
          <w:lang w:val="fr-CH" w:eastAsia="zh-CN"/>
        </w:rPr>
        <w:t>rence conformément au numéro</w:t>
      </w:r>
      <w:r w:rsidR="009B4404">
        <w:rPr>
          <w:lang w:val="fr-CH"/>
        </w:rPr>
        <w:t xml:space="preserve"> </w:t>
      </w:r>
      <w:r w:rsidRPr="002D5A5A">
        <w:rPr>
          <w:b/>
          <w:bCs/>
          <w:lang w:val="fr-CH"/>
        </w:rPr>
        <w:t>11.49</w:t>
      </w:r>
      <w:r w:rsidRPr="009B4404">
        <w:rPr>
          <w:lang w:val="fr-CH"/>
        </w:rPr>
        <w:t>,</w:t>
      </w:r>
      <w:r w:rsidRPr="002D5A5A">
        <w:rPr>
          <w:lang w:val="fr-CH"/>
        </w:rPr>
        <w:t xml:space="preserve"> </w:t>
      </w:r>
      <w:r>
        <w:rPr>
          <w:lang w:val="fr-CH"/>
        </w:rPr>
        <w:t xml:space="preserve">au </w:t>
      </w:r>
      <w:r w:rsidRPr="002D5A5A">
        <w:rPr>
          <w:lang w:val="fr-CH"/>
        </w:rPr>
        <w:t>§</w:t>
      </w:r>
      <w:r w:rsidR="009B4404">
        <w:rPr>
          <w:lang w:val="fr-CH"/>
        </w:rPr>
        <w:t xml:space="preserve"> </w:t>
      </w:r>
      <w:r w:rsidRPr="002D5A5A">
        <w:rPr>
          <w:lang w:val="fr-CH"/>
        </w:rPr>
        <w:t xml:space="preserve">5.2.11 </w:t>
      </w:r>
      <w:r>
        <w:rPr>
          <w:lang w:val="fr-CH"/>
        </w:rPr>
        <w:t>des</w:t>
      </w:r>
      <w:r w:rsidRPr="002D5A5A">
        <w:rPr>
          <w:lang w:val="fr-CH"/>
        </w:rPr>
        <w:t xml:space="preserve"> Appendices </w:t>
      </w:r>
      <w:r w:rsidRPr="002D5A5A">
        <w:rPr>
          <w:b/>
          <w:bCs/>
          <w:lang w:val="fr-CH"/>
        </w:rPr>
        <w:t>30</w:t>
      </w:r>
      <w:r w:rsidRPr="002D5A5A">
        <w:rPr>
          <w:lang w:val="fr-CH"/>
        </w:rPr>
        <w:t xml:space="preserve"> </w:t>
      </w:r>
      <w:r>
        <w:rPr>
          <w:lang w:val="fr-CH"/>
        </w:rPr>
        <w:t>et</w:t>
      </w:r>
      <w:r w:rsidRPr="002D5A5A">
        <w:rPr>
          <w:lang w:val="fr-CH"/>
        </w:rPr>
        <w:t xml:space="preserve"> </w:t>
      </w:r>
      <w:r w:rsidRPr="002D5A5A">
        <w:rPr>
          <w:b/>
          <w:bCs/>
          <w:lang w:val="fr-CH"/>
        </w:rPr>
        <w:t>30A</w:t>
      </w:r>
      <w:r w:rsidRPr="002D5A5A">
        <w:rPr>
          <w:lang w:val="fr-CH"/>
        </w:rPr>
        <w:t xml:space="preserve"> </w:t>
      </w:r>
      <w:r>
        <w:rPr>
          <w:lang w:val="fr-CH"/>
        </w:rPr>
        <w:t>et à la Règle de procédure relative au</w:t>
      </w:r>
      <w:r w:rsidRPr="002D5A5A">
        <w:rPr>
          <w:lang w:val="fr-CH"/>
        </w:rPr>
        <w:t xml:space="preserve"> §</w:t>
      </w:r>
      <w:r w:rsidR="009B4404">
        <w:rPr>
          <w:lang w:val="fr-CH"/>
        </w:rPr>
        <w:t> </w:t>
      </w:r>
      <w:r w:rsidRPr="002D5A5A">
        <w:rPr>
          <w:lang w:val="fr-CH"/>
        </w:rPr>
        <w:t xml:space="preserve">8.17 </w:t>
      </w:r>
      <w:r>
        <w:rPr>
          <w:lang w:val="fr-CH"/>
        </w:rPr>
        <w:t>de l</w:t>
      </w:r>
      <w:r w:rsidR="005545DB">
        <w:rPr>
          <w:lang w:val="fr-CH"/>
        </w:rPr>
        <w:t>'</w:t>
      </w:r>
      <w:r>
        <w:rPr>
          <w:lang w:val="fr-CH"/>
        </w:rPr>
        <w:t>Appendice</w:t>
      </w:r>
      <w:r w:rsidRPr="002D5A5A">
        <w:rPr>
          <w:lang w:val="fr-CH"/>
        </w:rPr>
        <w:t xml:space="preserve"> </w:t>
      </w:r>
      <w:r w:rsidRPr="002D5A5A">
        <w:rPr>
          <w:b/>
          <w:bCs/>
          <w:lang w:val="fr-CH"/>
        </w:rPr>
        <w:t>30B</w:t>
      </w:r>
      <w:r w:rsidRPr="002D5A5A">
        <w:rPr>
          <w:lang w:val="fr-CH"/>
        </w:rPr>
        <w:t>.</w:t>
      </w:r>
    </w:p>
    <w:p w:rsidR="00203DB6" w:rsidRPr="009E1241" w:rsidRDefault="00CB3583" w:rsidP="009B4404">
      <w:pPr>
        <w:rPr>
          <w:lang w:val="fr-CH"/>
        </w:rPr>
      </w:pPr>
      <w:r>
        <w:rPr>
          <w:lang w:val="fr-CH"/>
        </w:rPr>
        <w:t>3.4</w:t>
      </w:r>
      <w:r w:rsidR="00203DB6" w:rsidRPr="002D5A5A">
        <w:rPr>
          <w:lang w:val="fr-CH"/>
        </w:rPr>
        <w:tab/>
      </w:r>
      <w:r w:rsidR="00203DB6" w:rsidRPr="00FF55C6">
        <w:rPr>
          <w:lang w:val="fr-CH"/>
        </w:rPr>
        <w:t>La page web UIT-BR o</w:t>
      </w:r>
      <w:r w:rsidR="009B4404">
        <w:rPr>
          <w:lang w:val="fr-CH"/>
        </w:rPr>
        <w:t>ù</w:t>
      </w:r>
      <w:r w:rsidR="00203DB6" w:rsidRPr="00FF55C6">
        <w:rPr>
          <w:lang w:val="fr-CH"/>
        </w:rPr>
        <w:t xml:space="preserve"> le Bureau poste les renseignements concernant </w:t>
      </w:r>
      <w:r w:rsidR="00203DB6">
        <w:rPr>
          <w:lang w:val="fr-CH"/>
        </w:rPr>
        <w:t>le statut de la suspension de l</w:t>
      </w:r>
      <w:r w:rsidR="005545DB">
        <w:rPr>
          <w:lang w:val="fr-CH"/>
        </w:rPr>
        <w:t>'</w:t>
      </w:r>
      <w:r w:rsidR="00203DB6">
        <w:rPr>
          <w:lang w:val="fr-CH"/>
        </w:rPr>
        <w:t>utilisation est accessible à l</w:t>
      </w:r>
      <w:r w:rsidR="005545DB">
        <w:rPr>
          <w:lang w:val="fr-CH"/>
        </w:rPr>
        <w:t>'</w:t>
      </w:r>
      <w:r w:rsidR="00203DB6">
        <w:rPr>
          <w:lang w:val="fr-CH"/>
        </w:rPr>
        <w:t>adresse suivante:</w:t>
      </w:r>
      <w:r w:rsidR="00203DB6" w:rsidRPr="002D5A5A">
        <w:rPr>
          <w:szCs w:val="24"/>
          <w:lang w:val="fr-CH"/>
        </w:rPr>
        <w:t xml:space="preserve"> </w:t>
      </w:r>
      <w:hyperlink r:id="rId10" w:history="1">
        <w:r w:rsidR="00203DB6" w:rsidRPr="002D5A5A">
          <w:rPr>
            <w:rStyle w:val="Hyperlink"/>
            <w:szCs w:val="24"/>
            <w:lang w:val="fr-CH"/>
          </w:rPr>
          <w:t>http://www</w:t>
        </w:r>
        <w:bookmarkStart w:id="4" w:name="_GoBack"/>
        <w:bookmarkEnd w:id="4"/>
        <w:r w:rsidR="00203DB6" w:rsidRPr="002D5A5A">
          <w:rPr>
            <w:rStyle w:val="Hyperlink"/>
            <w:szCs w:val="24"/>
            <w:lang w:val="fr-CH"/>
          </w:rPr>
          <w:t>.</w:t>
        </w:r>
        <w:r w:rsidR="00203DB6" w:rsidRPr="002D5A5A">
          <w:rPr>
            <w:rStyle w:val="Hyperlink"/>
            <w:szCs w:val="24"/>
            <w:lang w:val="fr-CH"/>
          </w:rPr>
          <w:t>itu.int/net/ITU-R/space/snl/list1149/index.asp</w:t>
        </w:r>
      </w:hyperlink>
      <w:r w:rsidR="00203DB6" w:rsidRPr="002D5A5A">
        <w:rPr>
          <w:szCs w:val="24"/>
          <w:lang w:val="fr-CH"/>
        </w:rPr>
        <w:t xml:space="preserve">. </w:t>
      </w:r>
      <w:r w:rsidR="00203DB6">
        <w:rPr>
          <w:szCs w:val="24"/>
          <w:lang w:val="fr-CH"/>
        </w:rPr>
        <w:t>Les reprises de l</w:t>
      </w:r>
      <w:r w:rsidR="005545DB">
        <w:rPr>
          <w:szCs w:val="24"/>
          <w:lang w:val="fr-CH"/>
        </w:rPr>
        <w:t>'</w:t>
      </w:r>
      <w:r w:rsidR="00203DB6">
        <w:rPr>
          <w:szCs w:val="24"/>
          <w:lang w:val="fr-CH"/>
        </w:rPr>
        <w:t>utilisation d</w:t>
      </w:r>
      <w:r w:rsidR="009B4404">
        <w:rPr>
          <w:szCs w:val="24"/>
          <w:lang w:val="fr-CH"/>
        </w:rPr>
        <w:t>'</w:t>
      </w:r>
      <w:r w:rsidR="00203DB6">
        <w:rPr>
          <w:szCs w:val="24"/>
          <w:lang w:val="fr-CH"/>
        </w:rPr>
        <w:t>assignations de fréquence seront publiées dans la Partie</w:t>
      </w:r>
      <w:r w:rsidR="00203DB6" w:rsidRPr="002D5A5A">
        <w:rPr>
          <w:lang w:val="fr-CH"/>
        </w:rPr>
        <w:t xml:space="preserve"> II-S </w:t>
      </w:r>
      <w:r w:rsidR="00203DB6">
        <w:rPr>
          <w:lang w:val="fr-CH"/>
        </w:rPr>
        <w:t>de la</w:t>
      </w:r>
      <w:r w:rsidR="00203DB6" w:rsidRPr="002D5A5A">
        <w:rPr>
          <w:lang w:val="fr-CH"/>
        </w:rPr>
        <w:t xml:space="preserve"> BR IFIC (</w:t>
      </w:r>
      <w:r w:rsidR="009B4404">
        <w:rPr>
          <w:lang w:val="fr-CH"/>
        </w:rPr>
        <w:t>S</w:t>
      </w:r>
      <w:r w:rsidR="00203DB6">
        <w:rPr>
          <w:lang w:val="fr-CH"/>
        </w:rPr>
        <w:t>ervices spatiaux</w:t>
      </w:r>
      <w:r w:rsidR="00203DB6" w:rsidRPr="002D5A5A">
        <w:rPr>
          <w:lang w:val="fr-CH"/>
        </w:rPr>
        <w:t>)</w:t>
      </w:r>
      <w:r w:rsidR="00203DB6">
        <w:rPr>
          <w:lang w:val="fr-CH"/>
        </w:rPr>
        <w:t xml:space="preserve"> sur</w:t>
      </w:r>
      <w:r w:rsidR="00203DB6" w:rsidRPr="002D5A5A">
        <w:rPr>
          <w:lang w:val="fr-CH"/>
        </w:rPr>
        <w:t xml:space="preserve"> DVD </w:t>
      </w:r>
      <w:r w:rsidR="00203DB6">
        <w:rPr>
          <w:lang w:val="fr-CH"/>
        </w:rPr>
        <w:t>uniquement lorsque la confirmation aura été reçue. Les symboles suivants sont utilisés</w:t>
      </w:r>
      <w:r w:rsidR="00203DB6" w:rsidRPr="009E1241">
        <w:rPr>
          <w:lang w:val="fr-CH"/>
        </w:rPr>
        <w:t xml:space="preserve"> </w:t>
      </w:r>
      <w:r w:rsidR="00203DB6" w:rsidRPr="00FF55C6">
        <w:rPr>
          <w:lang w:val="fr-CH"/>
        </w:rPr>
        <w:t>dans la colonne</w:t>
      </w:r>
      <w:r w:rsidR="00203DB6">
        <w:rPr>
          <w:lang w:val="fr-CH"/>
        </w:rPr>
        <w:t xml:space="preserve"> </w:t>
      </w:r>
      <w:r w:rsidR="00596742">
        <w:rPr>
          <w:lang w:val="fr-CH"/>
        </w:rPr>
        <w:t>«</w:t>
      </w:r>
      <w:r w:rsidR="00203DB6">
        <w:rPr>
          <w:lang w:val="fr-CH"/>
        </w:rPr>
        <w:t>Statut de la mise en service</w:t>
      </w:r>
      <w:r w:rsidR="00596742">
        <w:rPr>
          <w:lang w:val="fr-CH"/>
        </w:rPr>
        <w:t>»</w:t>
      </w:r>
      <w:r w:rsidR="00203DB6" w:rsidRPr="009E1241">
        <w:rPr>
          <w:lang w:val="fr-CH"/>
        </w:rPr>
        <w:t>:</w:t>
      </w:r>
    </w:p>
    <w:p w:rsidR="00203DB6" w:rsidRPr="009E1241" w:rsidRDefault="00203DB6" w:rsidP="00CB3583">
      <w:pPr>
        <w:pStyle w:val="enumlev2"/>
        <w:spacing w:before="60"/>
        <w:rPr>
          <w:lang w:val="fr-CH"/>
        </w:rPr>
      </w:pPr>
      <w:r w:rsidRPr="009E1241">
        <w:rPr>
          <w:lang w:val="fr-CH"/>
        </w:rPr>
        <w:t>S:</w:t>
      </w:r>
      <w:r w:rsidRPr="009E1241">
        <w:rPr>
          <w:lang w:val="fr-CH"/>
        </w:rPr>
        <w:tab/>
        <w:t>suspendue</w:t>
      </w:r>
      <w:r w:rsidR="00CB3583">
        <w:rPr>
          <w:lang w:val="fr-CH"/>
        </w:rPr>
        <w:t>.</w:t>
      </w:r>
    </w:p>
    <w:p w:rsidR="00203DB6" w:rsidRPr="009E1241" w:rsidRDefault="00203DB6" w:rsidP="00CB3583">
      <w:pPr>
        <w:pStyle w:val="enumlev2"/>
        <w:spacing w:before="60"/>
        <w:rPr>
          <w:lang w:val="fr-CH"/>
        </w:rPr>
      </w:pPr>
      <w:r w:rsidRPr="009E1241">
        <w:rPr>
          <w:lang w:val="fr-CH"/>
        </w:rPr>
        <w:t>J:</w:t>
      </w:r>
      <w:r w:rsidRPr="009E1241">
        <w:rPr>
          <w:lang w:val="fr-CH"/>
        </w:rPr>
        <w:tab/>
        <w:t xml:space="preserve">renseignements initiaux relatifs à </w:t>
      </w:r>
      <w:r>
        <w:rPr>
          <w:lang w:val="fr-CH"/>
        </w:rPr>
        <w:t>la rem</w:t>
      </w:r>
      <w:r w:rsidRPr="009E1241">
        <w:rPr>
          <w:lang w:val="fr-CH"/>
        </w:rPr>
        <w:t xml:space="preserve">ise </w:t>
      </w:r>
      <w:r>
        <w:rPr>
          <w:lang w:val="fr-CH"/>
        </w:rPr>
        <w:t>en service</w:t>
      </w:r>
      <w:r w:rsidR="00CB3583">
        <w:rPr>
          <w:lang w:val="fr-CH"/>
        </w:rPr>
        <w:t>.</w:t>
      </w:r>
    </w:p>
    <w:p w:rsidR="00203DB6" w:rsidRPr="009E1241" w:rsidRDefault="009B4404" w:rsidP="00CB3583">
      <w:pPr>
        <w:pStyle w:val="enumlev2"/>
        <w:spacing w:before="60"/>
        <w:rPr>
          <w:lang w:val="fr-CH"/>
        </w:rPr>
      </w:pPr>
      <w:r>
        <w:rPr>
          <w:lang w:val="fr-CH"/>
        </w:rPr>
        <w:t>R:</w:t>
      </w:r>
      <w:r w:rsidR="00203DB6" w:rsidRPr="009E1241">
        <w:rPr>
          <w:lang w:val="fr-CH"/>
        </w:rPr>
        <w:tab/>
        <w:t>confirmation de la remise en service,</w:t>
      </w:r>
      <w:r w:rsidR="00203DB6">
        <w:rPr>
          <w:lang w:val="fr-CH"/>
        </w:rPr>
        <w:t xml:space="preserve"> </w:t>
      </w:r>
      <w:r w:rsidR="00203DB6" w:rsidRPr="009E1241">
        <w:rPr>
          <w:lang w:val="fr-CH"/>
        </w:rPr>
        <w:t xml:space="preserve">conditions </w:t>
      </w:r>
      <w:r w:rsidR="00203DB6">
        <w:rPr>
          <w:lang w:val="fr-CH"/>
        </w:rPr>
        <w:t>indiquées</w:t>
      </w:r>
      <w:r w:rsidR="00203DB6" w:rsidRPr="009E1241">
        <w:rPr>
          <w:lang w:val="fr-CH"/>
        </w:rPr>
        <w:t xml:space="preserve"> au numéro </w:t>
      </w:r>
      <w:r w:rsidR="00203DB6" w:rsidRPr="009E1241">
        <w:rPr>
          <w:b/>
          <w:bCs/>
          <w:lang w:val="fr-CH"/>
        </w:rPr>
        <w:t>11.49.1</w:t>
      </w:r>
      <w:r w:rsidR="00203DB6" w:rsidRPr="009E1241">
        <w:rPr>
          <w:lang w:val="fr-CH"/>
        </w:rPr>
        <w:t xml:space="preserve"> remplies</w:t>
      </w:r>
      <w:r w:rsidR="00CB3583">
        <w:rPr>
          <w:lang w:val="fr-CH"/>
        </w:rPr>
        <w:t>.</w:t>
      </w:r>
    </w:p>
    <w:p w:rsidR="00203DB6" w:rsidRPr="00CB3583" w:rsidRDefault="00CB3583" w:rsidP="00CB3583">
      <w:pPr>
        <w:pStyle w:val="Heading1"/>
      </w:pPr>
      <w:r>
        <w:t>4</w:t>
      </w:r>
      <w:r w:rsidR="00203DB6" w:rsidRPr="00CB3583">
        <w:tab/>
        <w:t>Demande d</w:t>
      </w:r>
      <w:r w:rsidR="005545DB" w:rsidRPr="00CB3583">
        <w:t>'</w:t>
      </w:r>
      <w:r w:rsidR="00203DB6" w:rsidRPr="00CB3583">
        <w:t>application du numéro 11.41</w:t>
      </w:r>
    </w:p>
    <w:p w:rsidR="00203DB6" w:rsidRPr="009E1241" w:rsidRDefault="00203DB6" w:rsidP="00CB3583">
      <w:pPr>
        <w:rPr>
          <w:i/>
          <w:iCs/>
          <w:szCs w:val="24"/>
          <w:lang w:val="fr-CH" w:eastAsia="zh-CN"/>
        </w:rPr>
      </w:pPr>
      <w:r w:rsidRPr="009E1241">
        <w:rPr>
          <w:lang w:val="fr-CH"/>
        </w:rPr>
        <w:t>4.1</w:t>
      </w:r>
      <w:r w:rsidRPr="009E1241">
        <w:rPr>
          <w:lang w:val="fr-CH"/>
        </w:rPr>
        <w:tab/>
        <w:t>Conformément aux dispos</w:t>
      </w:r>
      <w:r>
        <w:rPr>
          <w:lang w:val="fr-CH"/>
        </w:rPr>
        <w:t>i</w:t>
      </w:r>
      <w:r w:rsidRPr="009E1241">
        <w:rPr>
          <w:lang w:val="fr-CH"/>
        </w:rPr>
        <w:t>tions du numéro </w:t>
      </w:r>
      <w:r w:rsidRPr="009E1241">
        <w:rPr>
          <w:b/>
          <w:bCs/>
          <w:lang w:val="fr-CH"/>
        </w:rPr>
        <w:t>11.41.2</w:t>
      </w:r>
      <w:r w:rsidRPr="00CB3583">
        <w:rPr>
          <w:lang w:val="fr-CH"/>
        </w:rPr>
        <w:t>,</w:t>
      </w:r>
      <w:r w:rsidRPr="009E1241">
        <w:rPr>
          <w:lang w:val="fr-CH"/>
        </w:rPr>
        <w:t xml:space="preserve"> telles qu</w:t>
      </w:r>
      <w:r w:rsidR="005545DB">
        <w:rPr>
          <w:lang w:val="fr-CH"/>
        </w:rPr>
        <w:t>'</w:t>
      </w:r>
      <w:r w:rsidRPr="009E1241">
        <w:rPr>
          <w:lang w:val="fr-CH"/>
        </w:rPr>
        <w:t>elles ont été ajoutées par la CMR-12, l</w:t>
      </w:r>
      <w:r w:rsidR="005545DB">
        <w:rPr>
          <w:lang w:val="fr-CH"/>
        </w:rPr>
        <w:t>'</w:t>
      </w:r>
      <w:r w:rsidRPr="009E1241">
        <w:rPr>
          <w:lang w:val="fr-CH"/>
        </w:rPr>
        <w:t xml:space="preserve">administration </w:t>
      </w:r>
      <w:proofErr w:type="spellStart"/>
      <w:r w:rsidRPr="009E1241">
        <w:rPr>
          <w:lang w:val="fr-CH"/>
        </w:rPr>
        <w:t>notificatrice</w:t>
      </w:r>
      <w:proofErr w:type="spellEnd"/>
      <w:r w:rsidRPr="009E1241">
        <w:rPr>
          <w:lang w:val="fr-CH"/>
        </w:rPr>
        <w:t>, lorsqu</w:t>
      </w:r>
      <w:r w:rsidR="005545DB">
        <w:rPr>
          <w:lang w:val="fr-CH"/>
        </w:rPr>
        <w:t>'</w:t>
      </w:r>
      <w:r w:rsidRPr="009E1241">
        <w:rPr>
          <w:lang w:val="fr-CH"/>
        </w:rPr>
        <w:t>elle soumet des fiches de notification en application du numéro</w:t>
      </w:r>
      <w:r w:rsidRPr="009E1241">
        <w:rPr>
          <w:szCs w:val="24"/>
          <w:lang w:val="fr-CH" w:eastAsia="zh-CN"/>
        </w:rPr>
        <w:t xml:space="preserve"> </w:t>
      </w:r>
      <w:r w:rsidRPr="009E1241">
        <w:rPr>
          <w:b/>
          <w:bCs/>
          <w:szCs w:val="24"/>
          <w:lang w:val="fr-CH" w:eastAsia="zh-CN"/>
        </w:rPr>
        <w:t>11.41</w:t>
      </w:r>
      <w:r w:rsidRPr="00CB3583">
        <w:rPr>
          <w:szCs w:val="24"/>
          <w:lang w:val="fr-CH" w:eastAsia="zh-CN"/>
        </w:rPr>
        <w:t>,</w:t>
      </w:r>
      <w:r w:rsidRPr="009E1241">
        <w:rPr>
          <w:b/>
          <w:bCs/>
          <w:szCs w:val="24"/>
          <w:lang w:val="fr-CH" w:eastAsia="zh-CN"/>
        </w:rPr>
        <w:t xml:space="preserve"> </w:t>
      </w:r>
      <w:r w:rsidRPr="009E1241">
        <w:rPr>
          <w:szCs w:val="24"/>
          <w:lang w:val="fr-CH" w:eastAsia="zh-CN"/>
        </w:rPr>
        <w:t>doit indique</w:t>
      </w:r>
      <w:r>
        <w:rPr>
          <w:szCs w:val="24"/>
          <w:lang w:val="fr-CH" w:eastAsia="zh-CN"/>
        </w:rPr>
        <w:t>r au Bureau que des efforts ont été déployés en vue d</w:t>
      </w:r>
      <w:r w:rsidR="005545DB">
        <w:rPr>
          <w:szCs w:val="24"/>
          <w:lang w:val="fr-CH" w:eastAsia="zh-CN"/>
        </w:rPr>
        <w:t>'</w:t>
      </w:r>
      <w:r>
        <w:rPr>
          <w:szCs w:val="24"/>
          <w:lang w:val="fr-CH" w:eastAsia="zh-CN"/>
        </w:rPr>
        <w:t>effectuer la coordination avec les administrations dont les assignations ont constitué la base des conclusions défavorables relativement au numéro</w:t>
      </w:r>
      <w:r w:rsidRPr="009E1241">
        <w:rPr>
          <w:szCs w:val="24"/>
          <w:lang w:val="fr-CH" w:eastAsia="zh-CN"/>
        </w:rPr>
        <w:t xml:space="preserve"> </w:t>
      </w:r>
      <w:r w:rsidRPr="009E1241">
        <w:rPr>
          <w:b/>
          <w:bCs/>
          <w:szCs w:val="24"/>
          <w:lang w:val="fr-CH" w:eastAsia="zh-CN"/>
        </w:rPr>
        <w:t>11.38</w:t>
      </w:r>
      <w:r w:rsidRPr="009E1241">
        <w:rPr>
          <w:szCs w:val="24"/>
          <w:lang w:val="fr-CH" w:eastAsia="zh-CN"/>
        </w:rPr>
        <w:t>,</w:t>
      </w:r>
      <w:r>
        <w:rPr>
          <w:szCs w:val="24"/>
          <w:lang w:val="fr-CH" w:eastAsia="zh-CN"/>
        </w:rPr>
        <w:t xml:space="preserve"> et que ces efforts n</w:t>
      </w:r>
      <w:r w:rsidR="005545DB">
        <w:rPr>
          <w:szCs w:val="24"/>
          <w:lang w:val="fr-CH" w:eastAsia="zh-CN"/>
        </w:rPr>
        <w:t>'</w:t>
      </w:r>
      <w:r>
        <w:rPr>
          <w:szCs w:val="24"/>
          <w:lang w:val="fr-CH" w:eastAsia="zh-CN"/>
        </w:rPr>
        <w:t>ont pas abouti.</w:t>
      </w:r>
    </w:p>
    <w:p w:rsidR="00203DB6" w:rsidRPr="001D2997" w:rsidRDefault="00203DB6" w:rsidP="00CB3583">
      <w:r w:rsidRPr="00F620F5">
        <w:rPr>
          <w:lang w:val="fr-CH" w:eastAsia="zh-CN"/>
        </w:rPr>
        <w:t>4.2</w:t>
      </w:r>
      <w:r w:rsidRPr="00F620F5">
        <w:rPr>
          <w:lang w:val="fr-CH" w:eastAsia="zh-CN"/>
        </w:rPr>
        <w:tab/>
        <w:t>Dès réception d</w:t>
      </w:r>
      <w:r w:rsidR="005545DB">
        <w:rPr>
          <w:lang w:val="fr-CH" w:eastAsia="zh-CN"/>
        </w:rPr>
        <w:t>'</w:t>
      </w:r>
      <w:r w:rsidRPr="00F620F5">
        <w:rPr>
          <w:lang w:val="fr-CH" w:eastAsia="zh-CN"/>
        </w:rPr>
        <w:t>une demande d</w:t>
      </w:r>
      <w:r w:rsidR="005545DB">
        <w:rPr>
          <w:lang w:val="fr-CH" w:eastAsia="zh-CN"/>
        </w:rPr>
        <w:t>'</w:t>
      </w:r>
      <w:r w:rsidRPr="00F620F5">
        <w:rPr>
          <w:lang w:val="fr-CH" w:eastAsia="zh-CN"/>
        </w:rPr>
        <w:t xml:space="preserve">application du numéro </w:t>
      </w:r>
      <w:r w:rsidRPr="00F620F5">
        <w:rPr>
          <w:b/>
          <w:bCs/>
          <w:lang w:val="fr-CH" w:eastAsia="zh-CN"/>
        </w:rPr>
        <w:t>11.41</w:t>
      </w:r>
      <w:r w:rsidRPr="00F620F5">
        <w:rPr>
          <w:lang w:val="fr-CH" w:eastAsia="zh-CN"/>
        </w:rPr>
        <w:t>, le Bureau demandera à l</w:t>
      </w:r>
      <w:r w:rsidR="005545DB">
        <w:rPr>
          <w:lang w:val="fr-CH" w:eastAsia="zh-CN"/>
        </w:rPr>
        <w:t>'</w:t>
      </w:r>
      <w:r w:rsidRPr="00F620F5">
        <w:rPr>
          <w:lang w:val="fr-CH" w:eastAsia="zh-CN"/>
        </w:rPr>
        <w:t xml:space="preserve">administration </w:t>
      </w:r>
      <w:proofErr w:type="spellStart"/>
      <w:r w:rsidRPr="00F620F5">
        <w:rPr>
          <w:lang w:val="fr-CH" w:eastAsia="zh-CN"/>
        </w:rPr>
        <w:t>notificatrice</w:t>
      </w:r>
      <w:proofErr w:type="spellEnd"/>
      <w:r w:rsidRPr="00F620F5">
        <w:rPr>
          <w:lang w:val="fr-CH" w:eastAsia="zh-CN"/>
        </w:rPr>
        <w:t xml:space="preserve"> </w:t>
      </w:r>
      <w:r>
        <w:rPr>
          <w:lang w:val="fr-CH" w:eastAsia="zh-CN"/>
        </w:rPr>
        <w:t>de fournir les indications</w:t>
      </w:r>
      <w:r w:rsidRPr="00F620F5">
        <w:rPr>
          <w:lang w:val="fr-CH" w:eastAsia="zh-CN"/>
        </w:rPr>
        <w:t xml:space="preserve"> demandé</w:t>
      </w:r>
      <w:r>
        <w:rPr>
          <w:lang w:val="fr-CH" w:eastAsia="zh-CN"/>
        </w:rPr>
        <w:t>es</w:t>
      </w:r>
      <w:r w:rsidRPr="00F620F5">
        <w:rPr>
          <w:lang w:val="fr-CH" w:eastAsia="zh-CN"/>
        </w:rPr>
        <w:t xml:space="preserve"> </w:t>
      </w:r>
      <w:r w:rsidR="00CB3583">
        <w:rPr>
          <w:lang w:val="fr-CH" w:eastAsia="zh-CN"/>
        </w:rPr>
        <w:t>dans le</w:t>
      </w:r>
      <w:r w:rsidRPr="00F620F5">
        <w:rPr>
          <w:lang w:val="fr-CH" w:eastAsia="zh-CN"/>
        </w:rPr>
        <w:t xml:space="preserve"> </w:t>
      </w:r>
      <w:r>
        <w:rPr>
          <w:lang w:val="fr-CH" w:eastAsia="zh-CN"/>
        </w:rPr>
        <w:t xml:space="preserve">numéro </w:t>
      </w:r>
      <w:r w:rsidRPr="00F620F5">
        <w:rPr>
          <w:b/>
          <w:bCs/>
          <w:lang w:val="fr-CH" w:eastAsia="zh-CN"/>
        </w:rPr>
        <w:t>11.41.2</w:t>
      </w:r>
      <w:r w:rsidRPr="00F620F5">
        <w:rPr>
          <w:lang w:val="fr-CH"/>
        </w:rPr>
        <w:t xml:space="preserve">, </w:t>
      </w:r>
      <w:r>
        <w:rPr>
          <w:lang w:val="fr-CH"/>
        </w:rPr>
        <w:t>et les postera sur le site web UIT-BR</w:t>
      </w:r>
      <w:r w:rsidRPr="00F620F5">
        <w:rPr>
          <w:lang w:val="fr-CH"/>
        </w:rPr>
        <w:t xml:space="preserve">. </w:t>
      </w:r>
      <w:r>
        <w:rPr>
          <w:lang w:val="fr-CH"/>
        </w:rPr>
        <w:t xml:space="preserve">Parmi les </w:t>
      </w:r>
      <w:r w:rsidRPr="00F937D1">
        <w:rPr>
          <w:lang w:val="fr-CH"/>
        </w:rPr>
        <w:t>renseignements complémentaires</w:t>
      </w:r>
      <w:r>
        <w:rPr>
          <w:lang w:val="fr-CH"/>
        </w:rPr>
        <w:t xml:space="preserve"> qui pourront être communiqués, on citera</w:t>
      </w:r>
      <w:r w:rsidRPr="00F937D1">
        <w:rPr>
          <w:lang w:val="fr-CH"/>
        </w:rPr>
        <w:t xml:space="preserve"> les mesures prises en l</w:t>
      </w:r>
      <w:r w:rsidR="005545DB">
        <w:rPr>
          <w:lang w:val="fr-CH"/>
        </w:rPr>
        <w:t>'</w:t>
      </w:r>
      <w:r w:rsidRPr="00F937D1">
        <w:rPr>
          <w:lang w:val="fr-CH"/>
        </w:rPr>
        <w:t>absence de réponse ou de décision concernant un</w:t>
      </w:r>
      <w:r w:rsidR="00937BA1">
        <w:rPr>
          <w:lang w:val="fr-CH"/>
        </w:rPr>
        <w:t>e</w:t>
      </w:r>
      <w:r w:rsidRPr="00F937D1">
        <w:rPr>
          <w:lang w:val="fr-CH"/>
        </w:rPr>
        <w:t xml:space="preserve"> demande de coordination, y compris une demande pour obtenir l</w:t>
      </w:r>
      <w:r w:rsidR="005545DB">
        <w:rPr>
          <w:lang w:val="fr-CH"/>
        </w:rPr>
        <w:t>'</w:t>
      </w:r>
      <w:r w:rsidRPr="00F937D1">
        <w:rPr>
          <w:lang w:val="fr-CH"/>
        </w:rPr>
        <w:t>assistance du Bureau</w:t>
      </w:r>
      <w:r w:rsidR="00CB3583">
        <w:rPr>
          <w:lang w:val="fr-CH"/>
        </w:rPr>
        <w:t>,</w:t>
      </w:r>
      <w:r w:rsidRPr="00F937D1">
        <w:rPr>
          <w:lang w:val="fr-CH"/>
        </w:rPr>
        <w:t xml:space="preserve"> ou le nombre et les dates des </w:t>
      </w:r>
      <w:r>
        <w:rPr>
          <w:lang w:val="fr-CH"/>
        </w:rPr>
        <w:t>ré</w:t>
      </w:r>
      <w:r w:rsidRPr="00F937D1">
        <w:rPr>
          <w:lang w:val="fr-CH"/>
        </w:rPr>
        <w:t xml:space="preserve">unions </w:t>
      </w:r>
      <w:r>
        <w:rPr>
          <w:lang w:val="fr-CH"/>
        </w:rPr>
        <w:t>de coord</w:t>
      </w:r>
      <w:r w:rsidRPr="00F937D1">
        <w:rPr>
          <w:lang w:val="fr-CH"/>
        </w:rPr>
        <w:t>ination</w:t>
      </w:r>
      <w:r>
        <w:rPr>
          <w:lang w:val="fr-CH"/>
        </w:rPr>
        <w:t xml:space="preserve"> pour le réseau considéré avec les administrations dont les assignations de fréquence ont constitué la base de la conclusion défavorable</w:t>
      </w:r>
      <w:r w:rsidR="00CB3583">
        <w:rPr>
          <w:lang w:val="fr-CH"/>
        </w:rPr>
        <w:t xml:space="preserve">, </w:t>
      </w:r>
      <w:r w:rsidRPr="001D2997">
        <w:t xml:space="preserve">etc. </w:t>
      </w:r>
    </w:p>
    <w:p w:rsidR="00203DB6" w:rsidRPr="00E93797" w:rsidRDefault="00203DB6" w:rsidP="00937BA1">
      <w:pPr>
        <w:rPr>
          <w:i/>
          <w:iCs/>
        </w:rPr>
      </w:pPr>
      <w:r w:rsidRPr="00E93797">
        <w:t>4.3</w:t>
      </w:r>
      <w:r w:rsidRPr="00E93797">
        <w:tab/>
        <w:t xml:space="preserve">La CMR-12 a supprimé, avec effet au 1er janvier 2013, la notion d'inscription </w:t>
      </w:r>
      <w:r>
        <w:t>proviso</w:t>
      </w:r>
      <w:r w:rsidRPr="00E93797">
        <w:t>ire/définitive dans le Fichier de référence de</w:t>
      </w:r>
      <w:r>
        <w:t>s assignations de fréquence sou</w:t>
      </w:r>
      <w:r w:rsidRPr="00E93797">
        <w:t>mi</w:t>
      </w:r>
      <w:r>
        <w:t>s</w:t>
      </w:r>
      <w:r w:rsidRPr="00E93797">
        <w:t>es au titre du numéro </w:t>
      </w:r>
      <w:r w:rsidRPr="00E93797">
        <w:rPr>
          <w:b/>
          <w:bCs/>
        </w:rPr>
        <w:t>11.41</w:t>
      </w:r>
      <w:r w:rsidRPr="00CB3583">
        <w:t>.</w:t>
      </w:r>
      <w:r w:rsidRPr="00E93797">
        <w:rPr>
          <w:b/>
          <w:bCs/>
        </w:rPr>
        <w:t xml:space="preserve"> </w:t>
      </w:r>
      <w:r w:rsidRPr="00E93797">
        <w:t>En conséque</w:t>
      </w:r>
      <w:r>
        <w:t xml:space="preserve">nce, le Bureau mettra à jour les inscriptions existantes </w:t>
      </w:r>
      <w:r w:rsidR="00CB3583">
        <w:t xml:space="preserve">avec </w:t>
      </w:r>
      <w:r>
        <w:t>un statut provisoire</w:t>
      </w:r>
      <w:r w:rsidR="00CB3583">
        <w:t>,</w:t>
      </w:r>
      <w:r>
        <w:t xml:space="preserve"> au titre de l'ancien numéro </w:t>
      </w:r>
      <w:r w:rsidRPr="00CD5BB4">
        <w:rPr>
          <w:b/>
          <w:bCs/>
        </w:rPr>
        <w:t>11.4</w:t>
      </w:r>
      <w:r w:rsidR="00CB3583" w:rsidRPr="00CD5BB4">
        <w:rPr>
          <w:b/>
          <w:bCs/>
        </w:rPr>
        <w:t>1</w:t>
      </w:r>
      <w:r w:rsidR="00CB3583">
        <w:t>,</w:t>
      </w:r>
      <w:r>
        <w:t xml:space="preserve"> dans le Fichier de référence. Les informations mises à jour seront publiées dans la BR </w:t>
      </w:r>
      <w:r w:rsidR="00937BA1">
        <w:t>I</w:t>
      </w:r>
      <w:r w:rsidRPr="00E93797">
        <w:t>F</w:t>
      </w:r>
      <w:r w:rsidR="006B0C62">
        <w:t>I</w:t>
      </w:r>
      <w:r w:rsidRPr="00E93797">
        <w:t>C</w:t>
      </w:r>
      <w:r w:rsidR="006B0C62">
        <w:t> </w:t>
      </w:r>
      <w:r w:rsidRPr="00E93797">
        <w:t>2740</w:t>
      </w:r>
      <w:r w:rsidR="00CB3583">
        <w:t xml:space="preserve"> du 19 mars </w:t>
      </w:r>
      <w:r w:rsidRPr="00E93797">
        <w:t>2013.</w:t>
      </w:r>
    </w:p>
    <w:p w:rsidR="00203DB6" w:rsidRPr="00E21447" w:rsidRDefault="00CB3583" w:rsidP="00937BA1">
      <w:pPr>
        <w:pStyle w:val="Heading1"/>
      </w:pPr>
      <w:r>
        <w:t>5</w:t>
      </w:r>
      <w:r w:rsidR="00203DB6" w:rsidRPr="00E93797">
        <w:tab/>
      </w:r>
      <w:r w:rsidR="00203DB6" w:rsidRPr="00E21447">
        <w:t>Annexe 2 de la Résolution 552 (CMR-12): I</w:t>
      </w:r>
      <w:r w:rsidR="00203DB6">
        <w:t>dentité de l'engin spatial</w:t>
      </w:r>
    </w:p>
    <w:p w:rsidR="00203DB6" w:rsidRPr="00E93797" w:rsidRDefault="00203DB6" w:rsidP="00CB3583">
      <w:pPr>
        <w:rPr>
          <w:i/>
          <w:iCs/>
        </w:rPr>
      </w:pPr>
      <w:r w:rsidRPr="00255367">
        <w:t xml:space="preserve">La CMR-12 a adopté la Résolution </w:t>
      </w:r>
      <w:r w:rsidRPr="00255367">
        <w:rPr>
          <w:b/>
          <w:bCs/>
        </w:rPr>
        <w:t>552</w:t>
      </w:r>
      <w:r w:rsidRPr="00255367">
        <w:t xml:space="preserve"> </w:t>
      </w:r>
      <w:r w:rsidRPr="00255367">
        <w:rPr>
          <w:b/>
          <w:bCs/>
        </w:rPr>
        <w:t xml:space="preserve">(CMR-12) </w:t>
      </w:r>
      <w:r w:rsidRPr="00255367">
        <w:t xml:space="preserve">intitulée </w:t>
      </w:r>
      <w:r w:rsidR="00CB3583">
        <w:t>«</w:t>
      </w:r>
      <w:r w:rsidRPr="00255367">
        <w:t>Accès à long terme à la bande 21</w:t>
      </w:r>
      <w:r>
        <w:t>,</w:t>
      </w:r>
      <w:r w:rsidRPr="00255367">
        <w:t>4</w:t>
      </w:r>
      <w:r>
        <w:noBreakHyphen/>
        <w:t>22 </w:t>
      </w:r>
      <w:r w:rsidRPr="00255367">
        <w:t>GHz dans les R</w:t>
      </w:r>
      <w:r>
        <w:t>é</w:t>
      </w:r>
      <w:r w:rsidRPr="00255367">
        <w:t xml:space="preserve">gions 1 </w:t>
      </w:r>
      <w:r>
        <w:t xml:space="preserve">et </w:t>
      </w:r>
      <w:r w:rsidRPr="00255367">
        <w:t>3</w:t>
      </w:r>
      <w:r>
        <w:t xml:space="preserve"> et développement à long terme dans cette bande</w:t>
      </w:r>
      <w:r w:rsidR="00CB3583">
        <w:t>»</w:t>
      </w:r>
      <w:r>
        <w:t xml:space="preserve"> aux termes de laquelle il est demandé de fournir des renseignements bien précis concernant les réseaux à satellite géostationnaire du SRS exploités dans la bande 21,4</w:t>
      </w:r>
      <w:r>
        <w:noBreakHyphen/>
        <w:t xml:space="preserve">22 GHz. </w:t>
      </w:r>
      <w:r w:rsidRPr="00255367">
        <w:t xml:space="preserve">Les renseignements demandés pour l'identité </w:t>
      </w:r>
      <w:r>
        <w:t xml:space="preserve">de l'engin spatial comportent un numéro d'identification UIT (point </w:t>
      </w:r>
      <w:r w:rsidRPr="00255367">
        <w:t xml:space="preserve">2a de l'Annexe 2 </w:t>
      </w:r>
      <w:r>
        <w:t>de</w:t>
      </w:r>
      <w:r w:rsidRPr="00255367">
        <w:t xml:space="preserve"> la R</w:t>
      </w:r>
      <w:r>
        <w:t>é</w:t>
      </w:r>
      <w:r w:rsidRPr="00255367">
        <w:t xml:space="preserve">solution </w:t>
      </w:r>
      <w:r w:rsidRPr="00255367">
        <w:rPr>
          <w:b/>
          <w:bCs/>
        </w:rPr>
        <w:t>552</w:t>
      </w:r>
      <w:r w:rsidRPr="00255367">
        <w:t xml:space="preserve">). </w:t>
      </w:r>
      <w:r>
        <w:t xml:space="preserve">A cette fin, le Bureau utilisera le système de numérotation décrit dans l'annexe de la présente </w:t>
      </w:r>
      <w:r w:rsidR="00AA031D" w:rsidRPr="00937BA1">
        <w:t>L</w:t>
      </w:r>
      <w:r w:rsidRPr="00937BA1">
        <w:t>ettre.</w:t>
      </w:r>
    </w:p>
    <w:p w:rsidR="00203DB6" w:rsidRPr="00E93797" w:rsidRDefault="00203DB6" w:rsidP="00CB3583">
      <w:r w:rsidRPr="00DD79CA">
        <w:rPr>
          <w:b/>
          <w:bCs/>
        </w:rPr>
        <w:t>6</w:t>
      </w:r>
      <w:r w:rsidRPr="00E93797">
        <w:tab/>
      </w:r>
      <w:r>
        <w:t xml:space="preserve">Le </w:t>
      </w:r>
      <w:r w:rsidRPr="00E93797">
        <w:t xml:space="preserve">Bureau </w:t>
      </w:r>
      <w:r>
        <w:t xml:space="preserve">reste à la disposition de votre </w:t>
      </w:r>
      <w:r w:rsidR="00937BA1">
        <w:t>A</w:t>
      </w:r>
      <w:r>
        <w:t>dministration pour toute précision dont elle pourrait avoir besoin en ce qui concerne les sujets traités dans la présente Lettre circulaire.</w:t>
      </w:r>
    </w:p>
    <w:p w:rsidR="003203D8" w:rsidRDefault="00E25073" w:rsidP="003203D8">
      <w:r>
        <w:t>Veuillez agréer, Madame, Monsieur, l'assurance de ma considération distinguée.</w:t>
      </w:r>
    </w:p>
    <w:p w:rsidR="00E25073" w:rsidRDefault="00E25073" w:rsidP="003203D8"/>
    <w:p w:rsidR="00E25073" w:rsidRDefault="00E25073" w:rsidP="003203D8"/>
    <w:p w:rsidR="00E25073" w:rsidRDefault="00E25073" w:rsidP="003203D8"/>
    <w:p w:rsidR="00E25073" w:rsidRPr="00FE1623" w:rsidRDefault="00E25073" w:rsidP="00FE0632">
      <w:pPr>
        <w:tabs>
          <w:tab w:val="center" w:pos="7088"/>
        </w:tabs>
      </w:pPr>
      <w:r>
        <w:tab/>
      </w:r>
      <w:r>
        <w:tab/>
      </w:r>
      <w:r>
        <w:tab/>
      </w:r>
      <w:r>
        <w:tab/>
      </w:r>
      <w:r>
        <w:tab/>
      </w:r>
      <w:r w:rsidR="00FE0632">
        <w:t xml:space="preserve">François </w:t>
      </w:r>
      <w:proofErr w:type="spellStart"/>
      <w:r w:rsidR="00FE0632">
        <w:t>Rancy</w:t>
      </w:r>
      <w:proofErr w:type="spellEnd"/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3203D8" w:rsidRPr="005545DB" w:rsidRDefault="003203D8" w:rsidP="003203D8">
      <w:pPr>
        <w:rPr>
          <w:lang w:val="fr-CH"/>
        </w:rPr>
      </w:pPr>
    </w:p>
    <w:p w:rsidR="003203D8" w:rsidRPr="005545DB" w:rsidRDefault="003203D8" w:rsidP="00792B34">
      <w:pPr>
        <w:rPr>
          <w:lang w:val="fr-CH"/>
        </w:rPr>
      </w:pPr>
    </w:p>
    <w:p w:rsidR="003203D8" w:rsidRPr="005545DB" w:rsidRDefault="003203D8" w:rsidP="00792B34">
      <w:pPr>
        <w:rPr>
          <w:lang w:val="fr-CH"/>
        </w:rPr>
      </w:pPr>
    </w:p>
    <w:p w:rsidR="00203DB6" w:rsidRPr="008C5D1D" w:rsidRDefault="00203DB6" w:rsidP="00792B34">
      <w:pPr>
        <w:rPr>
          <w:b/>
          <w:bCs/>
          <w:sz w:val="18"/>
          <w:szCs w:val="18"/>
        </w:rPr>
      </w:pPr>
      <w:bookmarkStart w:id="5" w:name="ddistribution"/>
      <w:bookmarkEnd w:id="5"/>
      <w:r w:rsidRPr="008C5D1D">
        <w:rPr>
          <w:b/>
          <w:bCs/>
          <w:sz w:val="18"/>
          <w:szCs w:val="18"/>
        </w:rPr>
        <w:t>Distribution:</w:t>
      </w:r>
    </w:p>
    <w:p w:rsidR="00203DB6" w:rsidRPr="008C5D1D" w:rsidRDefault="00203DB6" w:rsidP="00792B34">
      <w:pPr>
        <w:tabs>
          <w:tab w:val="left" w:pos="284"/>
        </w:tabs>
        <w:rPr>
          <w:sz w:val="18"/>
          <w:szCs w:val="18"/>
        </w:rPr>
      </w:pPr>
      <w:r w:rsidRPr="008C5D1D">
        <w:rPr>
          <w:sz w:val="18"/>
          <w:szCs w:val="18"/>
        </w:rPr>
        <w:t>–</w:t>
      </w:r>
      <w:r w:rsidRPr="008C5D1D">
        <w:rPr>
          <w:sz w:val="18"/>
          <w:szCs w:val="18"/>
        </w:rPr>
        <w:tab/>
        <w:t>Administrations des Etats Membres de l'UIT</w:t>
      </w:r>
      <w:r w:rsidRPr="008C5D1D">
        <w:rPr>
          <w:sz w:val="18"/>
          <w:szCs w:val="18"/>
        </w:rPr>
        <w:br/>
        <w:t>–</w:t>
      </w:r>
      <w:r w:rsidRPr="008C5D1D">
        <w:rPr>
          <w:sz w:val="18"/>
          <w:szCs w:val="18"/>
        </w:rPr>
        <w:tab/>
        <w:t>Membres du Comité du Règlement des radiocommunications</w:t>
      </w:r>
    </w:p>
    <w:p w:rsidR="003203D8" w:rsidRDefault="003203D8" w:rsidP="00792B34">
      <w:pPr>
        <w:rPr>
          <w:lang w:val="fr-CH"/>
        </w:rPr>
      </w:pPr>
    </w:p>
    <w:p w:rsidR="00CB3583" w:rsidRDefault="00CB3583" w:rsidP="00792B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792B34" w:rsidRPr="00E93797" w:rsidRDefault="00792B34" w:rsidP="00792B34">
      <w:pPr>
        <w:pStyle w:val="AnnexNotitle"/>
        <w:rPr>
          <w:b w:val="0"/>
          <w:bCs/>
        </w:rPr>
      </w:pPr>
      <w:r w:rsidRPr="00E93797">
        <w:t>Annex</w:t>
      </w:r>
      <w:r>
        <w:t>e</w:t>
      </w:r>
      <w:r>
        <w:br/>
      </w:r>
      <w:r>
        <w:br/>
      </w:r>
      <w:r>
        <w:rPr>
          <w:bCs/>
        </w:rPr>
        <w:t xml:space="preserve">Système de numérotation à utiliser pour le numéro </w:t>
      </w:r>
      <w:r>
        <w:rPr>
          <w:bCs/>
        </w:rPr>
        <w:br/>
        <w:t>d'identification UIT de l'engin spatial</w:t>
      </w:r>
    </w:p>
    <w:p w:rsidR="00792B34" w:rsidRPr="00900119" w:rsidRDefault="00792B34" w:rsidP="00792B34">
      <w:pPr>
        <w:jc w:val="center"/>
        <w:rPr>
          <w:b/>
          <w:bCs/>
        </w:rPr>
      </w:pPr>
      <w:r w:rsidRPr="00900119">
        <w:rPr>
          <w:b/>
          <w:bCs/>
        </w:rPr>
        <w:t>(Point 2a de l'Annexe 2 de la R</w:t>
      </w:r>
      <w:r>
        <w:rPr>
          <w:b/>
          <w:bCs/>
        </w:rPr>
        <w:t>é</w:t>
      </w:r>
      <w:r w:rsidRPr="00900119">
        <w:rPr>
          <w:b/>
          <w:bCs/>
        </w:rPr>
        <w:t>solution 552 (</w:t>
      </w:r>
      <w:r>
        <w:rPr>
          <w:b/>
          <w:bCs/>
        </w:rPr>
        <w:t>CMR</w:t>
      </w:r>
      <w:r w:rsidRPr="00900119">
        <w:rPr>
          <w:b/>
          <w:bCs/>
        </w:rPr>
        <w:t>-12))</w:t>
      </w:r>
    </w:p>
    <w:p w:rsidR="00792B34" w:rsidRPr="00671DAA" w:rsidRDefault="00792B34" w:rsidP="00792B34">
      <w:pPr>
        <w:pStyle w:val="Normalaftertitle"/>
      </w:pPr>
      <w:r w:rsidRPr="00671DAA">
        <w:t xml:space="preserve">Conformément à l'Annexe 2 de la Résolution </w:t>
      </w:r>
      <w:r w:rsidRPr="00671DAA">
        <w:rPr>
          <w:b/>
          <w:bCs/>
        </w:rPr>
        <w:t>552 (CMR-12)</w:t>
      </w:r>
      <w:r w:rsidRPr="00671DAA">
        <w:t xml:space="preserve">, un numéro d'identification UIT est demandé </w:t>
      </w:r>
      <w:r>
        <w:t>pour établir</w:t>
      </w:r>
      <w:r w:rsidRPr="00671DAA">
        <w:t xml:space="preserve"> l'identité de l'engin spatial; ce numéro devrait </w:t>
      </w:r>
      <w:r>
        <w:t>être basé sur le numéro de dossier UIT comme indiqué dans la note de bas de page 2 de ladite Annexe 2.</w:t>
      </w:r>
    </w:p>
    <w:p w:rsidR="00792B34" w:rsidRPr="00B944E8" w:rsidRDefault="00792B34" w:rsidP="00AA031D">
      <w:r>
        <w:t>P</w:t>
      </w:r>
      <w:r w:rsidRPr="00B944E8">
        <w:t xml:space="preserve">our les fiches de notification soumises au titre de la Résolution </w:t>
      </w:r>
      <w:r w:rsidRPr="00B944E8">
        <w:rPr>
          <w:b/>
          <w:bCs/>
        </w:rPr>
        <w:t>552 (</w:t>
      </w:r>
      <w:r>
        <w:rPr>
          <w:b/>
          <w:bCs/>
        </w:rPr>
        <w:t>CMR</w:t>
      </w:r>
      <w:r w:rsidRPr="00B944E8">
        <w:rPr>
          <w:b/>
          <w:bCs/>
        </w:rPr>
        <w:t>-12</w:t>
      </w:r>
      <w:r>
        <w:rPr>
          <w:b/>
          <w:bCs/>
        </w:rPr>
        <w:t>)</w:t>
      </w:r>
      <w:r w:rsidRPr="00792B34">
        <w:t>,</w:t>
      </w:r>
      <w:r w:rsidRPr="00232CBD">
        <w:t xml:space="preserve"> </w:t>
      </w:r>
      <w:r>
        <w:t>l</w:t>
      </w:r>
      <w:r w:rsidRPr="00B944E8">
        <w:t>e numéro de dossier UIT (ou numéro d'identification de</w:t>
      </w:r>
      <w:r>
        <w:t xml:space="preserve"> la fiche de notification SNS)</w:t>
      </w:r>
      <w:r w:rsidRPr="00B944E8">
        <w:t xml:space="preserve"> </w:t>
      </w:r>
      <w:r>
        <w:t>comportera comme chiffre</w:t>
      </w:r>
      <w:r w:rsidR="00AA031D">
        <w:t>s</w:t>
      </w:r>
      <w:r>
        <w:t xml:space="preserve"> du milieu «</w:t>
      </w:r>
      <w:r w:rsidRPr="00B944E8">
        <w:t>593</w:t>
      </w:r>
      <w:r>
        <w:t>»</w:t>
      </w:r>
      <w:r w:rsidRPr="00B944E8">
        <w:t xml:space="preserve"> (</w:t>
      </w:r>
      <w:r>
        <w:t xml:space="preserve">par exemple </w:t>
      </w:r>
      <w:r w:rsidRPr="00B944E8">
        <w:t>113</w:t>
      </w:r>
      <w:r w:rsidRPr="00B944E8">
        <w:rPr>
          <w:u w:val="single"/>
        </w:rPr>
        <w:t>593</w:t>
      </w:r>
      <w:r w:rsidRPr="00B944E8">
        <w:t xml:space="preserve">001) </w:t>
      </w:r>
      <w:r>
        <w:t>qui constituer</w:t>
      </w:r>
      <w:r w:rsidR="00AA031D">
        <w:t>ont</w:t>
      </w:r>
      <w:r>
        <w:t xml:space="preserve"> l'identificateur unique de cette nouvelle série de dossiers</w:t>
      </w:r>
      <w:r w:rsidRPr="00B944E8">
        <w:t>.</w:t>
      </w:r>
    </w:p>
    <w:p w:rsidR="00792B34" w:rsidRPr="00883397" w:rsidRDefault="00792B34" w:rsidP="00AA031D">
      <w:r w:rsidRPr="00883397">
        <w:t>Le numéro d</w:t>
      </w:r>
      <w:r>
        <w:t>'</w:t>
      </w:r>
      <w:r w:rsidRPr="00883397">
        <w:t>identification UIT de l'engin spatial sera donc basé sur le numéro de dossier UIT qui a été attribué à la première soumission des renseignements au titre de la Résolution </w:t>
      </w:r>
      <w:r w:rsidRPr="00C3613E">
        <w:rPr>
          <w:b/>
          <w:bCs/>
        </w:rPr>
        <w:t>552</w:t>
      </w:r>
      <w:r w:rsidRPr="00883397">
        <w:t xml:space="preserve"> pour ce</w:t>
      </w:r>
      <w:r>
        <w:t xml:space="preserve"> dossier, sauf que le</w:t>
      </w:r>
      <w:r w:rsidR="00AA031D">
        <w:t>s</w:t>
      </w:r>
      <w:r>
        <w:t xml:space="preserve"> chiffre</w:t>
      </w:r>
      <w:r w:rsidR="00AA031D">
        <w:t>s</w:t>
      </w:r>
      <w:r>
        <w:t xml:space="preserve"> du milieu</w:t>
      </w:r>
      <w:r w:rsidRPr="00883397">
        <w:t xml:space="preserve"> </w:t>
      </w:r>
      <w:r>
        <w:t>indiquant le type de dossier de la série «593» ser</w:t>
      </w:r>
      <w:r w:rsidR="00AA031D">
        <w:t>ont</w:t>
      </w:r>
      <w:r>
        <w:t xml:space="preserve"> remplacé</w:t>
      </w:r>
      <w:r w:rsidR="00AA031D">
        <w:t>s</w:t>
      </w:r>
      <w:r>
        <w:t xml:space="preserve"> par «</w:t>
      </w:r>
      <w:r w:rsidRPr="00883397">
        <w:rPr>
          <w:u w:val="single"/>
        </w:rPr>
        <w:t>6</w:t>
      </w:r>
      <w:r w:rsidRPr="00883397">
        <w:t>93</w:t>
      </w:r>
      <w:r>
        <w:t>»</w:t>
      </w:r>
      <w:r w:rsidRPr="00883397">
        <w:t xml:space="preserve"> </w:t>
      </w:r>
      <w:r>
        <w:t>et que le premier chiffre sera incrémenté pour l'engin spatial qui sera utilisé ultérieurement pour le dossier, le cas échéant.</w:t>
      </w:r>
    </w:p>
    <w:p w:rsidR="00792B34" w:rsidRPr="00E840A5" w:rsidRDefault="00792B34" w:rsidP="00C3613E">
      <w:r w:rsidRPr="00E840A5">
        <w:t>Par exemple, pour une nouvelle soumission de renseignements au titre de la Résolution </w:t>
      </w:r>
      <w:r w:rsidRPr="00C3613E">
        <w:rPr>
          <w:b/>
          <w:bCs/>
        </w:rPr>
        <w:t>552</w:t>
      </w:r>
      <w:r w:rsidRPr="00E840A5">
        <w:t xml:space="preserve">, reçue en 2013, le numéro de dossier UIT pour la publication au titre de la Résolution </w:t>
      </w:r>
      <w:r w:rsidRPr="00C3613E">
        <w:rPr>
          <w:b/>
          <w:bCs/>
        </w:rPr>
        <w:t>552</w:t>
      </w:r>
      <w:r w:rsidRPr="00E840A5">
        <w:t xml:space="preserve"> sera 113593001 (-13------ </w:t>
      </w:r>
      <w:r>
        <w:t xml:space="preserve">pour </w:t>
      </w:r>
      <w:r w:rsidRPr="00E840A5">
        <w:t xml:space="preserve">2013; </w:t>
      </w:r>
      <w:r>
        <w:t>et</w:t>
      </w:r>
      <w:r w:rsidRPr="00E840A5">
        <w:t xml:space="preserve">---593--- </w:t>
      </w:r>
      <w:r>
        <w:t xml:space="preserve">pour une soumission au titre de la </w:t>
      </w:r>
      <w:r w:rsidRPr="00E840A5">
        <w:t>R</w:t>
      </w:r>
      <w:r>
        <w:t>é</w:t>
      </w:r>
      <w:r w:rsidRPr="00E840A5">
        <w:t xml:space="preserve">solution </w:t>
      </w:r>
      <w:r w:rsidRPr="00E840A5">
        <w:rPr>
          <w:b/>
          <w:bCs/>
        </w:rPr>
        <w:t>552</w:t>
      </w:r>
      <w:r w:rsidR="00C3613E">
        <w:t>)</w:t>
      </w:r>
      <w:r w:rsidRPr="00E840A5">
        <w:t xml:space="preserve"> </w:t>
      </w:r>
      <w:r>
        <w:t xml:space="preserve">et le numéro d'identification UIT pour le premier engin spatial sera </w:t>
      </w:r>
      <w:r w:rsidRPr="00E840A5">
        <w:t xml:space="preserve">113693001 (1-------- </w:t>
      </w:r>
      <w:r>
        <w:t>pour le premier engin spatial</w:t>
      </w:r>
      <w:r w:rsidRPr="00E840A5">
        <w:t xml:space="preserve">; </w:t>
      </w:r>
      <w:r>
        <w:t>et</w:t>
      </w:r>
      <w:r w:rsidR="00C3613E">
        <w:t xml:space="preserve"> </w:t>
      </w:r>
      <w:r w:rsidRPr="00E840A5">
        <w:t xml:space="preserve">---693--- </w:t>
      </w:r>
      <w:r>
        <w:t>pour la série d</w:t>
      </w:r>
      <w:r w:rsidR="00C3613E">
        <w:t>u</w:t>
      </w:r>
      <w:r>
        <w:t xml:space="preserve">  numéro d'identification UIT</w:t>
      </w:r>
      <w:r w:rsidRPr="00E840A5">
        <w:t xml:space="preserve">). </w:t>
      </w:r>
    </w:p>
    <w:p w:rsidR="00792B34" w:rsidRPr="005F3617" w:rsidRDefault="00792B34" w:rsidP="00AA031D">
      <w:r w:rsidRPr="005F3617">
        <w:t xml:space="preserve">Au cas où cet engin spatial serait déplacé </w:t>
      </w:r>
      <w:r>
        <w:t>vers</w:t>
      </w:r>
      <w:r w:rsidRPr="005F3617">
        <w:t xml:space="preserve"> une autre position et aurait une fiche de notification différente et un numéro de dossier UIT différent</w:t>
      </w:r>
      <w:r w:rsidR="00C3613E">
        <w:t>,</w:t>
      </w:r>
      <w:r w:rsidRPr="005F3617">
        <w:t xml:space="preserve"> le numéro d'identification UIT </w:t>
      </w:r>
      <w:r>
        <w:t>de</w:t>
      </w:r>
      <w:r w:rsidRPr="005F3617">
        <w:t xml:space="preserve"> cet </w:t>
      </w:r>
      <w:r>
        <w:t>engin</w:t>
      </w:r>
      <w:r w:rsidRPr="005F3617">
        <w:t xml:space="preserve"> spatial resterait le même (</w:t>
      </w:r>
      <w:r w:rsidRPr="005F3617">
        <w:rPr>
          <w:u w:val="single"/>
        </w:rPr>
        <w:t>1</w:t>
      </w:r>
      <w:r w:rsidRPr="005F3617">
        <w:t>13</w:t>
      </w:r>
      <w:r w:rsidRPr="005F3617">
        <w:rPr>
          <w:u w:val="single"/>
        </w:rPr>
        <w:t>693</w:t>
      </w:r>
      <w:r w:rsidRPr="005F3617">
        <w:t xml:space="preserve">001) </w:t>
      </w:r>
      <w:r>
        <w:t>et l'administration n'aurait pas à fournir</w:t>
      </w:r>
      <w:r w:rsidRPr="005F3617">
        <w:t xml:space="preserve"> </w:t>
      </w:r>
      <w:r w:rsidR="00AA031D">
        <w:t>l</w:t>
      </w:r>
      <w:r w:rsidRPr="005F3617">
        <w:t>es renseignements sur le lancement de l'engin spatial, le fabricant du satellite ou bien encore la fréquence utilisée à bord de l'engin spatial</w:t>
      </w:r>
      <w:r w:rsidR="00C3613E">
        <w:t>,</w:t>
      </w:r>
      <w:r w:rsidRPr="005F3617">
        <w:t xml:space="preserve"> étant donné que ce</w:t>
      </w:r>
      <w:r>
        <w:t>ux</w:t>
      </w:r>
      <w:r w:rsidR="00C3613E">
        <w:t>-</w:t>
      </w:r>
      <w:r>
        <w:t>ci auraient</w:t>
      </w:r>
      <w:r w:rsidRPr="005F3617">
        <w:t xml:space="preserve"> déjà été fournis antérieurement.</w:t>
      </w:r>
    </w:p>
    <w:p w:rsidR="00792B34" w:rsidRPr="00C3613E" w:rsidRDefault="00792B34" w:rsidP="00C3613E">
      <w:r w:rsidRPr="002410F6">
        <w:t>Si l'engin spatial n'est plus utilisé (il est en fin de</w:t>
      </w:r>
      <w:r>
        <w:t xml:space="preserve"> vie ou il a été retiré de son orbite</w:t>
      </w:r>
      <w:r w:rsidRPr="002410F6">
        <w:t xml:space="preserve">, etc.), </w:t>
      </w:r>
      <w:r>
        <w:t>le numéro d'identification UIT</w:t>
      </w:r>
      <w:r w:rsidRPr="002410F6">
        <w:t xml:space="preserve"> 113593001 </w:t>
      </w:r>
      <w:r>
        <w:t>cessera d'être utilisé</w:t>
      </w:r>
      <w:r w:rsidRPr="002410F6">
        <w:t>.</w:t>
      </w:r>
    </w:p>
    <w:p w:rsidR="00CB3583" w:rsidRDefault="00792B34" w:rsidP="00792B34">
      <w:r w:rsidRPr="000868CC">
        <w:t>Le deuxième engin spatial mis en orbite pour le même dossier (</w:t>
      </w:r>
      <w:r>
        <w:t xml:space="preserve">numéro de dossier UIT </w:t>
      </w:r>
      <w:r w:rsidRPr="000868CC">
        <w:t xml:space="preserve">113593001) </w:t>
      </w:r>
      <w:r>
        <w:t>se verra attribuer le numéro d'identification UIT</w:t>
      </w:r>
      <w:r w:rsidRPr="000868CC">
        <w:t xml:space="preserve">: </w:t>
      </w:r>
      <w:r w:rsidRPr="000868CC">
        <w:rPr>
          <w:u w:val="single"/>
        </w:rPr>
        <w:t>2</w:t>
      </w:r>
      <w:r w:rsidRPr="000868CC">
        <w:t>13693001.</w:t>
      </w:r>
    </w:p>
    <w:p w:rsidR="00C3613E" w:rsidRDefault="00C3613E" w:rsidP="00C3613E"/>
    <w:p w:rsidR="00C3613E" w:rsidRDefault="00C3613E" w:rsidP="00C3613E"/>
    <w:p w:rsidR="00C3613E" w:rsidRDefault="00C3613E">
      <w:pPr>
        <w:jc w:val="center"/>
      </w:pPr>
      <w:r>
        <w:t>______________</w:t>
      </w:r>
    </w:p>
    <w:p w:rsidR="00C3613E" w:rsidRPr="005545DB" w:rsidRDefault="00C3613E" w:rsidP="00792B34">
      <w:pPr>
        <w:rPr>
          <w:lang w:val="fr-CH"/>
        </w:rPr>
      </w:pPr>
    </w:p>
    <w:sectPr w:rsidR="00C3613E" w:rsidRPr="005545DB" w:rsidSect="0023788E">
      <w:headerReference w:type="default" r:id="rId11"/>
      <w:footerReference w:type="even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B6" w:rsidRDefault="00203DB6">
      <w:r>
        <w:separator/>
      </w:r>
    </w:p>
  </w:endnote>
  <w:endnote w:type="continuationSeparator" w:id="0">
    <w:p w:rsidR="00203DB6" w:rsidRDefault="0020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Default="006B0C62">
    <w:pPr>
      <w:rPr>
        <w:lang w:val="en-US"/>
      </w:rPr>
    </w:pPr>
    <w:fldSimple w:instr=" FILENAME \p \* MERGEFORMAT ">
      <w:r w:rsidR="00203DB6" w:rsidRPr="00203DB6">
        <w:rPr>
          <w:noProof/>
          <w:lang w:val="en-US"/>
        </w:rPr>
        <w:t>Document2</w:t>
      </w:r>
    </w:fldSimple>
    <w:r w:rsidR="008C5D1D">
      <w:rPr>
        <w:lang w:val="en-US"/>
      </w:rPr>
      <w:tab/>
    </w:r>
    <w:r w:rsidR="00D539A7">
      <w:fldChar w:fldCharType="begin"/>
    </w:r>
    <w:r w:rsidR="008C5D1D">
      <w:instrText xml:space="preserve"> savedate \@ dd.MM.yy </w:instrText>
    </w:r>
    <w:r w:rsidR="00D539A7">
      <w:fldChar w:fldCharType="separate"/>
    </w:r>
    <w:r w:rsidR="00321685">
      <w:rPr>
        <w:noProof/>
      </w:rPr>
      <w:t>30.01.13</w:t>
    </w:r>
    <w:r w:rsidR="00D539A7">
      <w:fldChar w:fldCharType="end"/>
    </w:r>
    <w:r w:rsidR="008C5D1D">
      <w:rPr>
        <w:lang w:val="en-US"/>
      </w:rPr>
      <w:tab/>
    </w:r>
    <w:r w:rsidR="00D539A7">
      <w:fldChar w:fldCharType="begin"/>
    </w:r>
    <w:r w:rsidR="008C5D1D">
      <w:instrText xml:space="preserve"> printdate \@ dd.MM.yy </w:instrText>
    </w:r>
    <w:r w:rsidR="00D539A7">
      <w:fldChar w:fldCharType="separate"/>
    </w:r>
    <w:r w:rsidR="00203DB6">
      <w:rPr>
        <w:noProof/>
      </w:rPr>
      <w:t>17.07.01</w:t>
    </w:r>
    <w:r w:rsidR="00D539A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8C5D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</w:p>
      </w:tc>
    </w:tr>
  </w:tbl>
  <w:p w:rsidR="008C5D1D" w:rsidRDefault="008C5D1D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B6" w:rsidRDefault="00203DB6">
      <w:r>
        <w:t>____________________</w:t>
      </w:r>
    </w:p>
  </w:footnote>
  <w:footnote w:type="continuationSeparator" w:id="0">
    <w:p w:rsidR="00203DB6" w:rsidRDefault="00203DB6">
      <w:r>
        <w:continuationSeparator/>
      </w:r>
    </w:p>
  </w:footnote>
  <w:footnote w:id="1">
    <w:p w:rsidR="00203DB6" w:rsidRPr="00A83F2E" w:rsidRDefault="00203DB6" w:rsidP="00596742">
      <w:pPr>
        <w:pStyle w:val="Note"/>
        <w:rPr>
          <w:lang w:val="fr-CH"/>
        </w:rPr>
      </w:pPr>
      <w:r w:rsidRPr="005545DB">
        <w:rPr>
          <w:rStyle w:val="FootnoteReference"/>
          <w:rFonts w:asciiTheme="majorBidi" w:hAnsiTheme="majorBidi" w:cstheme="majorBidi"/>
        </w:rPr>
        <w:footnoteRef/>
      </w:r>
      <w:r w:rsidR="005545DB">
        <w:rPr>
          <w:lang w:val="fr-CH"/>
        </w:rPr>
        <w:tab/>
      </w:r>
      <w:r w:rsidRPr="00596742">
        <w:rPr>
          <w:sz w:val="22"/>
          <w:szCs w:val="22"/>
          <w:lang w:val="fr-CH"/>
        </w:rPr>
        <w:t xml:space="preserve">Le délai réglementaire spécifié au numéro </w:t>
      </w:r>
      <w:r w:rsidRPr="00596742">
        <w:rPr>
          <w:b/>
          <w:bCs/>
          <w:sz w:val="22"/>
          <w:szCs w:val="22"/>
          <w:lang w:val="fr-CH"/>
        </w:rPr>
        <w:t>11.44</w:t>
      </w:r>
      <w:r w:rsidRPr="00596742">
        <w:rPr>
          <w:sz w:val="22"/>
          <w:szCs w:val="22"/>
          <w:lang w:val="fr-CH"/>
        </w:rPr>
        <w:t xml:space="preserve"> est de sept (7) ans. Les §</w:t>
      </w:r>
      <w:r w:rsidR="005545DB" w:rsidRPr="00596742">
        <w:rPr>
          <w:sz w:val="22"/>
          <w:szCs w:val="22"/>
          <w:lang w:val="fr-CH"/>
        </w:rPr>
        <w:t xml:space="preserve"> </w:t>
      </w:r>
      <w:r w:rsidRPr="00596742">
        <w:rPr>
          <w:sz w:val="22"/>
          <w:szCs w:val="22"/>
          <w:lang w:val="fr-CH"/>
        </w:rPr>
        <w:t xml:space="preserve">4.1.3 et 4.2.6 des Appendices </w:t>
      </w:r>
      <w:r w:rsidRPr="00596742">
        <w:rPr>
          <w:b/>
          <w:bCs/>
          <w:sz w:val="22"/>
          <w:szCs w:val="22"/>
          <w:lang w:val="fr-CH"/>
        </w:rPr>
        <w:t>30</w:t>
      </w:r>
      <w:r w:rsidRPr="00596742">
        <w:rPr>
          <w:sz w:val="22"/>
          <w:szCs w:val="22"/>
          <w:lang w:val="fr-CH"/>
        </w:rPr>
        <w:t xml:space="preserve"> et </w:t>
      </w:r>
      <w:r w:rsidRPr="00596742">
        <w:rPr>
          <w:b/>
          <w:bCs/>
          <w:sz w:val="22"/>
          <w:szCs w:val="22"/>
          <w:lang w:val="fr-CH"/>
        </w:rPr>
        <w:t>30A</w:t>
      </w:r>
      <w:r w:rsidRPr="00596742">
        <w:rPr>
          <w:sz w:val="22"/>
          <w:szCs w:val="22"/>
          <w:lang w:val="fr-CH"/>
        </w:rPr>
        <w:t xml:space="preserve"> fixent un délai r</w:t>
      </w:r>
      <w:r w:rsidR="005545DB" w:rsidRPr="00596742">
        <w:rPr>
          <w:sz w:val="22"/>
          <w:szCs w:val="22"/>
          <w:lang w:val="fr-CH"/>
        </w:rPr>
        <w:t>é</w:t>
      </w:r>
      <w:r w:rsidRPr="00596742">
        <w:rPr>
          <w:sz w:val="22"/>
          <w:szCs w:val="22"/>
          <w:lang w:val="fr-CH"/>
        </w:rPr>
        <w:t>glementaire de huit (8) ans. Le §</w:t>
      </w:r>
      <w:r w:rsidR="005545DB" w:rsidRPr="00596742">
        <w:rPr>
          <w:sz w:val="22"/>
          <w:szCs w:val="22"/>
          <w:lang w:val="fr-CH"/>
        </w:rPr>
        <w:t xml:space="preserve"> </w:t>
      </w:r>
      <w:r w:rsidRPr="00596742">
        <w:rPr>
          <w:sz w:val="22"/>
          <w:szCs w:val="22"/>
          <w:lang w:val="fr-CH"/>
        </w:rPr>
        <w:t>6.1 de l</w:t>
      </w:r>
      <w:r w:rsidR="005545DB" w:rsidRPr="00596742">
        <w:rPr>
          <w:sz w:val="22"/>
          <w:szCs w:val="22"/>
          <w:lang w:val="fr-CH"/>
        </w:rPr>
        <w:t>'</w:t>
      </w:r>
      <w:r w:rsidRPr="00596742">
        <w:rPr>
          <w:sz w:val="22"/>
          <w:szCs w:val="22"/>
          <w:lang w:val="fr-CH"/>
        </w:rPr>
        <w:t xml:space="preserve">Appendice </w:t>
      </w:r>
      <w:r w:rsidRPr="00596742">
        <w:rPr>
          <w:b/>
          <w:bCs/>
          <w:sz w:val="22"/>
          <w:szCs w:val="22"/>
          <w:lang w:val="fr-CH"/>
        </w:rPr>
        <w:t xml:space="preserve">30B </w:t>
      </w:r>
      <w:r w:rsidRPr="00596742">
        <w:rPr>
          <w:sz w:val="22"/>
          <w:szCs w:val="22"/>
          <w:lang w:val="fr-CH"/>
        </w:rPr>
        <w:t>fixe lui aussi un</w:t>
      </w:r>
      <w:r w:rsidRPr="00596742">
        <w:rPr>
          <w:b/>
          <w:bCs/>
          <w:sz w:val="22"/>
          <w:szCs w:val="22"/>
          <w:lang w:val="fr-CH"/>
        </w:rPr>
        <w:t xml:space="preserve"> </w:t>
      </w:r>
      <w:r w:rsidRPr="00596742">
        <w:rPr>
          <w:sz w:val="22"/>
          <w:szCs w:val="22"/>
          <w:lang w:val="fr-CH"/>
        </w:rPr>
        <w:t>délai réglementaire de huit ans.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1D" w:rsidRDefault="008C5D1D">
    <w:pPr>
      <w:pStyle w:val="Header"/>
      <w:rPr>
        <w:rStyle w:val="PageNumber"/>
      </w:rPr>
    </w:pPr>
    <w:r>
      <w:rPr>
        <w:lang w:val="en-US"/>
      </w:rPr>
      <w:t xml:space="preserve">- </w:t>
    </w:r>
    <w:r w:rsidR="00D539A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39A7">
      <w:rPr>
        <w:rStyle w:val="PageNumber"/>
      </w:rPr>
      <w:fldChar w:fldCharType="separate"/>
    </w:r>
    <w:r w:rsidR="001D7FD6">
      <w:rPr>
        <w:rStyle w:val="PageNumber"/>
        <w:noProof/>
      </w:rPr>
      <w:t>6</w:t>
    </w:r>
    <w:r w:rsidR="00D539A7">
      <w:rPr>
        <w:rStyle w:val="PageNumber"/>
      </w:rPr>
      <w:fldChar w:fldCharType="end"/>
    </w:r>
    <w:r>
      <w:rPr>
        <w:rStyle w:val="PageNumber"/>
      </w:rPr>
      <w:t xml:space="preserve"> -</w:t>
    </w:r>
  </w:p>
  <w:p w:rsidR="008C5D1D" w:rsidRPr="008C5D1D" w:rsidRDefault="008C5D1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BC44EB1"/>
    <w:multiLevelType w:val="hybridMultilevel"/>
    <w:tmpl w:val="2B7C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B6"/>
    <w:rsid w:val="001D7FD6"/>
    <w:rsid w:val="00203DB6"/>
    <w:rsid w:val="0023788E"/>
    <w:rsid w:val="002E71D7"/>
    <w:rsid w:val="003203D8"/>
    <w:rsid w:val="00321685"/>
    <w:rsid w:val="005545DB"/>
    <w:rsid w:val="00596742"/>
    <w:rsid w:val="006B0C62"/>
    <w:rsid w:val="00792B34"/>
    <w:rsid w:val="008C5D1D"/>
    <w:rsid w:val="00937BA1"/>
    <w:rsid w:val="009B4404"/>
    <w:rsid w:val="00A10043"/>
    <w:rsid w:val="00A2257B"/>
    <w:rsid w:val="00AA031D"/>
    <w:rsid w:val="00AA5B42"/>
    <w:rsid w:val="00B257A5"/>
    <w:rsid w:val="00B46582"/>
    <w:rsid w:val="00BF3EC6"/>
    <w:rsid w:val="00C34E87"/>
    <w:rsid w:val="00C3613E"/>
    <w:rsid w:val="00CB3583"/>
    <w:rsid w:val="00CB743B"/>
    <w:rsid w:val="00CD5BB4"/>
    <w:rsid w:val="00D539A7"/>
    <w:rsid w:val="00DD79CA"/>
    <w:rsid w:val="00E25073"/>
    <w:rsid w:val="00FA7B4D"/>
    <w:rsid w:val="00FE0632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03D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DB6"/>
    <w:rPr>
      <w:rFonts w:ascii="Tahoma" w:hAnsi="Tahoma" w:cs="Tahoma"/>
      <w:sz w:val="16"/>
      <w:szCs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203DB6"/>
    <w:rPr>
      <w:rFonts w:ascii="Times New Roman" w:hAnsi="Times New Roman"/>
      <w:sz w:val="24"/>
      <w:lang w:val="fr-FR" w:eastAsia="en-US"/>
    </w:rPr>
  </w:style>
  <w:style w:type="character" w:styleId="Hyperlink">
    <w:name w:val="Hyperlink"/>
    <w:rsid w:val="00203D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customStyle="1" w:styleId="Reasons">
    <w:name w:val="Reasons"/>
    <w:basedOn w:val="Normal"/>
    <w:qFormat/>
    <w:rsid w:val="00C361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1D7F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03D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DB6"/>
    <w:rPr>
      <w:rFonts w:ascii="Tahoma" w:hAnsi="Tahoma" w:cs="Tahoma"/>
      <w:sz w:val="16"/>
      <w:szCs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203DB6"/>
    <w:rPr>
      <w:rFonts w:ascii="Times New Roman" w:hAnsi="Times New Roman"/>
      <w:sz w:val="24"/>
      <w:lang w:val="fr-FR" w:eastAsia="en-US"/>
    </w:rPr>
  </w:style>
  <w:style w:type="character" w:styleId="Hyperlink">
    <w:name w:val="Hyperlink"/>
    <w:rsid w:val="00203D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D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paragraph" w:customStyle="1" w:styleId="Reasons">
    <w:name w:val="Reasons"/>
    <w:basedOn w:val="Normal"/>
    <w:qFormat/>
    <w:rsid w:val="00C361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1D7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net/ITU-R/space/snl/list1149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net/ITU-R/space/snl/listinuse/index.as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.ITU_USERS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3</TotalTime>
  <Pages>6</Pages>
  <Words>2830</Words>
  <Characters>15093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6" baseType="lpstr">
      <vt:lpstr>UNION INTERNATIONALE DES TÉLÉCOMMUNICATIONS</vt:lpstr>
      <vt:lpstr>1	Introduction</vt:lpstr>
      <vt:lpstr>2	Mise en service</vt:lpstr>
      <vt:lpstr>3	Suspension</vt:lpstr>
      <vt:lpstr>4	Demande d'application du numéro 11.41</vt:lpstr>
      <vt:lpstr>5	Annexe 2 de la Résolution 552 (CMR-12): Identité de l'engin spatial</vt:lpstr>
    </vt:vector>
  </TitlesOfParts>
  <Company>ITU</Company>
  <LinksUpToDate>false</LinksUpToDate>
  <CharactersWithSpaces>17888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Bhandary</dc:creator>
  <cp:keywords/>
  <dc:description/>
  <cp:lastModifiedBy>Mondino, Martine</cp:lastModifiedBy>
  <cp:revision>4</cp:revision>
  <cp:lastPrinted>2001-07-17T10:54:00Z</cp:lastPrinted>
  <dcterms:created xsi:type="dcterms:W3CDTF">2013-01-30T13:49:00Z</dcterms:created>
  <dcterms:modified xsi:type="dcterms:W3CDTF">2013-01-30T13:52:00Z</dcterms:modified>
</cp:coreProperties>
</file>