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953B0" w:rsidTr="00E23FEB">
        <w:tc>
          <w:tcPr>
            <w:tcW w:w="8188" w:type="dxa"/>
            <w:shd w:val="clear" w:color="auto" w:fill="auto"/>
            <w:vAlign w:val="center"/>
          </w:tcPr>
          <w:p w:rsidR="00D35752" w:rsidRPr="003953B0" w:rsidRDefault="00D35752" w:rsidP="00E23FEB">
            <w:pPr>
              <w:spacing w:before="0"/>
            </w:pPr>
            <w:r w:rsidRPr="00E23FEB">
              <w:rPr>
                <w:rFonts w:ascii="Futura Lt BT" w:hAnsi="Futura Lt BT"/>
                <w:sz w:val="44"/>
              </w:rPr>
              <w:t>I</w:t>
            </w:r>
            <w:r w:rsidRPr="00E23FEB">
              <w:rPr>
                <w:rFonts w:ascii="Futura Lt BT" w:hAnsi="Futura Lt BT"/>
                <w:sz w:val="36"/>
              </w:rPr>
              <w:t xml:space="preserve">NTERNATIONAL </w:t>
            </w:r>
            <w:r w:rsidRPr="00E23FEB">
              <w:rPr>
                <w:rFonts w:ascii="Futura Lt BT" w:hAnsi="Futura Lt BT"/>
                <w:sz w:val="44"/>
              </w:rPr>
              <w:t>T</w:t>
            </w:r>
            <w:r w:rsidRPr="00E23FEB">
              <w:rPr>
                <w:rFonts w:ascii="Futura Lt BT" w:hAnsi="Futura Lt BT"/>
                <w:sz w:val="36"/>
              </w:rPr>
              <w:t xml:space="preserve">ELECOMMUNICATION </w:t>
            </w:r>
            <w:r w:rsidRPr="00E23FEB">
              <w:rPr>
                <w:rFonts w:ascii="Futura Lt BT" w:hAnsi="Futura Lt BT"/>
                <w:sz w:val="44"/>
              </w:rPr>
              <w:t>U</w:t>
            </w:r>
            <w:r w:rsidRPr="00E23FEB"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  <w:shd w:val="clear" w:color="auto" w:fill="auto"/>
          </w:tcPr>
          <w:p w:rsidR="00D35752" w:rsidRPr="003953B0" w:rsidRDefault="00241488" w:rsidP="00E23FE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8FE29E" wp14:editId="6CF59ED6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FEB" w:rsidRPr="00E23FEB" w:rsidRDefault="00E23FEB" w:rsidP="00E23FEB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3953B0">
        <w:trPr>
          <w:cantSplit/>
        </w:trPr>
        <w:tc>
          <w:tcPr>
            <w:tcW w:w="5075" w:type="dxa"/>
          </w:tcPr>
          <w:p w:rsidR="00B87E04" w:rsidRPr="00382653" w:rsidRDefault="00B87E04">
            <w:pPr>
              <w:rPr>
                <w:b/>
                <w:smallCaps/>
                <w:sz w:val="20"/>
                <w:lang w:val="fr-CH"/>
              </w:rPr>
            </w:pPr>
            <w:r w:rsidRPr="00382653">
              <w:rPr>
                <w:i/>
                <w:sz w:val="28"/>
                <w:lang w:val="fr-CH"/>
              </w:rPr>
              <w:t>Radiocommunication Bureau</w:t>
            </w:r>
          </w:p>
          <w:p w:rsidR="00B87E04" w:rsidRPr="003953B0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382653">
              <w:rPr>
                <w:b/>
                <w:sz w:val="18"/>
                <w:lang w:val="fr-CH"/>
              </w:rPr>
              <w:tab/>
            </w:r>
            <w:r w:rsidRPr="00382653">
              <w:rPr>
                <w:i/>
                <w:sz w:val="18"/>
                <w:lang w:val="fr-CH"/>
              </w:rPr>
              <w:t xml:space="preserve">(Direct Fax N°. </w:t>
            </w:r>
            <w:r w:rsidRPr="003953B0">
              <w:rPr>
                <w:i/>
                <w:sz w:val="18"/>
              </w:rPr>
              <w:t>+41 22 730 57 85)</w:t>
            </w:r>
          </w:p>
        </w:tc>
      </w:tr>
    </w:tbl>
    <w:p w:rsidR="00B87E04" w:rsidRPr="003953B0" w:rsidRDefault="00B87E04">
      <w:pPr>
        <w:tabs>
          <w:tab w:val="left" w:pos="7513"/>
        </w:tabs>
      </w:pPr>
    </w:p>
    <w:p w:rsidR="00D35752" w:rsidRPr="003953B0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DB68BE">
        <w:trPr>
          <w:cantSplit/>
        </w:trPr>
        <w:tc>
          <w:tcPr>
            <w:tcW w:w="2518" w:type="dxa"/>
          </w:tcPr>
          <w:p w:rsidR="00B87E04" w:rsidRPr="00DB68BE" w:rsidRDefault="003953B0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DB68BE">
              <w:t>Circular Letter</w:t>
            </w:r>
          </w:p>
          <w:p w:rsidR="0071106C" w:rsidRPr="00DB68BE" w:rsidRDefault="003953B0" w:rsidP="00F53CE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B68BE">
              <w:rPr>
                <w:b/>
                <w:bCs/>
              </w:rPr>
              <w:t>CR/</w:t>
            </w:r>
            <w:r w:rsidR="00F53CE6">
              <w:rPr>
                <w:b/>
                <w:bCs/>
              </w:rPr>
              <w:t>343</w:t>
            </w:r>
          </w:p>
        </w:tc>
        <w:tc>
          <w:tcPr>
            <w:tcW w:w="7502" w:type="dxa"/>
          </w:tcPr>
          <w:p w:rsidR="00B87E04" w:rsidRPr="00DB68BE" w:rsidRDefault="00382653" w:rsidP="00250EA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31</w:t>
            </w:r>
            <w:r w:rsidR="00250EA1">
              <w:rPr>
                <w:bCs/>
              </w:rPr>
              <w:t xml:space="preserve"> January</w:t>
            </w:r>
            <w:r w:rsidR="003953B0" w:rsidRPr="00DB68BE">
              <w:rPr>
                <w:bCs/>
              </w:rPr>
              <w:t xml:space="preserve"> 20</w:t>
            </w:r>
            <w:r w:rsidR="001B57E7" w:rsidRPr="00DB68BE">
              <w:rPr>
                <w:bCs/>
              </w:rPr>
              <w:t>1</w:t>
            </w:r>
            <w:r w:rsidR="00033A75">
              <w:rPr>
                <w:bCs/>
              </w:rPr>
              <w:t>3</w:t>
            </w:r>
          </w:p>
        </w:tc>
      </w:tr>
    </w:tbl>
    <w:p w:rsidR="005274C9" w:rsidRPr="00DB68BE" w:rsidRDefault="005274C9" w:rsidP="00966070">
      <w:pPr>
        <w:pStyle w:val="Tabletitle"/>
        <w:keepNext w:val="0"/>
        <w:keepLines w:val="0"/>
        <w:spacing w:before="120" w:after="0"/>
        <w:rPr>
          <w:bCs/>
        </w:rPr>
      </w:pPr>
      <w:r w:rsidRPr="00DB68BE">
        <w:rPr>
          <w:bCs/>
        </w:rPr>
        <w:t xml:space="preserve">To </w:t>
      </w:r>
      <w:r w:rsidR="00F358D4">
        <w:rPr>
          <w:bCs/>
        </w:rPr>
        <w:t>a</w:t>
      </w:r>
      <w:r w:rsidRPr="00DB68BE">
        <w:rPr>
          <w:bCs/>
        </w:rPr>
        <w:t>dministrations of Member States of ITU</w:t>
      </w:r>
    </w:p>
    <w:p w:rsidR="005274C9" w:rsidRPr="00DB68BE" w:rsidRDefault="005274C9" w:rsidP="005274C9">
      <w:pPr>
        <w:pStyle w:val="Tabletext"/>
      </w:pPr>
    </w:p>
    <w:p w:rsidR="005274C9" w:rsidRPr="00DB68BE" w:rsidRDefault="005274C9" w:rsidP="00F53CE6">
      <w:pPr>
        <w:pStyle w:val="Tabletext"/>
      </w:pPr>
    </w:p>
    <w:p w:rsidR="005274C9" w:rsidRPr="00DB68BE" w:rsidRDefault="005274C9" w:rsidP="00D20465">
      <w:pPr>
        <w:tabs>
          <w:tab w:val="clear" w:pos="794"/>
          <w:tab w:val="clear" w:pos="1191"/>
        </w:tabs>
        <w:ind w:left="1418" w:hanging="1418"/>
      </w:pPr>
      <w:r w:rsidRPr="00DB68BE">
        <w:rPr>
          <w:b/>
        </w:rPr>
        <w:t>Subject</w:t>
      </w:r>
      <w:r w:rsidRPr="00DB68BE">
        <w:t>:</w:t>
      </w:r>
      <w:r w:rsidRPr="00DB68BE">
        <w:tab/>
      </w:r>
      <w:r w:rsidR="0080541A">
        <w:t>Implementation</w:t>
      </w:r>
      <w:r w:rsidR="00D20465">
        <w:t xml:space="preserve"> of provisions relating to the b</w:t>
      </w:r>
      <w:r w:rsidR="0080541A">
        <w:t xml:space="preserve">ringing into use and suspension of </w:t>
      </w:r>
      <w:r w:rsidR="000127D4">
        <w:t>a frequency assignment</w:t>
      </w:r>
      <w:r w:rsidR="0080541A">
        <w:t xml:space="preserve"> </w:t>
      </w:r>
      <w:r w:rsidR="00D20465">
        <w:t>to</w:t>
      </w:r>
      <w:r w:rsidR="0080541A">
        <w:t xml:space="preserve"> a spa</w:t>
      </w:r>
      <w:r w:rsidR="00D20465">
        <w:t>ce station in the geostationary-</w:t>
      </w:r>
      <w:r w:rsidR="0080541A">
        <w:t>satellite orbit</w:t>
      </w:r>
    </w:p>
    <w:p w:rsidR="005274C9" w:rsidRPr="00DB68BE" w:rsidRDefault="005274C9" w:rsidP="001B57E7">
      <w:pPr>
        <w:tabs>
          <w:tab w:val="clear" w:pos="794"/>
          <w:tab w:val="clear" w:pos="1191"/>
        </w:tabs>
        <w:spacing w:before="240"/>
        <w:ind w:left="1418" w:hanging="1418"/>
      </w:pPr>
    </w:p>
    <w:p w:rsidR="005274C9" w:rsidRPr="00DB68BE" w:rsidRDefault="005274C9" w:rsidP="005274C9">
      <w:pPr>
        <w:spacing w:before="480"/>
        <w:rPr>
          <w:b/>
          <w:bCs/>
        </w:rPr>
      </w:pPr>
      <w:r w:rsidRPr="00DB68BE">
        <w:rPr>
          <w:b/>
          <w:bCs/>
        </w:rPr>
        <w:t>To the Director-General</w:t>
      </w:r>
    </w:p>
    <w:p w:rsidR="005274C9" w:rsidRPr="00DB68BE" w:rsidRDefault="005274C9" w:rsidP="00A41C86">
      <w:pPr>
        <w:pStyle w:val="Index1"/>
        <w:spacing w:before="240" w:after="120"/>
      </w:pPr>
      <w:r w:rsidRPr="00DB68BE">
        <w:t>Dear Sir/Madam,</w:t>
      </w:r>
    </w:p>
    <w:p w:rsidR="005274C9" w:rsidRPr="00DB68BE" w:rsidRDefault="005274C9" w:rsidP="00C23C30">
      <w:pPr>
        <w:pStyle w:val="Index1"/>
        <w:tabs>
          <w:tab w:val="clear" w:pos="794"/>
          <w:tab w:val="left" w:pos="851"/>
        </w:tabs>
        <w:spacing w:before="480" w:after="240"/>
        <w:rPr>
          <w:b/>
          <w:bCs/>
        </w:rPr>
      </w:pPr>
      <w:r w:rsidRPr="00DB68BE">
        <w:rPr>
          <w:b/>
          <w:bCs/>
        </w:rPr>
        <w:t>1</w:t>
      </w:r>
      <w:r w:rsidRPr="00DB68BE">
        <w:rPr>
          <w:b/>
          <w:bCs/>
        </w:rPr>
        <w:tab/>
        <w:t>Introduction</w:t>
      </w:r>
    </w:p>
    <w:p w:rsidR="0080541A" w:rsidRPr="00ED1B89" w:rsidRDefault="005274C9" w:rsidP="009D5213">
      <w:pPr>
        <w:spacing w:before="0" w:after="240"/>
        <w:rPr>
          <w:szCs w:val="24"/>
        </w:rPr>
      </w:pPr>
      <w:r w:rsidRPr="00DB68BE">
        <w:t>1.1</w:t>
      </w:r>
      <w:r w:rsidRPr="00DB68BE">
        <w:tab/>
      </w:r>
      <w:r w:rsidR="009C2F8E" w:rsidRPr="00DB68BE">
        <w:t xml:space="preserve">The </w:t>
      </w:r>
      <w:r w:rsidRPr="00DB68BE">
        <w:t xml:space="preserve">World </w:t>
      </w:r>
      <w:proofErr w:type="spellStart"/>
      <w:r w:rsidRPr="00DB68BE">
        <w:t>Radiocommunication</w:t>
      </w:r>
      <w:proofErr w:type="spellEnd"/>
      <w:r w:rsidRPr="00DB68BE">
        <w:t xml:space="preserve"> Conference (Geneva, 20</w:t>
      </w:r>
      <w:r w:rsidR="001B57E7" w:rsidRPr="00DB68BE">
        <w:t>12</w:t>
      </w:r>
      <w:r w:rsidRPr="00DB68BE">
        <w:t>) (WRC-</w:t>
      </w:r>
      <w:r w:rsidR="001B57E7" w:rsidRPr="00DB68BE">
        <w:t>12</w:t>
      </w:r>
      <w:r w:rsidR="006B2AC7" w:rsidRPr="00DB68BE">
        <w:t xml:space="preserve">) </w:t>
      </w:r>
      <w:r w:rsidR="0080541A" w:rsidRPr="00ED1B89">
        <w:rPr>
          <w:szCs w:val="24"/>
        </w:rPr>
        <w:t xml:space="preserve">introduced additional provisions </w:t>
      </w:r>
      <w:r w:rsidR="00966070">
        <w:rPr>
          <w:szCs w:val="24"/>
        </w:rPr>
        <w:t xml:space="preserve">in the Radio Regulations, namely </w:t>
      </w:r>
      <w:r w:rsidR="0080541A" w:rsidRPr="00ED1B89">
        <w:rPr>
          <w:szCs w:val="24"/>
        </w:rPr>
        <w:t xml:space="preserve">No. </w:t>
      </w:r>
      <w:r w:rsidR="0080541A" w:rsidRPr="003C2A9C">
        <w:rPr>
          <w:b/>
          <w:bCs/>
          <w:szCs w:val="24"/>
        </w:rPr>
        <w:t>11.44.2</w:t>
      </w:r>
      <w:r w:rsidR="0080541A" w:rsidRPr="00ED1B89">
        <w:rPr>
          <w:szCs w:val="24"/>
        </w:rPr>
        <w:t xml:space="preserve"> and No.</w:t>
      </w:r>
      <w:r w:rsidR="00966070">
        <w:rPr>
          <w:szCs w:val="24"/>
        </w:rPr>
        <w:t> </w:t>
      </w:r>
      <w:r w:rsidR="0080541A" w:rsidRPr="003C2A9C">
        <w:rPr>
          <w:b/>
          <w:bCs/>
          <w:szCs w:val="24"/>
        </w:rPr>
        <w:t>11.44B</w:t>
      </w:r>
      <w:r w:rsidR="00966070" w:rsidRPr="00B64F97">
        <w:rPr>
          <w:szCs w:val="24"/>
        </w:rPr>
        <w:t>, in order</w:t>
      </w:r>
      <w:r w:rsidR="0080541A" w:rsidRPr="00ED1B89">
        <w:rPr>
          <w:szCs w:val="24"/>
        </w:rPr>
        <w:t xml:space="preserve"> to better define the bringing into use of </w:t>
      </w:r>
      <w:r w:rsidR="00966070">
        <w:rPr>
          <w:szCs w:val="24"/>
        </w:rPr>
        <w:t xml:space="preserve">a </w:t>
      </w:r>
      <w:r w:rsidR="001C19B1">
        <w:rPr>
          <w:szCs w:val="24"/>
        </w:rPr>
        <w:t>frequency assignment</w:t>
      </w:r>
      <w:r w:rsidR="00D20465">
        <w:rPr>
          <w:szCs w:val="24"/>
        </w:rPr>
        <w:t xml:space="preserve"> to a </w:t>
      </w:r>
      <w:r w:rsidR="0080541A" w:rsidRPr="00ED1B89">
        <w:rPr>
          <w:szCs w:val="24"/>
        </w:rPr>
        <w:t>space station in th</w:t>
      </w:r>
      <w:r w:rsidR="0080541A">
        <w:rPr>
          <w:szCs w:val="24"/>
        </w:rPr>
        <w:t>e geostationary-satellite orbit</w:t>
      </w:r>
      <w:r w:rsidR="00D92033">
        <w:rPr>
          <w:szCs w:val="24"/>
        </w:rPr>
        <w:t xml:space="preserve"> (GSO)</w:t>
      </w:r>
      <w:r w:rsidR="0080541A">
        <w:rPr>
          <w:szCs w:val="24"/>
        </w:rPr>
        <w:t xml:space="preserve">. </w:t>
      </w:r>
      <w:r w:rsidR="007371E6">
        <w:rPr>
          <w:szCs w:val="24"/>
        </w:rPr>
        <w:t>In addition</w:t>
      </w:r>
      <w:r w:rsidR="00966070">
        <w:rPr>
          <w:szCs w:val="24"/>
        </w:rPr>
        <w:t>,</w:t>
      </w:r>
      <w:r w:rsidR="007371E6">
        <w:rPr>
          <w:szCs w:val="24"/>
        </w:rPr>
        <w:t xml:space="preserve"> </w:t>
      </w:r>
      <w:r w:rsidR="00250EA1">
        <w:rPr>
          <w:szCs w:val="24"/>
        </w:rPr>
        <w:t xml:space="preserve">item </w:t>
      </w:r>
      <w:r w:rsidR="007371E6">
        <w:rPr>
          <w:szCs w:val="24"/>
        </w:rPr>
        <w:t>A.2.</w:t>
      </w:r>
      <w:proofErr w:type="spellStart"/>
      <w:r w:rsidR="007371E6">
        <w:rPr>
          <w:szCs w:val="24"/>
        </w:rPr>
        <w:t>a</w:t>
      </w:r>
      <w:proofErr w:type="spellEnd"/>
      <w:r w:rsidR="007371E6">
        <w:rPr>
          <w:szCs w:val="24"/>
        </w:rPr>
        <w:t xml:space="preserve"> of Appendix </w:t>
      </w:r>
      <w:r w:rsidR="007371E6" w:rsidRPr="00E25915">
        <w:rPr>
          <w:b/>
          <w:bCs/>
          <w:szCs w:val="24"/>
        </w:rPr>
        <w:t>4</w:t>
      </w:r>
      <w:r w:rsidR="007371E6">
        <w:rPr>
          <w:szCs w:val="24"/>
        </w:rPr>
        <w:t xml:space="preserve"> was modified in order to make a reference to </w:t>
      </w:r>
      <w:proofErr w:type="spellStart"/>
      <w:r w:rsidR="007371E6" w:rsidRPr="00ED1B89">
        <w:rPr>
          <w:szCs w:val="24"/>
        </w:rPr>
        <w:t>No</w:t>
      </w:r>
      <w:r w:rsidR="00966070">
        <w:rPr>
          <w:szCs w:val="24"/>
        </w:rPr>
        <w:t>s</w:t>
      </w:r>
      <w:proofErr w:type="spellEnd"/>
      <w:r w:rsidR="007371E6" w:rsidRPr="00ED1B89">
        <w:rPr>
          <w:szCs w:val="24"/>
        </w:rPr>
        <w:t xml:space="preserve"> </w:t>
      </w:r>
      <w:r w:rsidR="007371E6" w:rsidRPr="003C2A9C">
        <w:rPr>
          <w:b/>
          <w:bCs/>
          <w:szCs w:val="24"/>
        </w:rPr>
        <w:t>11.44.2</w:t>
      </w:r>
      <w:r w:rsidR="007371E6" w:rsidRPr="00ED1B89">
        <w:rPr>
          <w:szCs w:val="24"/>
        </w:rPr>
        <w:t xml:space="preserve"> and </w:t>
      </w:r>
      <w:r w:rsidR="007371E6" w:rsidRPr="003C2A9C">
        <w:rPr>
          <w:b/>
          <w:bCs/>
          <w:szCs w:val="24"/>
        </w:rPr>
        <w:t>11.44B</w:t>
      </w:r>
      <w:r w:rsidR="007371E6" w:rsidRPr="00ED1B89">
        <w:rPr>
          <w:szCs w:val="24"/>
        </w:rPr>
        <w:t xml:space="preserve"> </w:t>
      </w:r>
      <w:r w:rsidR="00966070">
        <w:rPr>
          <w:szCs w:val="24"/>
        </w:rPr>
        <w:t>in determining</w:t>
      </w:r>
      <w:r w:rsidR="007371E6">
        <w:rPr>
          <w:szCs w:val="24"/>
        </w:rPr>
        <w:t xml:space="preserve"> the date of bringing into use </w:t>
      </w:r>
      <w:r w:rsidR="00966070">
        <w:rPr>
          <w:szCs w:val="24"/>
        </w:rPr>
        <w:t xml:space="preserve">of </w:t>
      </w:r>
      <w:r w:rsidR="007371E6">
        <w:rPr>
          <w:szCs w:val="24"/>
        </w:rPr>
        <w:t>a frequency assignment to a GSO space station</w:t>
      </w:r>
      <w:r w:rsidR="00966070">
        <w:rPr>
          <w:szCs w:val="24"/>
        </w:rPr>
        <w:t>,</w:t>
      </w:r>
      <w:r w:rsidR="007371E6">
        <w:rPr>
          <w:szCs w:val="24"/>
        </w:rPr>
        <w:t xml:space="preserve"> including frequency assignments in Appendi</w:t>
      </w:r>
      <w:r w:rsidR="00966070">
        <w:rPr>
          <w:szCs w:val="24"/>
        </w:rPr>
        <w:t>ces</w:t>
      </w:r>
      <w:r w:rsidR="007371E6">
        <w:rPr>
          <w:szCs w:val="24"/>
        </w:rPr>
        <w:t xml:space="preserve"> </w:t>
      </w:r>
      <w:r w:rsidR="007371E6" w:rsidRPr="00E25915">
        <w:rPr>
          <w:b/>
          <w:bCs/>
          <w:szCs w:val="24"/>
        </w:rPr>
        <w:t>30</w:t>
      </w:r>
      <w:r w:rsidR="007371E6">
        <w:rPr>
          <w:szCs w:val="24"/>
        </w:rPr>
        <w:t xml:space="preserve">, </w:t>
      </w:r>
      <w:r w:rsidR="007371E6" w:rsidRPr="00E25915">
        <w:rPr>
          <w:b/>
          <w:bCs/>
          <w:szCs w:val="24"/>
        </w:rPr>
        <w:t>30A</w:t>
      </w:r>
      <w:r w:rsidR="007371E6">
        <w:rPr>
          <w:szCs w:val="24"/>
        </w:rPr>
        <w:t xml:space="preserve"> and </w:t>
      </w:r>
      <w:r w:rsidR="007371E6" w:rsidRPr="00E25915">
        <w:rPr>
          <w:b/>
          <w:bCs/>
          <w:szCs w:val="24"/>
        </w:rPr>
        <w:t>30B</w:t>
      </w:r>
      <w:r w:rsidR="007371E6">
        <w:rPr>
          <w:szCs w:val="24"/>
        </w:rPr>
        <w:t xml:space="preserve">. </w:t>
      </w:r>
      <w:r w:rsidR="0080541A">
        <w:rPr>
          <w:szCs w:val="24"/>
        </w:rPr>
        <w:t>WRC-12 also modified No.</w:t>
      </w:r>
      <w:r w:rsidR="00966070">
        <w:rPr>
          <w:szCs w:val="24"/>
        </w:rPr>
        <w:t> </w:t>
      </w:r>
      <w:r w:rsidR="0080541A" w:rsidRPr="003C2A9C">
        <w:rPr>
          <w:b/>
          <w:bCs/>
          <w:szCs w:val="24"/>
        </w:rPr>
        <w:t>11.49</w:t>
      </w:r>
      <w:r w:rsidR="0080541A">
        <w:rPr>
          <w:szCs w:val="24"/>
        </w:rPr>
        <w:t xml:space="preserve"> and added No.</w:t>
      </w:r>
      <w:r w:rsidR="00966070">
        <w:rPr>
          <w:szCs w:val="24"/>
        </w:rPr>
        <w:t> </w:t>
      </w:r>
      <w:r w:rsidR="0080541A" w:rsidRPr="003C2A9C">
        <w:rPr>
          <w:b/>
          <w:bCs/>
          <w:szCs w:val="24"/>
        </w:rPr>
        <w:t>11.49.1</w:t>
      </w:r>
      <w:r w:rsidR="0080541A">
        <w:rPr>
          <w:szCs w:val="24"/>
        </w:rPr>
        <w:t xml:space="preserve"> </w:t>
      </w:r>
      <w:r w:rsidR="00966070">
        <w:rPr>
          <w:szCs w:val="24"/>
        </w:rPr>
        <w:t xml:space="preserve">so as </w:t>
      </w:r>
      <w:r w:rsidR="0080541A">
        <w:rPr>
          <w:szCs w:val="24"/>
        </w:rPr>
        <w:t xml:space="preserve">to extend the period allowed for suspension </w:t>
      </w:r>
      <w:r w:rsidR="00966070">
        <w:rPr>
          <w:szCs w:val="24"/>
        </w:rPr>
        <w:t xml:space="preserve">of the use of a frequency assignment to space station </w:t>
      </w:r>
      <w:r w:rsidR="0080541A">
        <w:rPr>
          <w:szCs w:val="24"/>
        </w:rPr>
        <w:t xml:space="preserve">to </w:t>
      </w:r>
      <w:r w:rsidR="00966070">
        <w:rPr>
          <w:szCs w:val="24"/>
        </w:rPr>
        <w:t>three (</w:t>
      </w:r>
      <w:r w:rsidR="0080541A">
        <w:rPr>
          <w:szCs w:val="24"/>
        </w:rPr>
        <w:t>3</w:t>
      </w:r>
      <w:r w:rsidR="00966070">
        <w:rPr>
          <w:szCs w:val="24"/>
        </w:rPr>
        <w:t>)</w:t>
      </w:r>
      <w:r w:rsidR="0080541A">
        <w:rPr>
          <w:szCs w:val="24"/>
        </w:rPr>
        <w:t xml:space="preserve"> years, and </w:t>
      </w:r>
      <w:r w:rsidR="00D20465">
        <w:rPr>
          <w:szCs w:val="24"/>
        </w:rPr>
        <w:t xml:space="preserve">at </w:t>
      </w:r>
      <w:r w:rsidR="0080541A">
        <w:rPr>
          <w:szCs w:val="24"/>
        </w:rPr>
        <w:t xml:space="preserve">the same time </w:t>
      </w:r>
      <w:r w:rsidR="00D20465">
        <w:rPr>
          <w:szCs w:val="24"/>
        </w:rPr>
        <w:t xml:space="preserve">to </w:t>
      </w:r>
      <w:r w:rsidR="0080541A">
        <w:rPr>
          <w:szCs w:val="24"/>
        </w:rPr>
        <w:t>specif</w:t>
      </w:r>
      <w:r w:rsidR="00D20465">
        <w:rPr>
          <w:szCs w:val="24"/>
        </w:rPr>
        <w:t>y</w:t>
      </w:r>
      <w:r w:rsidR="0080541A">
        <w:rPr>
          <w:szCs w:val="24"/>
        </w:rPr>
        <w:t xml:space="preserve"> the conditions for bringing </w:t>
      </w:r>
      <w:r w:rsidR="000127D4">
        <w:rPr>
          <w:szCs w:val="24"/>
        </w:rPr>
        <w:t>a</w:t>
      </w:r>
      <w:r w:rsidR="0080541A">
        <w:rPr>
          <w:szCs w:val="24"/>
        </w:rPr>
        <w:t xml:space="preserve"> </w:t>
      </w:r>
      <w:r w:rsidR="001C19B1">
        <w:rPr>
          <w:szCs w:val="24"/>
        </w:rPr>
        <w:t>recorded frequency assignment</w:t>
      </w:r>
      <w:r w:rsidR="00966070" w:rsidRPr="00966070">
        <w:rPr>
          <w:szCs w:val="24"/>
        </w:rPr>
        <w:t xml:space="preserve"> </w:t>
      </w:r>
      <w:r w:rsidR="00966070">
        <w:rPr>
          <w:szCs w:val="24"/>
        </w:rPr>
        <w:t>back into use</w:t>
      </w:r>
      <w:r w:rsidR="0080541A">
        <w:rPr>
          <w:szCs w:val="24"/>
        </w:rPr>
        <w:t>.</w:t>
      </w:r>
      <w:r w:rsidR="00302C8D">
        <w:rPr>
          <w:szCs w:val="24"/>
        </w:rPr>
        <w:t xml:space="preserve"> </w:t>
      </w:r>
      <w:r w:rsidR="00E302A3">
        <w:rPr>
          <w:szCs w:val="24"/>
        </w:rPr>
        <w:t>Similarly</w:t>
      </w:r>
      <w:r w:rsidR="00966070">
        <w:rPr>
          <w:szCs w:val="24"/>
        </w:rPr>
        <w:t>,</w:t>
      </w:r>
      <w:r w:rsidR="00E302A3">
        <w:rPr>
          <w:szCs w:val="24"/>
        </w:rPr>
        <w:t xml:space="preserve"> §5.2.10, </w:t>
      </w:r>
      <w:r w:rsidR="00C447B0">
        <w:rPr>
          <w:szCs w:val="24"/>
        </w:rPr>
        <w:t>§</w:t>
      </w:r>
      <w:r w:rsidR="00E302A3">
        <w:rPr>
          <w:szCs w:val="24"/>
        </w:rPr>
        <w:t xml:space="preserve">5.2.11 and footnote 20bis </w:t>
      </w:r>
      <w:r w:rsidR="00966070">
        <w:rPr>
          <w:szCs w:val="24"/>
        </w:rPr>
        <w:t xml:space="preserve">were added in </w:t>
      </w:r>
      <w:r w:rsidR="00E302A3">
        <w:rPr>
          <w:szCs w:val="24"/>
        </w:rPr>
        <w:t xml:space="preserve">Appendix </w:t>
      </w:r>
      <w:r w:rsidR="00E302A3" w:rsidRPr="00250EA1">
        <w:rPr>
          <w:b/>
          <w:bCs/>
          <w:szCs w:val="24"/>
        </w:rPr>
        <w:t>30</w:t>
      </w:r>
      <w:r w:rsidR="00E302A3">
        <w:rPr>
          <w:szCs w:val="24"/>
        </w:rPr>
        <w:t xml:space="preserve"> and §5.2.10, </w:t>
      </w:r>
      <w:r w:rsidR="00C447B0">
        <w:rPr>
          <w:szCs w:val="24"/>
        </w:rPr>
        <w:t>§</w:t>
      </w:r>
      <w:r w:rsidR="00250EA1">
        <w:rPr>
          <w:szCs w:val="24"/>
        </w:rPr>
        <w:t>5.2.11 and foot</w:t>
      </w:r>
      <w:r w:rsidR="00E302A3">
        <w:rPr>
          <w:szCs w:val="24"/>
        </w:rPr>
        <w:t xml:space="preserve">note 24bis </w:t>
      </w:r>
      <w:r w:rsidR="00966070">
        <w:rPr>
          <w:szCs w:val="24"/>
        </w:rPr>
        <w:t xml:space="preserve">in </w:t>
      </w:r>
      <w:r w:rsidR="00E302A3">
        <w:rPr>
          <w:szCs w:val="24"/>
        </w:rPr>
        <w:t xml:space="preserve">Appendix </w:t>
      </w:r>
      <w:r w:rsidR="00E302A3" w:rsidRPr="00250EA1">
        <w:rPr>
          <w:b/>
          <w:bCs/>
          <w:szCs w:val="24"/>
        </w:rPr>
        <w:t>30A</w:t>
      </w:r>
      <w:r w:rsidR="00E302A3">
        <w:rPr>
          <w:szCs w:val="24"/>
        </w:rPr>
        <w:t xml:space="preserve"> </w:t>
      </w:r>
      <w:r w:rsidR="00966070">
        <w:rPr>
          <w:szCs w:val="24"/>
        </w:rPr>
        <w:t xml:space="preserve">in relation to the </w:t>
      </w:r>
      <w:r w:rsidR="00E302A3">
        <w:rPr>
          <w:szCs w:val="24"/>
        </w:rPr>
        <w:t xml:space="preserve">suspension </w:t>
      </w:r>
      <w:r w:rsidR="00966070">
        <w:rPr>
          <w:szCs w:val="24"/>
        </w:rPr>
        <w:t xml:space="preserve">of use </w:t>
      </w:r>
      <w:r w:rsidR="00E302A3">
        <w:rPr>
          <w:szCs w:val="24"/>
        </w:rPr>
        <w:t xml:space="preserve">of a frequency assignment in the List.  </w:t>
      </w:r>
      <w:r w:rsidR="00D20465" w:rsidRPr="00E302A3">
        <w:rPr>
          <w:szCs w:val="24"/>
        </w:rPr>
        <w:t>WRC</w:t>
      </w:r>
      <w:r w:rsidR="00D20465">
        <w:rPr>
          <w:szCs w:val="24"/>
        </w:rPr>
        <w:t xml:space="preserve">-12 furthermore </w:t>
      </w:r>
      <w:r w:rsidR="000127D4">
        <w:rPr>
          <w:szCs w:val="24"/>
        </w:rPr>
        <w:t xml:space="preserve">modified the provisions of No. </w:t>
      </w:r>
      <w:r w:rsidR="000127D4" w:rsidRPr="000127D4">
        <w:rPr>
          <w:b/>
          <w:bCs/>
          <w:szCs w:val="24"/>
        </w:rPr>
        <w:t>11.41</w:t>
      </w:r>
      <w:r w:rsidR="000127D4">
        <w:rPr>
          <w:szCs w:val="24"/>
        </w:rPr>
        <w:t xml:space="preserve"> and </w:t>
      </w:r>
      <w:r w:rsidR="00D20465">
        <w:rPr>
          <w:szCs w:val="24"/>
        </w:rPr>
        <w:t xml:space="preserve">added </w:t>
      </w:r>
      <w:r w:rsidR="00302C8D">
        <w:rPr>
          <w:szCs w:val="24"/>
        </w:rPr>
        <w:t>No.</w:t>
      </w:r>
      <w:r w:rsidR="00966070">
        <w:rPr>
          <w:szCs w:val="24"/>
        </w:rPr>
        <w:t> </w:t>
      </w:r>
      <w:r w:rsidR="00302C8D" w:rsidRPr="007F765B">
        <w:rPr>
          <w:b/>
          <w:bCs/>
          <w:szCs w:val="24"/>
        </w:rPr>
        <w:t>11.41.2</w:t>
      </w:r>
      <w:r w:rsidR="00966070">
        <w:rPr>
          <w:b/>
          <w:bCs/>
          <w:szCs w:val="24"/>
        </w:rPr>
        <w:t xml:space="preserve"> </w:t>
      </w:r>
      <w:r w:rsidR="00966070" w:rsidRPr="00B64F97">
        <w:rPr>
          <w:szCs w:val="24"/>
        </w:rPr>
        <w:t>in order</w:t>
      </w:r>
      <w:r w:rsidR="00302C8D" w:rsidRPr="00966070">
        <w:rPr>
          <w:szCs w:val="24"/>
        </w:rPr>
        <w:t xml:space="preserve"> </w:t>
      </w:r>
      <w:r w:rsidR="00302C8D">
        <w:rPr>
          <w:szCs w:val="24"/>
        </w:rPr>
        <w:t xml:space="preserve">to </w:t>
      </w:r>
      <w:r w:rsidR="00966070">
        <w:rPr>
          <w:szCs w:val="24"/>
        </w:rPr>
        <w:t xml:space="preserve">specify </w:t>
      </w:r>
      <w:r w:rsidR="00302C8D">
        <w:rPr>
          <w:szCs w:val="24"/>
        </w:rPr>
        <w:t>the obligation</w:t>
      </w:r>
      <w:r w:rsidR="00D20465">
        <w:rPr>
          <w:szCs w:val="24"/>
        </w:rPr>
        <w:t>s</w:t>
      </w:r>
      <w:r w:rsidR="00302C8D">
        <w:rPr>
          <w:szCs w:val="24"/>
        </w:rPr>
        <w:t xml:space="preserve"> </w:t>
      </w:r>
      <w:r w:rsidR="00966070">
        <w:rPr>
          <w:szCs w:val="24"/>
        </w:rPr>
        <w:t>to be fulfilled by</w:t>
      </w:r>
      <w:r w:rsidR="00302C8D">
        <w:rPr>
          <w:szCs w:val="24"/>
        </w:rPr>
        <w:t xml:space="preserve"> the notifying administration </w:t>
      </w:r>
      <w:r w:rsidR="00D20465">
        <w:rPr>
          <w:szCs w:val="24"/>
        </w:rPr>
        <w:t>when submitting a notice in</w:t>
      </w:r>
      <w:r w:rsidR="00302C8D">
        <w:rPr>
          <w:szCs w:val="24"/>
        </w:rPr>
        <w:t xml:space="preserve"> application of No.</w:t>
      </w:r>
      <w:r w:rsidR="00966070">
        <w:rPr>
          <w:szCs w:val="24"/>
        </w:rPr>
        <w:t> </w:t>
      </w:r>
      <w:r w:rsidR="00302C8D" w:rsidRPr="00D20465">
        <w:rPr>
          <w:b/>
          <w:bCs/>
          <w:szCs w:val="24"/>
        </w:rPr>
        <w:t>11.41</w:t>
      </w:r>
      <w:r w:rsidR="00302C8D">
        <w:rPr>
          <w:szCs w:val="24"/>
        </w:rPr>
        <w:t>.</w:t>
      </w:r>
    </w:p>
    <w:p w:rsidR="005274C9" w:rsidRPr="00DB68BE" w:rsidRDefault="0080541A" w:rsidP="002D3F21">
      <w:pPr>
        <w:pStyle w:val="ListParagraph"/>
        <w:autoSpaceDE w:val="0"/>
        <w:autoSpaceDN w:val="0"/>
        <w:adjustRightInd w:val="0"/>
        <w:spacing w:after="240" w:line="240" w:lineRule="auto"/>
        <w:ind w:left="0"/>
      </w:pPr>
      <w:r w:rsidRPr="00045CA0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>1.2</w:t>
      </w:r>
      <w:r w:rsidRPr="00045CA0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ab/>
      </w:r>
      <w:r w:rsidRPr="00ED1B89">
        <w:rPr>
          <w:rFonts w:ascii="Times New Roman" w:hAnsi="Times New Roman" w:cs="Times New Roman"/>
          <w:sz w:val="24"/>
          <w:szCs w:val="24"/>
        </w:rPr>
        <w:t>The Radio Regulation</w:t>
      </w:r>
      <w:r w:rsidR="00966070">
        <w:rPr>
          <w:rFonts w:ascii="Times New Roman" w:hAnsi="Times New Roman" w:cs="Times New Roman"/>
          <w:sz w:val="24"/>
          <w:szCs w:val="24"/>
        </w:rPr>
        <w:t>s</w:t>
      </w:r>
      <w:r w:rsidRPr="00ED1B89">
        <w:rPr>
          <w:rFonts w:ascii="Times New Roman" w:hAnsi="Times New Roman" w:cs="Times New Roman"/>
          <w:sz w:val="24"/>
          <w:szCs w:val="24"/>
        </w:rPr>
        <w:t xml:space="preserve"> Boa</w:t>
      </w:r>
      <w:r w:rsidR="00033A75">
        <w:rPr>
          <w:rFonts w:ascii="Times New Roman" w:hAnsi="Times New Roman" w:cs="Times New Roman"/>
          <w:sz w:val="24"/>
          <w:szCs w:val="24"/>
        </w:rPr>
        <w:t xml:space="preserve">rd, </w:t>
      </w:r>
      <w:r w:rsidR="00D20465">
        <w:rPr>
          <w:rFonts w:ascii="Times New Roman" w:hAnsi="Times New Roman" w:cs="Times New Roman"/>
          <w:sz w:val="24"/>
          <w:szCs w:val="24"/>
        </w:rPr>
        <w:t>at</w:t>
      </w:r>
      <w:r w:rsidR="00033A75">
        <w:rPr>
          <w:rFonts w:ascii="Times New Roman" w:hAnsi="Times New Roman" w:cs="Times New Roman"/>
          <w:sz w:val="24"/>
          <w:szCs w:val="24"/>
        </w:rPr>
        <w:t xml:space="preserve"> its 61</w:t>
      </w:r>
      <w:r w:rsidR="00033A75" w:rsidRPr="00033A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33A75">
        <w:rPr>
          <w:rFonts w:ascii="Times New Roman" w:hAnsi="Times New Roman" w:cs="Times New Roman"/>
          <w:sz w:val="24"/>
          <w:szCs w:val="24"/>
        </w:rPr>
        <w:t xml:space="preserve"> </w:t>
      </w:r>
      <w:r w:rsidRPr="00ED1B89">
        <w:rPr>
          <w:rFonts w:ascii="Times New Roman" w:hAnsi="Times New Roman" w:cs="Times New Roman"/>
          <w:sz w:val="24"/>
          <w:szCs w:val="24"/>
        </w:rPr>
        <w:t xml:space="preserve">meeting, </w:t>
      </w:r>
      <w:r w:rsidR="00D20465">
        <w:rPr>
          <w:rFonts w:ascii="Times New Roman" w:hAnsi="Times New Roman" w:cs="Times New Roman"/>
          <w:sz w:val="24"/>
          <w:szCs w:val="24"/>
        </w:rPr>
        <w:t>approved the Rules of P</w:t>
      </w:r>
      <w:r w:rsidRPr="00ED1B89">
        <w:rPr>
          <w:rFonts w:ascii="Times New Roman" w:hAnsi="Times New Roman" w:cs="Times New Roman"/>
          <w:sz w:val="24"/>
          <w:szCs w:val="24"/>
        </w:rPr>
        <w:t xml:space="preserve">rocedure relating to No. </w:t>
      </w:r>
      <w:r w:rsidRPr="003C2A9C">
        <w:rPr>
          <w:rFonts w:ascii="Times New Roman" w:hAnsi="Times New Roman" w:cs="Times New Roman"/>
          <w:b/>
          <w:bCs/>
          <w:sz w:val="24"/>
          <w:szCs w:val="24"/>
        </w:rPr>
        <w:t>11.44B</w:t>
      </w:r>
      <w:r>
        <w:rPr>
          <w:rFonts w:ascii="Times New Roman" w:hAnsi="Times New Roman" w:cs="Times New Roman"/>
          <w:sz w:val="24"/>
          <w:szCs w:val="24"/>
        </w:rPr>
        <w:t xml:space="preserve"> and No.</w:t>
      </w:r>
      <w:r w:rsidR="00F358D4">
        <w:rPr>
          <w:rFonts w:ascii="Times New Roman" w:hAnsi="Times New Roman" w:cs="Times New Roman"/>
          <w:sz w:val="24"/>
          <w:szCs w:val="24"/>
        </w:rPr>
        <w:t> </w:t>
      </w:r>
      <w:r w:rsidRPr="003C2A9C">
        <w:rPr>
          <w:rFonts w:ascii="Times New Roman" w:hAnsi="Times New Roman" w:cs="Times New Roman"/>
          <w:b/>
          <w:bCs/>
          <w:sz w:val="24"/>
          <w:szCs w:val="24"/>
        </w:rPr>
        <w:t>11.49</w:t>
      </w:r>
      <w:r w:rsidR="00966070" w:rsidRPr="00B64F97">
        <w:rPr>
          <w:rFonts w:ascii="Times New Roman" w:hAnsi="Times New Roman" w:cs="Times New Roman"/>
          <w:sz w:val="24"/>
          <w:szCs w:val="24"/>
        </w:rPr>
        <w:t>,</w:t>
      </w:r>
      <w:r w:rsidR="000127D4">
        <w:rPr>
          <w:rFonts w:ascii="Times New Roman" w:hAnsi="Times New Roman" w:cs="Times New Roman"/>
          <w:sz w:val="24"/>
          <w:szCs w:val="24"/>
        </w:rPr>
        <w:t xml:space="preserve"> </w:t>
      </w:r>
      <w:r w:rsidR="00966070">
        <w:rPr>
          <w:rFonts w:ascii="Times New Roman" w:hAnsi="Times New Roman" w:cs="Times New Roman"/>
          <w:sz w:val="24"/>
          <w:szCs w:val="24"/>
        </w:rPr>
        <w:t xml:space="preserve">which </w:t>
      </w:r>
      <w:r w:rsidR="007371E6">
        <w:rPr>
          <w:rFonts w:ascii="Times New Roman" w:hAnsi="Times New Roman" w:cs="Times New Roman"/>
          <w:sz w:val="24"/>
          <w:szCs w:val="24"/>
        </w:rPr>
        <w:t>became</w:t>
      </w:r>
      <w:r w:rsidR="00A522C7">
        <w:rPr>
          <w:rFonts w:ascii="Times New Roman" w:hAnsi="Times New Roman" w:cs="Times New Roman"/>
          <w:sz w:val="24"/>
          <w:szCs w:val="24"/>
        </w:rPr>
        <w:t xml:space="preserve"> effective on 1</w:t>
      </w:r>
      <w:r w:rsidR="00966070">
        <w:rPr>
          <w:rFonts w:ascii="Times New Roman" w:hAnsi="Times New Roman" w:cs="Times New Roman"/>
          <w:sz w:val="24"/>
          <w:szCs w:val="24"/>
        </w:rPr>
        <w:t> </w:t>
      </w:r>
      <w:r w:rsidR="00A522C7">
        <w:rPr>
          <w:rFonts w:ascii="Times New Roman" w:hAnsi="Times New Roman" w:cs="Times New Roman"/>
          <w:sz w:val="24"/>
          <w:szCs w:val="24"/>
        </w:rPr>
        <w:t>January 2013.</w:t>
      </w:r>
      <w:r w:rsidR="007371E6">
        <w:rPr>
          <w:rFonts w:ascii="Times New Roman" w:hAnsi="Times New Roman" w:cs="Times New Roman"/>
          <w:sz w:val="24"/>
          <w:szCs w:val="24"/>
        </w:rPr>
        <w:t xml:space="preserve"> Similarly</w:t>
      </w:r>
      <w:r w:rsidR="00966070">
        <w:rPr>
          <w:rFonts w:ascii="Times New Roman" w:hAnsi="Times New Roman" w:cs="Times New Roman"/>
          <w:sz w:val="24"/>
          <w:szCs w:val="24"/>
        </w:rPr>
        <w:t>, at its 60</w:t>
      </w:r>
      <w:r w:rsidR="00966070" w:rsidRPr="00250E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6070">
        <w:rPr>
          <w:rFonts w:ascii="Times New Roman" w:hAnsi="Times New Roman" w:cs="Times New Roman"/>
          <w:sz w:val="24"/>
          <w:szCs w:val="24"/>
        </w:rPr>
        <w:t xml:space="preserve"> meeting, </w:t>
      </w:r>
      <w:r w:rsidR="007371E6">
        <w:rPr>
          <w:rFonts w:ascii="Times New Roman" w:hAnsi="Times New Roman" w:cs="Times New Roman"/>
          <w:sz w:val="24"/>
          <w:szCs w:val="24"/>
        </w:rPr>
        <w:t>the Board</w:t>
      </w:r>
      <w:r w:rsidR="00966070">
        <w:rPr>
          <w:rFonts w:ascii="Times New Roman" w:hAnsi="Times New Roman" w:cs="Times New Roman"/>
          <w:sz w:val="24"/>
          <w:szCs w:val="24"/>
        </w:rPr>
        <w:t xml:space="preserve"> </w:t>
      </w:r>
      <w:r w:rsidR="007371E6">
        <w:rPr>
          <w:rFonts w:ascii="Times New Roman" w:hAnsi="Times New Roman" w:cs="Times New Roman"/>
          <w:sz w:val="24"/>
          <w:szCs w:val="24"/>
        </w:rPr>
        <w:t xml:space="preserve">approved the Rules of Procedure relating to </w:t>
      </w:r>
      <w:r w:rsidR="00E302A3">
        <w:rPr>
          <w:rFonts w:ascii="Times New Roman" w:hAnsi="Times New Roman" w:cs="Times New Roman"/>
          <w:sz w:val="24"/>
          <w:szCs w:val="24"/>
        </w:rPr>
        <w:t>§</w:t>
      </w:r>
      <w:r w:rsidR="007371E6">
        <w:rPr>
          <w:rFonts w:ascii="Times New Roman" w:hAnsi="Times New Roman" w:cs="Times New Roman"/>
          <w:sz w:val="24"/>
          <w:szCs w:val="24"/>
        </w:rPr>
        <w:t xml:space="preserve">8.17 of Article </w:t>
      </w:r>
      <w:r w:rsidR="007371E6" w:rsidRPr="002D3F21">
        <w:rPr>
          <w:rFonts w:ascii="Times New Roman" w:hAnsi="Times New Roman" w:cs="Times New Roman"/>
          <w:sz w:val="24"/>
          <w:szCs w:val="24"/>
        </w:rPr>
        <w:t>8</w:t>
      </w:r>
      <w:r w:rsidR="007371E6">
        <w:rPr>
          <w:rFonts w:ascii="Times New Roman" w:hAnsi="Times New Roman" w:cs="Times New Roman"/>
          <w:sz w:val="24"/>
          <w:szCs w:val="24"/>
        </w:rPr>
        <w:t xml:space="preserve"> of Appendix </w:t>
      </w:r>
      <w:r w:rsidR="007371E6" w:rsidRPr="00250EA1">
        <w:rPr>
          <w:rFonts w:ascii="Times New Roman" w:hAnsi="Times New Roman" w:cs="Times New Roman"/>
          <w:b/>
          <w:bCs/>
          <w:sz w:val="24"/>
          <w:szCs w:val="24"/>
        </w:rPr>
        <w:t>30B</w:t>
      </w:r>
      <w:r w:rsidR="002D3F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71E6">
        <w:rPr>
          <w:rFonts w:ascii="Times New Roman" w:hAnsi="Times New Roman" w:cs="Times New Roman"/>
          <w:sz w:val="24"/>
          <w:szCs w:val="24"/>
        </w:rPr>
        <w:t xml:space="preserve"> which </w:t>
      </w:r>
      <w:r w:rsidR="006B37ED">
        <w:rPr>
          <w:rFonts w:ascii="Times New Roman" w:hAnsi="Times New Roman" w:cs="Times New Roman"/>
          <w:sz w:val="24"/>
          <w:szCs w:val="24"/>
        </w:rPr>
        <w:t>clarifies</w:t>
      </w:r>
      <w:r w:rsidR="00E302A3">
        <w:rPr>
          <w:rFonts w:ascii="Times New Roman" w:hAnsi="Times New Roman" w:cs="Times New Roman"/>
          <w:sz w:val="24"/>
          <w:szCs w:val="24"/>
        </w:rPr>
        <w:t xml:space="preserve"> the procedure for</w:t>
      </w:r>
      <w:r w:rsidR="007371E6">
        <w:rPr>
          <w:rFonts w:ascii="Times New Roman" w:hAnsi="Times New Roman" w:cs="Times New Roman"/>
          <w:sz w:val="24"/>
          <w:szCs w:val="24"/>
        </w:rPr>
        <w:t xml:space="preserve"> suspension </w:t>
      </w:r>
      <w:r w:rsidR="00E302A3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2D3F21">
        <w:rPr>
          <w:rFonts w:ascii="Times New Roman" w:hAnsi="Times New Roman" w:cs="Times New Roman"/>
          <w:sz w:val="24"/>
          <w:szCs w:val="24"/>
        </w:rPr>
        <w:t xml:space="preserve">the above-mentioned </w:t>
      </w:r>
      <w:r w:rsidR="00E302A3">
        <w:rPr>
          <w:rFonts w:ascii="Times New Roman" w:hAnsi="Times New Roman" w:cs="Times New Roman"/>
          <w:sz w:val="24"/>
          <w:szCs w:val="24"/>
        </w:rPr>
        <w:t xml:space="preserve">new </w:t>
      </w:r>
      <w:r w:rsidR="006B37ED">
        <w:rPr>
          <w:rFonts w:ascii="Times New Roman" w:hAnsi="Times New Roman" w:cs="Times New Roman"/>
          <w:sz w:val="24"/>
          <w:szCs w:val="24"/>
        </w:rPr>
        <w:t xml:space="preserve">footnotes of </w:t>
      </w:r>
      <w:r w:rsidR="00E302A3">
        <w:rPr>
          <w:rFonts w:ascii="Times New Roman" w:hAnsi="Times New Roman" w:cs="Times New Roman"/>
          <w:sz w:val="24"/>
          <w:szCs w:val="24"/>
        </w:rPr>
        <w:t xml:space="preserve">Appendices </w:t>
      </w:r>
      <w:r w:rsidR="00E302A3" w:rsidRPr="00250EA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302A3">
        <w:rPr>
          <w:rFonts w:ascii="Times New Roman" w:hAnsi="Times New Roman" w:cs="Times New Roman"/>
          <w:sz w:val="24"/>
          <w:szCs w:val="24"/>
        </w:rPr>
        <w:t xml:space="preserve"> and </w:t>
      </w:r>
      <w:r w:rsidR="00E302A3" w:rsidRPr="00250EA1">
        <w:rPr>
          <w:rFonts w:ascii="Times New Roman" w:hAnsi="Times New Roman" w:cs="Times New Roman"/>
          <w:b/>
          <w:bCs/>
          <w:sz w:val="24"/>
          <w:szCs w:val="24"/>
        </w:rPr>
        <w:t>30A</w:t>
      </w:r>
      <w:r w:rsidR="00E302A3">
        <w:rPr>
          <w:rFonts w:ascii="Times New Roman" w:hAnsi="Times New Roman" w:cs="Times New Roman"/>
          <w:sz w:val="24"/>
          <w:szCs w:val="24"/>
        </w:rPr>
        <w:t>.</w:t>
      </w:r>
    </w:p>
    <w:p w:rsidR="00FC2151" w:rsidRDefault="00FC21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lastRenderedPageBreak/>
        <w:br w:type="page"/>
      </w:r>
    </w:p>
    <w:p w:rsidR="005274C9" w:rsidRPr="00DB68BE" w:rsidRDefault="005274C9" w:rsidP="003A0865">
      <w:pPr>
        <w:spacing w:before="0" w:after="240"/>
      </w:pPr>
      <w:r w:rsidRPr="00DB68BE">
        <w:t>1.</w:t>
      </w:r>
      <w:r w:rsidR="00200CDA">
        <w:t>3</w:t>
      </w:r>
      <w:r w:rsidRPr="00DB68BE">
        <w:tab/>
        <w:t xml:space="preserve">The purpose of this </w:t>
      </w:r>
      <w:r w:rsidR="002D3F21">
        <w:t>c</w:t>
      </w:r>
      <w:r w:rsidRPr="00DB68BE">
        <w:t xml:space="preserve">ircular </w:t>
      </w:r>
      <w:r w:rsidR="002D3F21">
        <w:t>l</w:t>
      </w:r>
      <w:r w:rsidRPr="00DB68BE">
        <w:t xml:space="preserve">etter is to provide </w:t>
      </w:r>
      <w:r w:rsidR="000127D4">
        <w:t>administrations</w:t>
      </w:r>
      <w:r w:rsidRPr="00DB68BE">
        <w:t xml:space="preserve"> with information on </w:t>
      </w:r>
      <w:r w:rsidR="0080541A">
        <w:t xml:space="preserve">the </w:t>
      </w:r>
      <w:r w:rsidR="00213DBC">
        <w:t xml:space="preserve">implementation </w:t>
      </w:r>
      <w:r w:rsidR="000127D4">
        <w:t xml:space="preserve">of the above provisions by the </w:t>
      </w:r>
      <w:proofErr w:type="spellStart"/>
      <w:r w:rsidR="000127D4">
        <w:t>Radiocommunication</w:t>
      </w:r>
      <w:proofErr w:type="spellEnd"/>
      <w:r w:rsidR="000127D4">
        <w:t xml:space="preserve"> Bureau.</w:t>
      </w:r>
    </w:p>
    <w:p w:rsidR="005274C9" w:rsidRDefault="005274C9" w:rsidP="00213DBC">
      <w:pPr>
        <w:pStyle w:val="Index1"/>
        <w:tabs>
          <w:tab w:val="clear" w:pos="794"/>
          <w:tab w:val="left" w:pos="851"/>
        </w:tabs>
        <w:spacing w:before="0" w:after="240"/>
        <w:rPr>
          <w:b/>
          <w:bCs/>
        </w:rPr>
      </w:pPr>
      <w:r w:rsidRPr="00DB68BE">
        <w:rPr>
          <w:b/>
          <w:bCs/>
        </w:rPr>
        <w:t>2</w:t>
      </w:r>
      <w:r w:rsidRPr="00DB68BE">
        <w:rPr>
          <w:b/>
          <w:bCs/>
        </w:rPr>
        <w:tab/>
      </w:r>
      <w:r w:rsidR="00213DBC">
        <w:rPr>
          <w:b/>
          <w:bCs/>
        </w:rPr>
        <w:t>Bringin</w:t>
      </w:r>
      <w:r w:rsidR="00723500">
        <w:rPr>
          <w:b/>
          <w:bCs/>
        </w:rPr>
        <w:t>g into use</w:t>
      </w:r>
    </w:p>
    <w:p w:rsidR="00941104" w:rsidRDefault="00C23C30" w:rsidP="002D3F21">
      <w:pPr>
        <w:spacing w:before="0" w:after="240"/>
      </w:pPr>
      <w:r>
        <w:rPr>
          <w:color w:val="000000"/>
        </w:rPr>
        <w:t>2.1</w:t>
      </w:r>
      <w:r w:rsidR="00941104">
        <w:rPr>
          <w:color w:val="000000"/>
        </w:rPr>
        <w:tab/>
      </w:r>
      <w:r w:rsidR="00941104" w:rsidRPr="00542E34">
        <w:rPr>
          <w:color w:val="000000"/>
        </w:rPr>
        <w:t xml:space="preserve">No. </w:t>
      </w:r>
      <w:r w:rsidR="00941104" w:rsidRPr="00542E34">
        <w:rPr>
          <w:rStyle w:val="Artref"/>
          <w:b/>
          <w:color w:val="000000"/>
        </w:rPr>
        <w:t>11.44</w:t>
      </w:r>
      <w:r w:rsidR="004A1028">
        <w:rPr>
          <w:rStyle w:val="Artref"/>
          <w:b/>
          <w:color w:val="000000"/>
        </w:rPr>
        <w:t xml:space="preserve">, </w:t>
      </w:r>
      <w:r w:rsidR="00941104" w:rsidRPr="00542E34">
        <w:rPr>
          <w:color w:val="000000"/>
        </w:rPr>
        <w:t xml:space="preserve"> </w:t>
      </w:r>
      <w:r w:rsidR="00F358D4">
        <w:rPr>
          <w:color w:val="000000"/>
        </w:rPr>
        <w:t>§</w:t>
      </w:r>
      <w:r w:rsidR="004A1028" w:rsidRPr="004A1028">
        <w:rPr>
          <w:rFonts w:cs="Calibri"/>
        </w:rPr>
        <w:t>§</w:t>
      </w:r>
      <w:r w:rsidR="004A1028">
        <w:t xml:space="preserve">4.1.3 and 4.2.6 of Appendices </w:t>
      </w:r>
      <w:r w:rsidR="004A1028" w:rsidRPr="00250EA1">
        <w:rPr>
          <w:b/>
          <w:bCs/>
        </w:rPr>
        <w:t>30</w:t>
      </w:r>
      <w:r w:rsidR="004A1028">
        <w:t xml:space="preserve"> and </w:t>
      </w:r>
      <w:r w:rsidR="004A1028" w:rsidRPr="00250EA1">
        <w:rPr>
          <w:b/>
          <w:bCs/>
        </w:rPr>
        <w:t>30A</w:t>
      </w:r>
      <w:r w:rsidR="004A1028" w:rsidRPr="00542E34">
        <w:rPr>
          <w:color w:val="000000"/>
        </w:rPr>
        <w:t xml:space="preserve"> </w:t>
      </w:r>
      <w:r w:rsidR="004A1028">
        <w:rPr>
          <w:color w:val="000000"/>
        </w:rPr>
        <w:t xml:space="preserve">and </w:t>
      </w:r>
      <w:r w:rsidR="004A1028" w:rsidRPr="004A1028">
        <w:rPr>
          <w:rFonts w:cs="Calibri"/>
        </w:rPr>
        <w:t>§</w:t>
      </w:r>
      <w:r w:rsidR="004A1028">
        <w:t xml:space="preserve">6.1 of Appendix </w:t>
      </w:r>
      <w:r w:rsidR="004A1028" w:rsidRPr="00250EA1">
        <w:rPr>
          <w:b/>
          <w:bCs/>
        </w:rPr>
        <w:t>30B</w:t>
      </w:r>
      <w:r w:rsidR="004A1028">
        <w:t xml:space="preserve"> </w:t>
      </w:r>
      <w:r w:rsidR="00941104" w:rsidRPr="00542E34">
        <w:rPr>
          <w:color w:val="000000"/>
        </w:rPr>
        <w:t xml:space="preserve">establish </w:t>
      </w:r>
      <w:r w:rsidR="00941104" w:rsidRPr="00EF3C95">
        <w:rPr>
          <w:color w:val="000000"/>
        </w:rPr>
        <w:t xml:space="preserve">the </w:t>
      </w:r>
      <w:r w:rsidR="007371E6" w:rsidRPr="00250EA1">
        <w:rPr>
          <w:color w:val="000000"/>
        </w:rPr>
        <w:t>regulatory</w:t>
      </w:r>
      <w:r w:rsidR="00941104" w:rsidRPr="00EF3C95">
        <w:rPr>
          <w:color w:val="000000"/>
        </w:rPr>
        <w:t xml:space="preserve"> </w:t>
      </w:r>
      <w:r w:rsidR="00941104" w:rsidRPr="00250EA1">
        <w:rPr>
          <w:color w:val="000000"/>
        </w:rPr>
        <w:t>time</w:t>
      </w:r>
      <w:r w:rsidR="002D3F21">
        <w:rPr>
          <w:color w:val="000000"/>
        </w:rPr>
        <w:t>-</w:t>
      </w:r>
      <w:r w:rsidR="00941104" w:rsidRPr="00250EA1">
        <w:rPr>
          <w:color w:val="000000"/>
        </w:rPr>
        <w:t>limit</w:t>
      </w:r>
      <w:r w:rsidR="000F0450">
        <w:rPr>
          <w:color w:val="000000"/>
        </w:rPr>
        <w:t>s</w:t>
      </w:r>
      <w:r w:rsidR="00DB5DE9">
        <w:rPr>
          <w:rStyle w:val="FootnoteReference"/>
          <w:color w:val="000000"/>
        </w:rPr>
        <w:footnoteReference w:id="1"/>
      </w:r>
      <w:r w:rsidR="001C19B1" w:rsidRPr="00EF3C95">
        <w:rPr>
          <w:color w:val="000000"/>
        </w:rPr>
        <w:t xml:space="preserve"> </w:t>
      </w:r>
      <w:r w:rsidR="00941104" w:rsidRPr="00542E34">
        <w:rPr>
          <w:color w:val="000000"/>
        </w:rPr>
        <w:t xml:space="preserve">for bringing </w:t>
      </w:r>
      <w:r w:rsidR="002D3F21" w:rsidRPr="00542E34">
        <w:rPr>
          <w:color w:val="000000"/>
        </w:rPr>
        <w:t>into use</w:t>
      </w:r>
      <w:r w:rsidR="002D3F21">
        <w:rPr>
          <w:color w:val="000000"/>
        </w:rPr>
        <w:t xml:space="preserve"> </w:t>
      </w:r>
      <w:r w:rsidR="00C413A9">
        <w:rPr>
          <w:color w:val="000000"/>
        </w:rPr>
        <w:t>a</w:t>
      </w:r>
      <w:r w:rsidR="001C19B1">
        <w:rPr>
          <w:color w:val="000000"/>
        </w:rPr>
        <w:t xml:space="preserve"> frequency assignment</w:t>
      </w:r>
      <w:r w:rsidR="00941104" w:rsidRPr="00542E34">
        <w:rPr>
          <w:color w:val="000000"/>
        </w:rPr>
        <w:t xml:space="preserve"> to a space station</w:t>
      </w:r>
      <w:r w:rsidR="00213DBC">
        <w:rPr>
          <w:color w:val="000000"/>
        </w:rPr>
        <w:t xml:space="preserve"> of a satellite network</w:t>
      </w:r>
      <w:r w:rsidR="00941104" w:rsidRPr="00542E34">
        <w:rPr>
          <w:color w:val="000000"/>
        </w:rPr>
        <w:t xml:space="preserve">.  </w:t>
      </w:r>
    </w:p>
    <w:p w:rsidR="00723500" w:rsidRPr="00EF68E9" w:rsidRDefault="005274C9" w:rsidP="0098541A">
      <w:pPr>
        <w:spacing w:before="0" w:after="240"/>
        <w:rPr>
          <w:szCs w:val="24"/>
        </w:rPr>
      </w:pPr>
      <w:r w:rsidRPr="00DB68BE">
        <w:t>2.</w:t>
      </w:r>
      <w:r w:rsidR="00941104">
        <w:t>2</w:t>
      </w:r>
      <w:r w:rsidRPr="00DB68BE">
        <w:tab/>
      </w:r>
      <w:r w:rsidR="00D92033">
        <w:rPr>
          <w:szCs w:val="24"/>
        </w:rPr>
        <w:t xml:space="preserve">For </w:t>
      </w:r>
      <w:r w:rsidR="00C413A9">
        <w:rPr>
          <w:szCs w:val="24"/>
        </w:rPr>
        <w:t>a</w:t>
      </w:r>
      <w:r w:rsidR="001C19B1">
        <w:rPr>
          <w:szCs w:val="24"/>
        </w:rPr>
        <w:t xml:space="preserve"> frequency assignment</w:t>
      </w:r>
      <w:r w:rsidR="00D92033">
        <w:rPr>
          <w:szCs w:val="24"/>
        </w:rPr>
        <w:t xml:space="preserve"> to </w:t>
      </w:r>
      <w:r w:rsidR="00941104">
        <w:rPr>
          <w:szCs w:val="24"/>
        </w:rPr>
        <w:t xml:space="preserve">a space station in the </w:t>
      </w:r>
      <w:r w:rsidR="00EA2F8C">
        <w:rPr>
          <w:szCs w:val="24"/>
        </w:rPr>
        <w:t>GSO</w:t>
      </w:r>
      <w:r w:rsidR="00723500" w:rsidRPr="00EF68E9">
        <w:rPr>
          <w:szCs w:val="24"/>
        </w:rPr>
        <w:t xml:space="preserve">, the Bureau </w:t>
      </w:r>
      <w:r w:rsidR="000F0450">
        <w:rPr>
          <w:szCs w:val="24"/>
        </w:rPr>
        <w:t>will</w:t>
      </w:r>
      <w:r w:rsidR="000F0450" w:rsidRPr="00EF68E9">
        <w:rPr>
          <w:szCs w:val="24"/>
        </w:rPr>
        <w:t xml:space="preserve"> </w:t>
      </w:r>
      <w:r w:rsidR="002D3F21">
        <w:rPr>
          <w:szCs w:val="24"/>
        </w:rPr>
        <w:t>process</w:t>
      </w:r>
      <w:r w:rsidR="002D3F21" w:rsidRPr="00EF68E9">
        <w:rPr>
          <w:szCs w:val="24"/>
        </w:rPr>
        <w:t xml:space="preserve"> </w:t>
      </w:r>
      <w:r w:rsidR="00723500" w:rsidRPr="00EF68E9">
        <w:rPr>
          <w:szCs w:val="24"/>
        </w:rPr>
        <w:t xml:space="preserve">the </w:t>
      </w:r>
      <w:r w:rsidR="000F0450">
        <w:rPr>
          <w:szCs w:val="24"/>
        </w:rPr>
        <w:t>information on</w:t>
      </w:r>
      <w:r w:rsidR="00723500" w:rsidRPr="00EF68E9">
        <w:rPr>
          <w:szCs w:val="24"/>
        </w:rPr>
        <w:t xml:space="preserve"> bringing into use in two</w:t>
      </w:r>
      <w:r w:rsidR="002D3F21">
        <w:rPr>
          <w:szCs w:val="24"/>
        </w:rPr>
        <w:t xml:space="preserve"> </w:t>
      </w:r>
      <w:r w:rsidR="00723500" w:rsidRPr="00EF68E9">
        <w:rPr>
          <w:szCs w:val="24"/>
        </w:rPr>
        <w:t xml:space="preserve">steps: initial </w:t>
      </w:r>
      <w:r w:rsidR="000F0450">
        <w:rPr>
          <w:szCs w:val="24"/>
        </w:rPr>
        <w:t>information</w:t>
      </w:r>
      <w:r w:rsidR="000F0450" w:rsidRPr="00EF68E9">
        <w:rPr>
          <w:szCs w:val="24"/>
        </w:rPr>
        <w:t xml:space="preserve"> </w:t>
      </w:r>
      <w:r w:rsidR="00723500" w:rsidRPr="00EF68E9">
        <w:rPr>
          <w:szCs w:val="24"/>
        </w:rPr>
        <w:t>and confirmation.</w:t>
      </w:r>
    </w:p>
    <w:p w:rsidR="00EA2F8C" w:rsidRDefault="002F2A14">
      <w:pPr>
        <w:spacing w:before="0" w:after="240"/>
        <w:rPr>
          <w:szCs w:val="24"/>
        </w:rPr>
      </w:pPr>
      <w:r>
        <w:t>2.</w:t>
      </w:r>
      <w:r w:rsidR="00941104">
        <w:t>3</w:t>
      </w:r>
      <w:r w:rsidR="00B030D6">
        <w:tab/>
      </w:r>
      <w:r w:rsidR="00723500" w:rsidRPr="00EF68E9">
        <w:rPr>
          <w:szCs w:val="24"/>
        </w:rPr>
        <w:t xml:space="preserve">The </w:t>
      </w:r>
      <w:r w:rsidR="0098541A">
        <w:rPr>
          <w:szCs w:val="24"/>
        </w:rPr>
        <w:t>information on</w:t>
      </w:r>
      <w:r w:rsidR="00723500" w:rsidRPr="00EA2F8C">
        <w:rPr>
          <w:szCs w:val="24"/>
        </w:rPr>
        <w:t xml:space="preserve"> bringing into use</w:t>
      </w:r>
      <w:r w:rsidR="007C445C">
        <w:rPr>
          <w:szCs w:val="24"/>
        </w:rPr>
        <w:t xml:space="preserve"> </w:t>
      </w:r>
      <w:r w:rsidR="00C413A9">
        <w:rPr>
          <w:szCs w:val="24"/>
        </w:rPr>
        <w:t xml:space="preserve">of a frequency assignment </w:t>
      </w:r>
      <w:r w:rsidR="0098541A">
        <w:rPr>
          <w:szCs w:val="24"/>
        </w:rPr>
        <w:t xml:space="preserve">may </w:t>
      </w:r>
      <w:r w:rsidR="00ED57F6">
        <w:rPr>
          <w:szCs w:val="24"/>
        </w:rPr>
        <w:t xml:space="preserve">be </w:t>
      </w:r>
      <w:r w:rsidR="00EA2F8C">
        <w:rPr>
          <w:szCs w:val="24"/>
        </w:rPr>
        <w:t>communicated to the Bureau</w:t>
      </w:r>
      <w:r w:rsidR="00ED57F6">
        <w:rPr>
          <w:szCs w:val="24"/>
        </w:rPr>
        <w:t xml:space="preserve"> in two ways</w:t>
      </w:r>
      <w:r w:rsidR="002D3F21">
        <w:rPr>
          <w:szCs w:val="24"/>
        </w:rPr>
        <w:t>,</w:t>
      </w:r>
      <w:r w:rsidR="00ED57F6">
        <w:rPr>
          <w:szCs w:val="24"/>
        </w:rPr>
        <w:t xml:space="preserve"> </w:t>
      </w:r>
      <w:r w:rsidR="00EA2F8C">
        <w:rPr>
          <w:szCs w:val="24"/>
        </w:rPr>
        <w:t xml:space="preserve">as </w:t>
      </w:r>
      <w:r w:rsidR="002D3F21">
        <w:rPr>
          <w:szCs w:val="24"/>
        </w:rPr>
        <w:t xml:space="preserve">specified </w:t>
      </w:r>
      <w:r w:rsidR="00EA2F8C">
        <w:rPr>
          <w:szCs w:val="24"/>
        </w:rPr>
        <w:t xml:space="preserve">below: </w:t>
      </w:r>
    </w:p>
    <w:p w:rsidR="00723500" w:rsidRPr="00723500" w:rsidRDefault="00C23C30">
      <w:pPr>
        <w:spacing w:before="0" w:after="240"/>
      </w:pPr>
      <w:r>
        <w:rPr>
          <w:szCs w:val="24"/>
        </w:rPr>
        <w:t>2.3.1</w:t>
      </w:r>
      <w:r w:rsidR="00EA2F8C">
        <w:rPr>
          <w:szCs w:val="24"/>
        </w:rPr>
        <w:tab/>
        <w:t xml:space="preserve">For notification of a frequency assignment </w:t>
      </w:r>
      <w:r w:rsidR="00143412">
        <w:rPr>
          <w:szCs w:val="24"/>
        </w:rPr>
        <w:t>to a GSO</w:t>
      </w:r>
      <w:r w:rsidR="00143412" w:rsidRPr="00ED1B89">
        <w:rPr>
          <w:szCs w:val="24"/>
        </w:rPr>
        <w:t xml:space="preserve"> satellite network </w:t>
      </w:r>
      <w:r w:rsidR="00EA2F8C">
        <w:rPr>
          <w:szCs w:val="24"/>
        </w:rPr>
        <w:t xml:space="preserve">under Article </w:t>
      </w:r>
      <w:r w:rsidR="00EA2F8C" w:rsidRPr="00143412">
        <w:rPr>
          <w:b/>
          <w:bCs/>
          <w:szCs w:val="24"/>
        </w:rPr>
        <w:t>11</w:t>
      </w:r>
      <w:r w:rsidR="004A1028">
        <w:rPr>
          <w:szCs w:val="24"/>
        </w:rPr>
        <w:t xml:space="preserve">, Article 5 of Appendices </w:t>
      </w:r>
      <w:r w:rsidR="004A1028" w:rsidRPr="00143412">
        <w:rPr>
          <w:b/>
          <w:bCs/>
          <w:szCs w:val="24"/>
        </w:rPr>
        <w:t>30</w:t>
      </w:r>
      <w:r w:rsidR="004A1028">
        <w:rPr>
          <w:szCs w:val="24"/>
        </w:rPr>
        <w:t xml:space="preserve"> and </w:t>
      </w:r>
      <w:r w:rsidR="004A1028" w:rsidRPr="00143412">
        <w:rPr>
          <w:b/>
          <w:bCs/>
          <w:szCs w:val="24"/>
        </w:rPr>
        <w:t>30A</w:t>
      </w:r>
      <w:r w:rsidR="004A1028">
        <w:rPr>
          <w:szCs w:val="24"/>
        </w:rPr>
        <w:t xml:space="preserve"> and Article 8 of Appendix </w:t>
      </w:r>
      <w:r w:rsidR="004A1028" w:rsidRPr="00143412">
        <w:rPr>
          <w:b/>
          <w:bCs/>
          <w:szCs w:val="24"/>
        </w:rPr>
        <w:t>30B</w:t>
      </w:r>
      <w:r w:rsidR="004A1028">
        <w:rPr>
          <w:szCs w:val="24"/>
        </w:rPr>
        <w:t xml:space="preserve"> </w:t>
      </w:r>
      <w:r w:rsidR="002D3F21">
        <w:rPr>
          <w:szCs w:val="24"/>
        </w:rPr>
        <w:t xml:space="preserve">having </w:t>
      </w:r>
      <w:r w:rsidR="00EA2F8C">
        <w:rPr>
          <w:szCs w:val="24"/>
        </w:rPr>
        <w:t xml:space="preserve">a date of bringing into use </w:t>
      </w:r>
      <w:r w:rsidR="006C4B6C">
        <w:rPr>
          <w:szCs w:val="24"/>
        </w:rPr>
        <w:t>(hereafter referred to as “</w:t>
      </w:r>
      <w:r w:rsidR="006C4B6C" w:rsidRPr="00ED1B89">
        <w:rPr>
          <w:szCs w:val="24"/>
        </w:rPr>
        <w:t>DBIU</w:t>
      </w:r>
      <w:r w:rsidR="006C4B6C">
        <w:rPr>
          <w:szCs w:val="24"/>
        </w:rPr>
        <w:t xml:space="preserve">”) </w:t>
      </w:r>
      <w:r w:rsidR="00EA2F8C">
        <w:rPr>
          <w:szCs w:val="24"/>
        </w:rPr>
        <w:t>earlier tha</w:t>
      </w:r>
      <w:r w:rsidR="00707D49">
        <w:rPr>
          <w:szCs w:val="24"/>
        </w:rPr>
        <w:t>n</w:t>
      </w:r>
      <w:r w:rsidR="00EA2F8C">
        <w:rPr>
          <w:szCs w:val="24"/>
        </w:rPr>
        <w:t xml:space="preserve"> the date of receipt of the notice, the initial </w:t>
      </w:r>
      <w:r w:rsidR="009B1389">
        <w:rPr>
          <w:szCs w:val="24"/>
        </w:rPr>
        <w:t xml:space="preserve">information </w:t>
      </w:r>
      <w:r w:rsidR="00D92033">
        <w:rPr>
          <w:szCs w:val="24"/>
        </w:rPr>
        <w:t>shall be</w:t>
      </w:r>
      <w:r w:rsidR="007C445C">
        <w:rPr>
          <w:szCs w:val="24"/>
        </w:rPr>
        <w:t xml:space="preserve"> </w:t>
      </w:r>
      <w:r w:rsidR="007C445C" w:rsidRPr="008701AB">
        <w:rPr>
          <w:szCs w:val="24"/>
        </w:rPr>
        <w:t xml:space="preserve">considered </w:t>
      </w:r>
      <w:r w:rsidR="002D3F21">
        <w:rPr>
          <w:szCs w:val="24"/>
        </w:rPr>
        <w:t xml:space="preserve">as </w:t>
      </w:r>
      <w:r w:rsidR="00EA2F8C" w:rsidRPr="00143412">
        <w:rPr>
          <w:szCs w:val="24"/>
        </w:rPr>
        <w:t>communicated</w:t>
      </w:r>
      <w:r w:rsidR="007C445C">
        <w:rPr>
          <w:szCs w:val="24"/>
        </w:rPr>
        <w:t xml:space="preserve"> to the Bureau when the </w:t>
      </w:r>
      <w:r w:rsidR="00EA2F8C">
        <w:rPr>
          <w:szCs w:val="24"/>
        </w:rPr>
        <w:t xml:space="preserve">notifying </w:t>
      </w:r>
      <w:r w:rsidR="007C445C">
        <w:rPr>
          <w:szCs w:val="24"/>
        </w:rPr>
        <w:t xml:space="preserve">administration </w:t>
      </w:r>
      <w:r w:rsidR="00EA2F8C">
        <w:rPr>
          <w:szCs w:val="24"/>
        </w:rPr>
        <w:t>provides</w:t>
      </w:r>
      <w:r w:rsidR="00A6378F">
        <w:rPr>
          <w:szCs w:val="24"/>
        </w:rPr>
        <w:t xml:space="preserve"> </w:t>
      </w:r>
      <w:r w:rsidR="007C445C">
        <w:rPr>
          <w:szCs w:val="24"/>
        </w:rPr>
        <w:t>the Bureau</w:t>
      </w:r>
      <w:r w:rsidR="002D3F21" w:rsidRPr="002D3F21">
        <w:rPr>
          <w:szCs w:val="24"/>
        </w:rPr>
        <w:t xml:space="preserve"> </w:t>
      </w:r>
      <w:r w:rsidR="002D3F21">
        <w:rPr>
          <w:szCs w:val="24"/>
        </w:rPr>
        <w:t xml:space="preserve">with the notified DBIU of </w:t>
      </w:r>
      <w:r w:rsidR="009B1389">
        <w:rPr>
          <w:szCs w:val="24"/>
        </w:rPr>
        <w:t xml:space="preserve">the </w:t>
      </w:r>
      <w:r w:rsidR="002D3F21">
        <w:rPr>
          <w:szCs w:val="24"/>
        </w:rPr>
        <w:t>frequency assignment</w:t>
      </w:r>
      <w:r w:rsidR="004A1028">
        <w:rPr>
          <w:szCs w:val="24"/>
        </w:rPr>
        <w:t>,</w:t>
      </w:r>
      <w:r w:rsidR="006552D4">
        <w:rPr>
          <w:szCs w:val="24"/>
        </w:rPr>
        <w:t xml:space="preserve"> under No</w:t>
      </w:r>
      <w:r w:rsidR="006B37ED">
        <w:rPr>
          <w:szCs w:val="24"/>
        </w:rPr>
        <w:t>s</w:t>
      </w:r>
      <w:r w:rsidR="006552D4">
        <w:rPr>
          <w:szCs w:val="24"/>
        </w:rPr>
        <w:t xml:space="preserve">. </w:t>
      </w:r>
      <w:r w:rsidR="006B37ED" w:rsidRPr="00143412">
        <w:rPr>
          <w:b/>
          <w:bCs/>
          <w:szCs w:val="24"/>
        </w:rPr>
        <w:t>11.15</w:t>
      </w:r>
      <w:r w:rsidR="006B37ED">
        <w:rPr>
          <w:szCs w:val="24"/>
        </w:rPr>
        <w:t xml:space="preserve"> </w:t>
      </w:r>
      <w:r w:rsidR="004A1028">
        <w:rPr>
          <w:szCs w:val="24"/>
        </w:rPr>
        <w:t>/</w:t>
      </w:r>
      <w:r w:rsidR="006B37ED">
        <w:rPr>
          <w:szCs w:val="24"/>
        </w:rPr>
        <w:t xml:space="preserve"> </w:t>
      </w:r>
      <w:r w:rsidR="006552D4" w:rsidRPr="006552D4">
        <w:rPr>
          <w:b/>
          <w:bCs/>
          <w:szCs w:val="24"/>
        </w:rPr>
        <w:t>11.25</w:t>
      </w:r>
      <w:r w:rsidR="004A1028">
        <w:rPr>
          <w:szCs w:val="24"/>
        </w:rPr>
        <w:t xml:space="preserve">, </w:t>
      </w:r>
      <w:r w:rsidR="004A1028" w:rsidRPr="004A1028">
        <w:rPr>
          <w:rFonts w:cs="Calibri"/>
        </w:rPr>
        <w:t>§</w:t>
      </w:r>
      <w:r w:rsidR="004A1028">
        <w:t xml:space="preserve">5.1.3 of Appendix </w:t>
      </w:r>
      <w:r w:rsidR="004A1028" w:rsidRPr="00E25915">
        <w:rPr>
          <w:b/>
          <w:bCs/>
        </w:rPr>
        <w:t>30</w:t>
      </w:r>
      <w:r w:rsidR="004A1028">
        <w:rPr>
          <w:b/>
          <w:bCs/>
        </w:rPr>
        <w:t xml:space="preserve">, </w:t>
      </w:r>
      <w:r w:rsidR="004A1028" w:rsidRPr="004A1028">
        <w:rPr>
          <w:rFonts w:cs="Calibri"/>
        </w:rPr>
        <w:t>§</w:t>
      </w:r>
      <w:r w:rsidR="004A1028">
        <w:t xml:space="preserve">5.1.7 of Appendix </w:t>
      </w:r>
      <w:r w:rsidR="004A1028" w:rsidRPr="00E25915">
        <w:rPr>
          <w:b/>
          <w:bCs/>
        </w:rPr>
        <w:t>30</w:t>
      </w:r>
      <w:r w:rsidR="004A1028">
        <w:rPr>
          <w:b/>
          <w:bCs/>
        </w:rPr>
        <w:t xml:space="preserve">A </w:t>
      </w:r>
      <w:r w:rsidR="004A1028">
        <w:rPr>
          <w:color w:val="000000"/>
        </w:rPr>
        <w:t xml:space="preserve">and </w:t>
      </w:r>
      <w:r w:rsidR="004A1028" w:rsidRPr="004A1028">
        <w:rPr>
          <w:rFonts w:cs="Calibri"/>
        </w:rPr>
        <w:t>§</w:t>
      </w:r>
      <w:r w:rsidR="004A1028">
        <w:t xml:space="preserve">8.1 of Appendix </w:t>
      </w:r>
      <w:r w:rsidR="004A1028" w:rsidRPr="00E25915">
        <w:rPr>
          <w:b/>
          <w:bCs/>
        </w:rPr>
        <w:t>30B</w:t>
      </w:r>
      <w:r w:rsidR="00B77A2B">
        <w:rPr>
          <w:szCs w:val="24"/>
        </w:rPr>
        <w:t xml:space="preserve">. </w:t>
      </w:r>
    </w:p>
    <w:p w:rsidR="007C514D" w:rsidRDefault="00B030D6" w:rsidP="00C23C30">
      <w:pPr>
        <w:spacing w:before="0" w:after="240"/>
        <w:rPr>
          <w:szCs w:val="22"/>
          <w:lang w:val="en-US"/>
        </w:rPr>
      </w:pPr>
      <w:r w:rsidRPr="002D0EBE">
        <w:t>2.</w:t>
      </w:r>
      <w:r w:rsidR="00941104">
        <w:t>3</w:t>
      </w:r>
      <w:r w:rsidR="00723500">
        <w:t>.</w:t>
      </w:r>
      <w:r w:rsidR="00EA2F8C">
        <w:t>2</w:t>
      </w:r>
      <w:r w:rsidR="00C23C30">
        <w:tab/>
      </w:r>
      <w:r w:rsidR="00A6378F">
        <w:rPr>
          <w:szCs w:val="24"/>
        </w:rPr>
        <w:t>For</w:t>
      </w:r>
      <w:r w:rsidR="00723500" w:rsidRPr="00ED1B89">
        <w:rPr>
          <w:szCs w:val="24"/>
        </w:rPr>
        <w:t xml:space="preserve"> notification </w:t>
      </w:r>
      <w:r w:rsidR="001C19B1">
        <w:rPr>
          <w:szCs w:val="24"/>
        </w:rPr>
        <w:t>o</w:t>
      </w:r>
      <w:r w:rsidR="00723500" w:rsidRPr="00ED1B89">
        <w:rPr>
          <w:szCs w:val="24"/>
        </w:rPr>
        <w:t xml:space="preserve">f </w:t>
      </w:r>
      <w:r w:rsidR="006552D4">
        <w:rPr>
          <w:szCs w:val="24"/>
        </w:rPr>
        <w:t>a</w:t>
      </w:r>
      <w:r w:rsidR="001C19B1">
        <w:rPr>
          <w:szCs w:val="24"/>
        </w:rPr>
        <w:t xml:space="preserve"> frequency assignment</w:t>
      </w:r>
      <w:r w:rsidR="00A6378F">
        <w:rPr>
          <w:szCs w:val="24"/>
        </w:rPr>
        <w:t xml:space="preserve"> to a GSO</w:t>
      </w:r>
      <w:r w:rsidR="00723500" w:rsidRPr="00ED1B89">
        <w:rPr>
          <w:szCs w:val="24"/>
        </w:rPr>
        <w:t xml:space="preserve"> satellite network </w:t>
      </w:r>
      <w:r w:rsidR="001C19B1" w:rsidRPr="00ED1B89">
        <w:rPr>
          <w:szCs w:val="24"/>
        </w:rPr>
        <w:t>under Article 11</w:t>
      </w:r>
      <w:r w:rsidR="00143412">
        <w:rPr>
          <w:szCs w:val="24"/>
        </w:rPr>
        <w:t>,</w:t>
      </w:r>
      <w:r w:rsidR="00143412" w:rsidRPr="00143412">
        <w:rPr>
          <w:szCs w:val="24"/>
        </w:rPr>
        <w:t xml:space="preserve"> </w:t>
      </w:r>
      <w:r w:rsidR="00143412">
        <w:rPr>
          <w:szCs w:val="24"/>
        </w:rPr>
        <w:t xml:space="preserve">Article 5 of Appendices </w:t>
      </w:r>
      <w:r w:rsidR="00143412" w:rsidRPr="00143412">
        <w:rPr>
          <w:b/>
          <w:bCs/>
          <w:szCs w:val="24"/>
        </w:rPr>
        <w:t>30</w:t>
      </w:r>
      <w:r w:rsidR="00143412">
        <w:rPr>
          <w:szCs w:val="24"/>
        </w:rPr>
        <w:t xml:space="preserve"> and </w:t>
      </w:r>
      <w:r w:rsidR="00143412" w:rsidRPr="00143412">
        <w:rPr>
          <w:b/>
          <w:bCs/>
          <w:szCs w:val="24"/>
        </w:rPr>
        <w:t>30A</w:t>
      </w:r>
      <w:r w:rsidR="00143412">
        <w:rPr>
          <w:szCs w:val="24"/>
        </w:rPr>
        <w:t xml:space="preserve"> and Article 8 of Appendix </w:t>
      </w:r>
      <w:r w:rsidR="00143412" w:rsidRPr="00143412">
        <w:rPr>
          <w:b/>
          <w:bCs/>
          <w:szCs w:val="24"/>
        </w:rPr>
        <w:t>30B</w:t>
      </w:r>
      <w:r w:rsidR="00143412">
        <w:rPr>
          <w:szCs w:val="24"/>
        </w:rPr>
        <w:t xml:space="preserve"> </w:t>
      </w:r>
      <w:r w:rsidR="002D3F21">
        <w:rPr>
          <w:szCs w:val="24"/>
        </w:rPr>
        <w:t>having</w:t>
      </w:r>
      <w:r w:rsidR="002D3F21" w:rsidRPr="00ED1B89">
        <w:rPr>
          <w:szCs w:val="24"/>
        </w:rPr>
        <w:t xml:space="preserve"> </w:t>
      </w:r>
      <w:r w:rsidR="00723500">
        <w:rPr>
          <w:szCs w:val="24"/>
        </w:rPr>
        <w:t xml:space="preserve">a </w:t>
      </w:r>
      <w:r w:rsidR="006C4B6C">
        <w:rPr>
          <w:szCs w:val="24"/>
        </w:rPr>
        <w:t>DBIU</w:t>
      </w:r>
      <w:r w:rsidR="00723500">
        <w:rPr>
          <w:szCs w:val="24"/>
        </w:rPr>
        <w:t xml:space="preserve"> </w:t>
      </w:r>
      <w:r w:rsidR="00723500" w:rsidRPr="00ED1B89">
        <w:rPr>
          <w:szCs w:val="24"/>
        </w:rPr>
        <w:t xml:space="preserve">later than the date of receipt of </w:t>
      </w:r>
      <w:r w:rsidR="006B369C">
        <w:rPr>
          <w:szCs w:val="24"/>
        </w:rPr>
        <w:t xml:space="preserve">the </w:t>
      </w:r>
      <w:r w:rsidR="00723500" w:rsidRPr="00ED1B89">
        <w:rPr>
          <w:szCs w:val="24"/>
        </w:rPr>
        <w:t xml:space="preserve">notice, the </w:t>
      </w:r>
      <w:r w:rsidR="00A6378F">
        <w:rPr>
          <w:szCs w:val="24"/>
        </w:rPr>
        <w:t xml:space="preserve">frequency </w:t>
      </w:r>
      <w:r w:rsidR="001C19B1">
        <w:rPr>
          <w:szCs w:val="24"/>
        </w:rPr>
        <w:t>assignment</w:t>
      </w:r>
      <w:r w:rsidR="00723500" w:rsidRPr="00ED1B89">
        <w:rPr>
          <w:szCs w:val="24"/>
        </w:rPr>
        <w:t xml:space="preserve"> will be </w:t>
      </w:r>
      <w:r w:rsidR="002D3F21">
        <w:rPr>
          <w:szCs w:val="24"/>
        </w:rPr>
        <w:t>processed</w:t>
      </w:r>
      <w:r w:rsidR="002D3F21" w:rsidRPr="00ED1B89">
        <w:rPr>
          <w:szCs w:val="24"/>
        </w:rPr>
        <w:t xml:space="preserve"> </w:t>
      </w:r>
      <w:r w:rsidR="001C19B1" w:rsidRPr="00ED1B89">
        <w:rPr>
          <w:szCs w:val="24"/>
        </w:rPr>
        <w:t>under No.</w:t>
      </w:r>
      <w:r w:rsidR="001C19B1" w:rsidRPr="00A7536C">
        <w:rPr>
          <w:b/>
          <w:bCs/>
          <w:szCs w:val="24"/>
        </w:rPr>
        <w:t>11.47</w:t>
      </w:r>
      <w:r w:rsidR="00C63243">
        <w:rPr>
          <w:b/>
          <w:bCs/>
          <w:szCs w:val="24"/>
        </w:rPr>
        <w:t>,</w:t>
      </w:r>
      <w:r w:rsidR="001C19B1">
        <w:rPr>
          <w:b/>
          <w:bCs/>
          <w:szCs w:val="24"/>
        </w:rPr>
        <w:t xml:space="preserve"> </w:t>
      </w:r>
      <w:r w:rsidR="00C63243" w:rsidRPr="004A1028">
        <w:rPr>
          <w:rFonts w:cs="Calibri"/>
        </w:rPr>
        <w:t>§</w:t>
      </w:r>
      <w:r w:rsidR="00C63243">
        <w:t xml:space="preserve">5.3.1 of Appendices </w:t>
      </w:r>
      <w:r w:rsidR="00C63243" w:rsidRPr="00E25915">
        <w:rPr>
          <w:b/>
          <w:bCs/>
        </w:rPr>
        <w:t>30</w:t>
      </w:r>
      <w:r w:rsidR="00C63243">
        <w:t xml:space="preserve"> and </w:t>
      </w:r>
      <w:r w:rsidR="00C63243" w:rsidRPr="00E25915">
        <w:rPr>
          <w:b/>
          <w:bCs/>
        </w:rPr>
        <w:t>30A</w:t>
      </w:r>
      <w:r w:rsidR="00C63243" w:rsidRPr="00542E34">
        <w:rPr>
          <w:color w:val="000000"/>
        </w:rPr>
        <w:t xml:space="preserve"> </w:t>
      </w:r>
      <w:r w:rsidR="00C63243">
        <w:rPr>
          <w:color w:val="000000"/>
        </w:rPr>
        <w:t xml:space="preserve">and </w:t>
      </w:r>
      <w:r w:rsidR="00C63243" w:rsidRPr="004A1028">
        <w:rPr>
          <w:rFonts w:cs="Calibri"/>
        </w:rPr>
        <w:t>§</w:t>
      </w:r>
      <w:r w:rsidR="00C63243">
        <w:t xml:space="preserve">8.16 of Appendix </w:t>
      </w:r>
      <w:r w:rsidR="00C63243" w:rsidRPr="00E25915">
        <w:rPr>
          <w:b/>
          <w:bCs/>
        </w:rPr>
        <w:t>30B</w:t>
      </w:r>
      <w:r w:rsidR="002D3F21" w:rsidRPr="00B64F97">
        <w:t>,</w:t>
      </w:r>
      <w:r w:rsidR="00143412">
        <w:rPr>
          <w:b/>
          <w:bCs/>
        </w:rPr>
        <w:t xml:space="preserve"> </w:t>
      </w:r>
      <w:r w:rsidR="00143412" w:rsidRPr="00143412">
        <w:t>as appropriate</w:t>
      </w:r>
      <w:r w:rsidR="00143412" w:rsidRPr="00B64F97">
        <w:t>,</w:t>
      </w:r>
      <w:r w:rsidR="00C63243">
        <w:t xml:space="preserve"> </w:t>
      </w:r>
      <w:r w:rsidR="006552D4">
        <w:rPr>
          <w:szCs w:val="24"/>
        </w:rPr>
        <w:t xml:space="preserve">leading to </w:t>
      </w:r>
      <w:r w:rsidR="00723500" w:rsidRPr="00ED1B89">
        <w:rPr>
          <w:szCs w:val="24"/>
        </w:rPr>
        <w:t xml:space="preserve">a provisional </w:t>
      </w:r>
      <w:r w:rsidR="00FF73DF">
        <w:rPr>
          <w:szCs w:val="24"/>
        </w:rPr>
        <w:t>entry in the Master R</w:t>
      </w:r>
      <w:r w:rsidR="001C19B1">
        <w:rPr>
          <w:szCs w:val="24"/>
        </w:rPr>
        <w:t>egister</w:t>
      </w:r>
      <w:r w:rsidR="00723500" w:rsidRPr="00ED1B89">
        <w:rPr>
          <w:szCs w:val="24"/>
        </w:rPr>
        <w:t>.</w:t>
      </w:r>
      <w:r w:rsidR="009B1389">
        <w:rPr>
          <w:szCs w:val="22"/>
          <w:lang w:val="en-US"/>
        </w:rPr>
        <w:t xml:space="preserve"> </w:t>
      </w:r>
    </w:p>
    <w:p w:rsidR="005274C9" w:rsidRPr="002D0EBE" w:rsidRDefault="00723500" w:rsidP="00C23C30">
      <w:pPr>
        <w:spacing w:before="0" w:after="240"/>
      </w:pPr>
      <w:r w:rsidRPr="00ED1B89">
        <w:rPr>
          <w:szCs w:val="24"/>
        </w:rPr>
        <w:t xml:space="preserve">Thereafter, the </w:t>
      </w:r>
      <w:r w:rsidR="002D3F21">
        <w:rPr>
          <w:szCs w:val="24"/>
        </w:rPr>
        <w:t>a</w:t>
      </w:r>
      <w:r w:rsidRPr="00ED1B89">
        <w:rPr>
          <w:szCs w:val="24"/>
        </w:rPr>
        <w:t xml:space="preserve">dministration </w:t>
      </w:r>
      <w:r w:rsidR="009B1389">
        <w:rPr>
          <w:szCs w:val="24"/>
        </w:rPr>
        <w:t>will</w:t>
      </w:r>
      <w:r w:rsidR="009B1389" w:rsidRPr="00ED1B89">
        <w:rPr>
          <w:szCs w:val="24"/>
        </w:rPr>
        <w:t xml:space="preserve"> </w:t>
      </w:r>
      <w:r w:rsidR="006C4B6C">
        <w:rPr>
          <w:szCs w:val="24"/>
        </w:rPr>
        <w:t>communicate</w:t>
      </w:r>
      <w:r w:rsidR="00143412">
        <w:rPr>
          <w:szCs w:val="24"/>
        </w:rPr>
        <w:t xml:space="preserve"> to </w:t>
      </w:r>
      <w:r w:rsidRPr="00ED1B89">
        <w:rPr>
          <w:szCs w:val="24"/>
        </w:rPr>
        <w:t xml:space="preserve">the Bureau </w:t>
      </w:r>
      <w:r w:rsidR="00441DC9">
        <w:rPr>
          <w:szCs w:val="24"/>
        </w:rPr>
        <w:t xml:space="preserve">the date </w:t>
      </w:r>
      <w:r w:rsidRPr="00ED1B89">
        <w:rPr>
          <w:szCs w:val="24"/>
        </w:rPr>
        <w:t xml:space="preserve">when </w:t>
      </w:r>
      <w:r w:rsidR="00C04165">
        <w:rPr>
          <w:szCs w:val="24"/>
        </w:rPr>
        <w:t>the assignment</w:t>
      </w:r>
      <w:r w:rsidR="006B369C">
        <w:rPr>
          <w:szCs w:val="24"/>
        </w:rPr>
        <w:t xml:space="preserve"> to the </w:t>
      </w:r>
      <w:r w:rsidRPr="00ED1B89">
        <w:rPr>
          <w:szCs w:val="24"/>
        </w:rPr>
        <w:t xml:space="preserve">satellite network has been </w:t>
      </w:r>
      <w:r w:rsidR="006552D4">
        <w:rPr>
          <w:szCs w:val="24"/>
        </w:rPr>
        <w:t xml:space="preserve">actually </w:t>
      </w:r>
      <w:r w:rsidRPr="00ED1B89">
        <w:rPr>
          <w:szCs w:val="24"/>
        </w:rPr>
        <w:t>brought into use</w:t>
      </w:r>
      <w:r w:rsidR="006A2335">
        <w:rPr>
          <w:szCs w:val="24"/>
        </w:rPr>
        <w:t xml:space="preserve">, </w:t>
      </w:r>
      <w:r w:rsidR="00441DC9">
        <w:rPr>
          <w:szCs w:val="24"/>
        </w:rPr>
        <w:t xml:space="preserve">thus </w:t>
      </w:r>
      <w:r w:rsidR="006A2335">
        <w:rPr>
          <w:szCs w:val="24"/>
        </w:rPr>
        <w:t xml:space="preserve">providing </w:t>
      </w:r>
      <w:r w:rsidR="006B369C">
        <w:rPr>
          <w:szCs w:val="24"/>
        </w:rPr>
        <w:t xml:space="preserve">an </w:t>
      </w:r>
      <w:r w:rsidR="006A2335" w:rsidRPr="006C4B6C">
        <w:rPr>
          <w:szCs w:val="24"/>
        </w:rPr>
        <w:t>updated</w:t>
      </w:r>
      <w:r w:rsidR="006C4B6C">
        <w:rPr>
          <w:szCs w:val="24"/>
        </w:rPr>
        <w:t xml:space="preserve"> or confirmed</w:t>
      </w:r>
      <w:r w:rsidR="006A2335">
        <w:rPr>
          <w:szCs w:val="24"/>
        </w:rPr>
        <w:t xml:space="preserve"> </w:t>
      </w:r>
      <w:r w:rsidR="00143412">
        <w:rPr>
          <w:szCs w:val="24"/>
        </w:rPr>
        <w:t>DBIU</w:t>
      </w:r>
      <w:r w:rsidR="006C4B6C">
        <w:rPr>
          <w:szCs w:val="24"/>
        </w:rPr>
        <w:t>.</w:t>
      </w:r>
      <w:r w:rsidR="006A2335">
        <w:rPr>
          <w:szCs w:val="24"/>
        </w:rPr>
        <w:t xml:space="preserve"> </w:t>
      </w:r>
      <w:r w:rsidR="006C4B6C">
        <w:rPr>
          <w:szCs w:val="24"/>
        </w:rPr>
        <w:t xml:space="preserve"> This communication </w:t>
      </w:r>
      <w:r w:rsidR="009B1389">
        <w:rPr>
          <w:szCs w:val="24"/>
        </w:rPr>
        <w:t>will</w:t>
      </w:r>
      <w:r w:rsidR="009B1389" w:rsidRPr="00ED1B89">
        <w:rPr>
          <w:szCs w:val="24"/>
        </w:rPr>
        <w:t xml:space="preserve"> </w:t>
      </w:r>
      <w:r w:rsidRPr="00ED1B89">
        <w:rPr>
          <w:szCs w:val="24"/>
        </w:rPr>
        <w:t xml:space="preserve">be </w:t>
      </w:r>
      <w:r w:rsidR="006B369C">
        <w:rPr>
          <w:szCs w:val="24"/>
        </w:rPr>
        <w:t>considered</w:t>
      </w:r>
      <w:r w:rsidRPr="00ED1B89">
        <w:rPr>
          <w:szCs w:val="24"/>
        </w:rPr>
        <w:t xml:space="preserve"> as the “initial </w:t>
      </w:r>
      <w:r w:rsidR="009B1389">
        <w:rPr>
          <w:szCs w:val="24"/>
        </w:rPr>
        <w:t>information</w:t>
      </w:r>
      <w:r w:rsidRPr="00ED1B89">
        <w:rPr>
          <w:szCs w:val="24"/>
        </w:rPr>
        <w:t xml:space="preserve">”.  This </w:t>
      </w:r>
      <w:r>
        <w:rPr>
          <w:szCs w:val="24"/>
        </w:rPr>
        <w:t>i</w:t>
      </w:r>
      <w:r w:rsidRPr="00ED1B89">
        <w:rPr>
          <w:szCs w:val="24"/>
        </w:rPr>
        <w:t xml:space="preserve">nitial </w:t>
      </w:r>
      <w:r w:rsidR="009B1389">
        <w:rPr>
          <w:szCs w:val="24"/>
        </w:rPr>
        <w:t>information on</w:t>
      </w:r>
      <w:r w:rsidRPr="00ED1B89">
        <w:rPr>
          <w:szCs w:val="24"/>
        </w:rPr>
        <w:t xml:space="preserve"> </w:t>
      </w:r>
      <w:r>
        <w:rPr>
          <w:szCs w:val="24"/>
        </w:rPr>
        <w:t>bringing into use</w:t>
      </w:r>
      <w:r w:rsidRPr="00ED1B89">
        <w:rPr>
          <w:szCs w:val="24"/>
        </w:rPr>
        <w:t xml:space="preserve"> </w:t>
      </w:r>
      <w:r w:rsidR="009B1389">
        <w:rPr>
          <w:szCs w:val="24"/>
        </w:rPr>
        <w:t>must</w:t>
      </w:r>
      <w:r w:rsidR="009B1389" w:rsidRPr="00ED1B89">
        <w:rPr>
          <w:szCs w:val="24"/>
        </w:rPr>
        <w:t xml:space="preserve"> </w:t>
      </w:r>
      <w:r w:rsidRPr="00ED1B89">
        <w:rPr>
          <w:szCs w:val="24"/>
        </w:rPr>
        <w:t xml:space="preserve">be received by the Bureau </w:t>
      </w:r>
      <w:r w:rsidR="009B1389">
        <w:rPr>
          <w:szCs w:val="24"/>
        </w:rPr>
        <w:t xml:space="preserve">no later than 30 days after </w:t>
      </w:r>
      <w:r w:rsidR="003E72F7">
        <w:rPr>
          <w:szCs w:val="24"/>
        </w:rPr>
        <w:t xml:space="preserve">the </w:t>
      </w:r>
      <w:r w:rsidR="009B1389">
        <w:rPr>
          <w:szCs w:val="24"/>
        </w:rPr>
        <w:t xml:space="preserve">applicable </w:t>
      </w:r>
      <w:r w:rsidR="003E72F7">
        <w:rPr>
          <w:szCs w:val="24"/>
        </w:rPr>
        <w:t xml:space="preserve">regulatory </w:t>
      </w:r>
      <w:r w:rsidR="00441DC9">
        <w:rPr>
          <w:szCs w:val="24"/>
        </w:rPr>
        <w:t>time-</w:t>
      </w:r>
      <w:r w:rsidRPr="00ED1B89">
        <w:rPr>
          <w:szCs w:val="24"/>
        </w:rPr>
        <w:t xml:space="preserve">limit </w:t>
      </w:r>
      <w:r>
        <w:rPr>
          <w:szCs w:val="24"/>
        </w:rPr>
        <w:t>(No.</w:t>
      </w:r>
      <w:r w:rsidRPr="00A7536C">
        <w:rPr>
          <w:b/>
          <w:bCs/>
          <w:szCs w:val="24"/>
        </w:rPr>
        <w:t>11.47</w:t>
      </w:r>
      <w:r w:rsidR="00C63243">
        <w:rPr>
          <w:b/>
          <w:bCs/>
          <w:szCs w:val="24"/>
        </w:rPr>
        <w:t xml:space="preserve">, </w:t>
      </w:r>
      <w:r w:rsidR="00C63243" w:rsidRPr="004A1028">
        <w:rPr>
          <w:rFonts w:cs="Calibri"/>
        </w:rPr>
        <w:t>§</w:t>
      </w:r>
      <w:r w:rsidR="00C63243">
        <w:t xml:space="preserve">5.3.1 of Appendices </w:t>
      </w:r>
      <w:r w:rsidR="00C63243" w:rsidRPr="00E25915">
        <w:rPr>
          <w:b/>
          <w:bCs/>
        </w:rPr>
        <w:t>30</w:t>
      </w:r>
      <w:r w:rsidR="00C63243">
        <w:t xml:space="preserve"> and </w:t>
      </w:r>
      <w:r w:rsidR="00C63243" w:rsidRPr="00E25915">
        <w:rPr>
          <w:b/>
          <w:bCs/>
        </w:rPr>
        <w:t>30A</w:t>
      </w:r>
      <w:r w:rsidR="00C63243" w:rsidRPr="00542E34">
        <w:rPr>
          <w:color w:val="000000"/>
        </w:rPr>
        <w:t xml:space="preserve"> </w:t>
      </w:r>
      <w:r w:rsidR="00C63243">
        <w:rPr>
          <w:color w:val="000000"/>
        </w:rPr>
        <w:t xml:space="preserve">and </w:t>
      </w:r>
      <w:r w:rsidR="00C63243" w:rsidRPr="004A1028">
        <w:rPr>
          <w:rFonts w:cs="Calibri"/>
        </w:rPr>
        <w:t>§</w:t>
      </w:r>
      <w:r w:rsidR="00C63243">
        <w:t xml:space="preserve">8.16 of Appendix </w:t>
      </w:r>
      <w:r w:rsidR="00C63243" w:rsidRPr="00E25915">
        <w:rPr>
          <w:b/>
          <w:bCs/>
        </w:rPr>
        <w:t>30B</w:t>
      </w:r>
      <w:r w:rsidR="00C63243">
        <w:rPr>
          <w:szCs w:val="24"/>
        </w:rPr>
        <w:t xml:space="preserve"> </w:t>
      </w:r>
      <w:r w:rsidR="00143412">
        <w:rPr>
          <w:szCs w:val="24"/>
        </w:rPr>
        <w:t>refer</w:t>
      </w:r>
      <w:r>
        <w:rPr>
          <w:szCs w:val="24"/>
        </w:rPr>
        <w:t>)</w:t>
      </w:r>
      <w:r w:rsidR="001004B9">
        <w:rPr>
          <w:szCs w:val="24"/>
        </w:rPr>
        <w:t xml:space="preserve">, </w:t>
      </w:r>
      <w:r w:rsidR="00441DC9">
        <w:rPr>
          <w:szCs w:val="24"/>
        </w:rPr>
        <w:t xml:space="preserve">and </w:t>
      </w:r>
      <w:r w:rsidR="001004B9">
        <w:rPr>
          <w:szCs w:val="24"/>
        </w:rPr>
        <w:t xml:space="preserve">the DBIU </w:t>
      </w:r>
      <w:r w:rsidR="00441DC9">
        <w:rPr>
          <w:szCs w:val="24"/>
        </w:rPr>
        <w:t xml:space="preserve">must </w:t>
      </w:r>
      <w:r w:rsidR="001004B9">
        <w:rPr>
          <w:szCs w:val="24"/>
        </w:rPr>
        <w:t xml:space="preserve">be within the </w:t>
      </w:r>
      <w:r w:rsidR="003E72F7">
        <w:rPr>
          <w:szCs w:val="24"/>
        </w:rPr>
        <w:t>regulatory time</w:t>
      </w:r>
      <w:r w:rsidR="00441DC9">
        <w:rPr>
          <w:szCs w:val="24"/>
        </w:rPr>
        <w:t>-</w:t>
      </w:r>
      <w:r w:rsidR="001004B9">
        <w:rPr>
          <w:szCs w:val="24"/>
        </w:rPr>
        <w:t>limit.</w:t>
      </w:r>
      <w:r w:rsidR="009B1389">
        <w:rPr>
          <w:szCs w:val="24"/>
        </w:rPr>
        <w:t xml:space="preserve"> Otherwise, </w:t>
      </w:r>
      <w:r w:rsidR="009B1389">
        <w:t>the Bureau will cancel the entry in the Master Register in accordance with No.</w:t>
      </w:r>
      <w:r w:rsidR="009B1389" w:rsidRPr="00AC2E6E">
        <w:rPr>
          <w:b/>
          <w:bCs/>
        </w:rPr>
        <w:t>11.4</w:t>
      </w:r>
      <w:r w:rsidR="009B1389">
        <w:rPr>
          <w:b/>
          <w:bCs/>
        </w:rPr>
        <w:t>7,</w:t>
      </w:r>
      <w:r w:rsidR="009B1389" w:rsidRPr="00C63243">
        <w:rPr>
          <w:szCs w:val="24"/>
        </w:rPr>
        <w:t xml:space="preserve"> </w:t>
      </w:r>
      <w:r w:rsidR="009B1389" w:rsidRPr="004A1028">
        <w:rPr>
          <w:rFonts w:cs="Calibri"/>
        </w:rPr>
        <w:t>§</w:t>
      </w:r>
      <w:r w:rsidR="009B1389">
        <w:t xml:space="preserve">5.3.1 of Appendices </w:t>
      </w:r>
      <w:r w:rsidR="009B1389" w:rsidRPr="00E25915">
        <w:rPr>
          <w:b/>
          <w:bCs/>
        </w:rPr>
        <w:t>30</w:t>
      </w:r>
      <w:r w:rsidR="009B1389">
        <w:t xml:space="preserve"> and </w:t>
      </w:r>
      <w:r w:rsidR="009B1389" w:rsidRPr="00E25915">
        <w:rPr>
          <w:b/>
          <w:bCs/>
        </w:rPr>
        <w:t>30A</w:t>
      </w:r>
      <w:r w:rsidR="009B1389" w:rsidRPr="00542E34">
        <w:rPr>
          <w:color w:val="000000"/>
        </w:rPr>
        <w:t xml:space="preserve"> </w:t>
      </w:r>
      <w:r w:rsidR="009B1389">
        <w:rPr>
          <w:color w:val="000000"/>
        </w:rPr>
        <w:t xml:space="preserve">and </w:t>
      </w:r>
      <w:r w:rsidR="009B1389" w:rsidRPr="004A1028">
        <w:rPr>
          <w:rFonts w:cs="Calibri"/>
        </w:rPr>
        <w:t>§</w:t>
      </w:r>
      <w:r w:rsidR="009B1389">
        <w:t xml:space="preserve">8.16 of Appendix </w:t>
      </w:r>
      <w:r w:rsidR="009B1389" w:rsidRPr="00E25915">
        <w:rPr>
          <w:b/>
          <w:bCs/>
        </w:rPr>
        <w:t>30B</w:t>
      </w:r>
      <w:r w:rsidR="009B1389">
        <w:t>, after having informed the administration concerned</w:t>
      </w:r>
      <w:r w:rsidR="009B1389" w:rsidRPr="00F53CE6">
        <w:t>.</w:t>
      </w:r>
    </w:p>
    <w:p w:rsidR="00723500" w:rsidRDefault="005274C9">
      <w:pPr>
        <w:spacing w:before="0" w:after="240"/>
        <w:rPr>
          <w:szCs w:val="24"/>
        </w:rPr>
      </w:pPr>
      <w:r w:rsidRPr="002D0EBE">
        <w:rPr>
          <w:szCs w:val="22"/>
          <w:lang w:val="en-US"/>
        </w:rPr>
        <w:t>2.</w:t>
      </w:r>
      <w:r w:rsidR="00941104">
        <w:rPr>
          <w:szCs w:val="22"/>
          <w:lang w:val="en-US"/>
        </w:rPr>
        <w:t>3</w:t>
      </w:r>
      <w:r w:rsidR="00723500">
        <w:rPr>
          <w:szCs w:val="22"/>
          <w:lang w:val="en-US"/>
        </w:rPr>
        <w:t>.</w:t>
      </w:r>
      <w:r w:rsidR="009B1389">
        <w:rPr>
          <w:szCs w:val="22"/>
          <w:lang w:val="en-US"/>
        </w:rPr>
        <w:t>3</w:t>
      </w:r>
      <w:r w:rsidRPr="002D0EBE">
        <w:rPr>
          <w:szCs w:val="22"/>
          <w:lang w:val="en-US"/>
        </w:rPr>
        <w:tab/>
      </w:r>
      <w:r w:rsidR="00723500" w:rsidRPr="00ED1B89">
        <w:rPr>
          <w:szCs w:val="24"/>
        </w:rPr>
        <w:t>The Bureau</w:t>
      </w:r>
      <w:r w:rsidR="009B1389">
        <w:rPr>
          <w:szCs w:val="24"/>
        </w:rPr>
        <w:t xml:space="preserve"> will</w:t>
      </w:r>
      <w:r w:rsidR="00723500" w:rsidRPr="00ED1B89">
        <w:rPr>
          <w:szCs w:val="24"/>
        </w:rPr>
        <w:t xml:space="preserve"> </w:t>
      </w:r>
      <w:r w:rsidR="006C4B6C">
        <w:rPr>
          <w:szCs w:val="24"/>
        </w:rPr>
        <w:t>insert</w:t>
      </w:r>
      <w:r w:rsidR="006C4B6C" w:rsidRPr="00ED1B89">
        <w:rPr>
          <w:szCs w:val="24"/>
        </w:rPr>
        <w:t xml:space="preserve"> </w:t>
      </w:r>
      <w:r w:rsidR="00723500" w:rsidRPr="00ED1B89">
        <w:rPr>
          <w:szCs w:val="24"/>
        </w:rPr>
        <w:t>the status</w:t>
      </w:r>
      <w:r w:rsidR="006B369C">
        <w:rPr>
          <w:szCs w:val="24"/>
        </w:rPr>
        <w:t xml:space="preserve"> of the frequency assignment</w:t>
      </w:r>
      <w:r w:rsidR="00723500" w:rsidRPr="00ED1B89">
        <w:rPr>
          <w:szCs w:val="24"/>
        </w:rPr>
        <w:t xml:space="preserve"> </w:t>
      </w:r>
      <w:r w:rsidR="009B499B">
        <w:rPr>
          <w:szCs w:val="24"/>
        </w:rPr>
        <w:t>in the SNS [</w:t>
      </w:r>
      <w:proofErr w:type="spellStart"/>
      <w:r w:rsidR="00795945">
        <w:rPr>
          <w:szCs w:val="24"/>
        </w:rPr>
        <w:t>grp.f_biu</w:t>
      </w:r>
      <w:proofErr w:type="spellEnd"/>
      <w:r w:rsidR="00795945">
        <w:rPr>
          <w:szCs w:val="24"/>
        </w:rPr>
        <w:t>=</w:t>
      </w:r>
      <w:r w:rsidR="00795945" w:rsidRPr="00ED1B89">
        <w:rPr>
          <w:szCs w:val="24"/>
        </w:rPr>
        <w:t>“</w:t>
      </w:r>
      <w:r w:rsidR="00723500" w:rsidRPr="00ED1B89">
        <w:rPr>
          <w:szCs w:val="24"/>
        </w:rPr>
        <w:t>I”</w:t>
      </w:r>
      <w:r w:rsidR="009B499B">
        <w:rPr>
          <w:szCs w:val="24"/>
        </w:rPr>
        <w:t>]</w:t>
      </w:r>
      <w:r w:rsidR="00723500" w:rsidRPr="00ED1B89">
        <w:rPr>
          <w:szCs w:val="24"/>
        </w:rPr>
        <w:t xml:space="preserve">, and </w:t>
      </w:r>
      <w:r w:rsidR="006C4B6C">
        <w:rPr>
          <w:szCs w:val="24"/>
        </w:rPr>
        <w:t>post</w:t>
      </w:r>
      <w:r w:rsidR="00336989">
        <w:rPr>
          <w:szCs w:val="24"/>
        </w:rPr>
        <w:t>s</w:t>
      </w:r>
      <w:r w:rsidR="006C4B6C" w:rsidRPr="00ED1B89">
        <w:rPr>
          <w:szCs w:val="24"/>
        </w:rPr>
        <w:t xml:space="preserve"> </w:t>
      </w:r>
      <w:r w:rsidR="00723500" w:rsidRPr="00ED1B89">
        <w:rPr>
          <w:szCs w:val="24"/>
        </w:rPr>
        <w:t xml:space="preserve">the information on the </w:t>
      </w:r>
      <w:r w:rsidR="006B369C">
        <w:rPr>
          <w:szCs w:val="24"/>
        </w:rPr>
        <w:t>ITU</w:t>
      </w:r>
      <w:r w:rsidR="00441DC9">
        <w:rPr>
          <w:szCs w:val="24"/>
        </w:rPr>
        <w:t>-</w:t>
      </w:r>
      <w:r w:rsidR="00FF73DF">
        <w:rPr>
          <w:szCs w:val="24"/>
        </w:rPr>
        <w:t>BR</w:t>
      </w:r>
      <w:r w:rsidR="006B369C">
        <w:rPr>
          <w:szCs w:val="24"/>
        </w:rPr>
        <w:t xml:space="preserve"> </w:t>
      </w:r>
      <w:r w:rsidR="00723500" w:rsidRPr="00ED1B89">
        <w:rPr>
          <w:szCs w:val="24"/>
        </w:rPr>
        <w:t>web</w:t>
      </w:r>
      <w:r w:rsidR="006B369C">
        <w:rPr>
          <w:szCs w:val="24"/>
        </w:rPr>
        <w:t>page</w:t>
      </w:r>
      <w:r w:rsidR="00441DC9">
        <w:rPr>
          <w:szCs w:val="24"/>
        </w:rPr>
        <w:t>,</w:t>
      </w:r>
      <w:r w:rsidR="00723500" w:rsidRPr="00ED1B89">
        <w:rPr>
          <w:szCs w:val="24"/>
        </w:rPr>
        <w:t xml:space="preserve"> indicating</w:t>
      </w:r>
      <w:r w:rsidR="00035380">
        <w:rPr>
          <w:szCs w:val="24"/>
        </w:rPr>
        <w:t xml:space="preserve"> “I” for</w:t>
      </w:r>
      <w:r w:rsidR="00035380" w:rsidRPr="00ED1B89">
        <w:rPr>
          <w:szCs w:val="24"/>
        </w:rPr>
        <w:t xml:space="preserve"> </w:t>
      </w:r>
      <w:r w:rsidR="00336989">
        <w:rPr>
          <w:szCs w:val="24"/>
        </w:rPr>
        <w:t xml:space="preserve">initial </w:t>
      </w:r>
      <w:r w:rsidR="009B1389">
        <w:rPr>
          <w:szCs w:val="24"/>
        </w:rPr>
        <w:t>information on</w:t>
      </w:r>
      <w:r w:rsidR="00035380">
        <w:rPr>
          <w:szCs w:val="24"/>
        </w:rPr>
        <w:t xml:space="preserve"> bringing</w:t>
      </w:r>
      <w:r w:rsidR="00035380" w:rsidRPr="00ED1B89">
        <w:rPr>
          <w:szCs w:val="24"/>
        </w:rPr>
        <w:t xml:space="preserve"> into use </w:t>
      </w:r>
      <w:r w:rsidR="008C5515">
        <w:rPr>
          <w:szCs w:val="24"/>
        </w:rPr>
        <w:t xml:space="preserve">in the </w:t>
      </w:r>
      <w:r w:rsidR="00E77482">
        <w:rPr>
          <w:szCs w:val="24"/>
        </w:rPr>
        <w:t>Status</w:t>
      </w:r>
      <w:r w:rsidR="00441DC9" w:rsidRPr="00441DC9">
        <w:rPr>
          <w:szCs w:val="24"/>
        </w:rPr>
        <w:t xml:space="preserve"> </w:t>
      </w:r>
      <w:r w:rsidR="00441DC9">
        <w:rPr>
          <w:szCs w:val="24"/>
        </w:rPr>
        <w:t>column</w:t>
      </w:r>
      <w:r w:rsidR="00723500" w:rsidRPr="00ED1B89">
        <w:rPr>
          <w:szCs w:val="24"/>
        </w:rPr>
        <w:t xml:space="preserve">. </w:t>
      </w:r>
    </w:p>
    <w:p w:rsidR="00B77A2B" w:rsidRDefault="00B77A2B">
      <w:pPr>
        <w:spacing w:before="0" w:after="240"/>
      </w:pPr>
      <w:r>
        <w:t>2.3.</w:t>
      </w:r>
      <w:r w:rsidR="00164814">
        <w:t>4</w:t>
      </w:r>
      <w:r>
        <w:tab/>
        <w:t xml:space="preserve">The notified </w:t>
      </w:r>
      <w:r w:rsidR="006C4B6C">
        <w:t>DBIU</w:t>
      </w:r>
      <w:r>
        <w:t xml:space="preserve"> provided and confirmed in this initial </w:t>
      </w:r>
      <w:r w:rsidR="00164814">
        <w:t xml:space="preserve">information </w:t>
      </w:r>
      <w:r>
        <w:t>p</w:t>
      </w:r>
      <w:r w:rsidR="006C4B6C">
        <w:t xml:space="preserve">hase </w:t>
      </w:r>
      <w:r>
        <w:t xml:space="preserve">will be the </w:t>
      </w:r>
      <w:r w:rsidR="003E72F7">
        <w:t xml:space="preserve">date of commencement of the </w:t>
      </w:r>
      <w:r w:rsidR="00441DC9">
        <w:t>90</w:t>
      </w:r>
      <w:r w:rsidR="003E72F7">
        <w:t xml:space="preserve">-day period </w:t>
      </w:r>
      <w:r>
        <w:t xml:space="preserve">as stated under No. </w:t>
      </w:r>
      <w:r w:rsidRPr="00143412">
        <w:rPr>
          <w:b/>
          <w:bCs/>
        </w:rPr>
        <w:t>11.44.2</w:t>
      </w:r>
      <w:r>
        <w:t>.</w:t>
      </w:r>
    </w:p>
    <w:p w:rsidR="003E72F7" w:rsidRPr="00100433" w:rsidRDefault="003E72F7" w:rsidP="00C23C30">
      <w:pPr>
        <w:spacing w:before="0" w:after="240"/>
        <w:rPr>
          <w:szCs w:val="24"/>
        </w:rPr>
      </w:pPr>
      <w:r>
        <w:lastRenderedPageBreak/>
        <w:t>2.3.</w:t>
      </w:r>
      <w:r w:rsidR="00C23C30">
        <w:t>5</w:t>
      </w:r>
      <w:r>
        <w:tab/>
      </w:r>
      <w:r w:rsidR="00143412">
        <w:t>I</w:t>
      </w:r>
      <w:r w:rsidRPr="00804953">
        <w:rPr>
          <w:szCs w:val="24"/>
        </w:rPr>
        <w:t xml:space="preserve">n order to </w:t>
      </w:r>
      <w:r w:rsidR="00804953">
        <w:rPr>
          <w:szCs w:val="24"/>
        </w:rPr>
        <w:t xml:space="preserve">comply with the provisions of No. </w:t>
      </w:r>
      <w:r w:rsidR="00804953" w:rsidRPr="00804953">
        <w:rPr>
          <w:b/>
          <w:bCs/>
          <w:szCs w:val="24"/>
        </w:rPr>
        <w:t>11.44B</w:t>
      </w:r>
      <w:r w:rsidR="00804953">
        <w:rPr>
          <w:szCs w:val="24"/>
        </w:rPr>
        <w:t xml:space="preserve"> regarding the</w:t>
      </w:r>
      <w:r w:rsidRPr="00804953">
        <w:rPr>
          <w:szCs w:val="24"/>
        </w:rPr>
        <w:t xml:space="preserve"> confirmation</w:t>
      </w:r>
      <w:r w:rsidR="00804953">
        <w:rPr>
          <w:szCs w:val="24"/>
        </w:rPr>
        <w:t xml:space="preserve"> to be provided</w:t>
      </w:r>
      <w:r w:rsidRPr="00804953">
        <w:rPr>
          <w:szCs w:val="24"/>
        </w:rPr>
        <w:t xml:space="preserve"> within 30 days after</w:t>
      </w:r>
      <w:r>
        <w:rPr>
          <w:szCs w:val="24"/>
        </w:rPr>
        <w:t xml:space="preserve"> the </w:t>
      </w:r>
      <w:r w:rsidR="00441DC9">
        <w:rPr>
          <w:szCs w:val="24"/>
        </w:rPr>
        <w:t>90</w:t>
      </w:r>
      <w:r>
        <w:rPr>
          <w:szCs w:val="24"/>
        </w:rPr>
        <w:t>-day period</w:t>
      </w:r>
      <w:r w:rsidR="00143412">
        <w:rPr>
          <w:szCs w:val="24"/>
        </w:rPr>
        <w:t>,</w:t>
      </w:r>
      <w:r>
        <w:rPr>
          <w:szCs w:val="24"/>
        </w:rPr>
        <w:t xml:space="preserve"> </w:t>
      </w:r>
      <w:r>
        <w:t>the date of commencement</w:t>
      </w:r>
      <w:r>
        <w:rPr>
          <w:szCs w:val="24"/>
        </w:rPr>
        <w:t xml:space="preserve"> of the </w:t>
      </w:r>
      <w:r w:rsidR="00441DC9">
        <w:rPr>
          <w:szCs w:val="24"/>
        </w:rPr>
        <w:t>90</w:t>
      </w:r>
      <w:r>
        <w:rPr>
          <w:szCs w:val="24"/>
        </w:rPr>
        <w:t xml:space="preserve">-day </w:t>
      </w:r>
      <w:r w:rsidR="00441DC9">
        <w:rPr>
          <w:szCs w:val="24"/>
        </w:rPr>
        <w:t xml:space="preserve">period </w:t>
      </w:r>
      <w:r w:rsidR="00164814">
        <w:rPr>
          <w:szCs w:val="24"/>
        </w:rPr>
        <w:t>cannot</w:t>
      </w:r>
      <w:r>
        <w:rPr>
          <w:szCs w:val="24"/>
        </w:rPr>
        <w:t xml:space="preserve"> be earlier than 120 days before the date of receipt of notification </w:t>
      </w:r>
      <w:r w:rsidR="008662A7">
        <w:rPr>
          <w:szCs w:val="24"/>
        </w:rPr>
        <w:t>under No.</w:t>
      </w:r>
      <w:r w:rsidR="00441DC9">
        <w:rPr>
          <w:szCs w:val="24"/>
        </w:rPr>
        <w:t> </w:t>
      </w:r>
      <w:r w:rsidR="008662A7" w:rsidRPr="00804953">
        <w:rPr>
          <w:b/>
          <w:bCs/>
          <w:szCs w:val="24"/>
        </w:rPr>
        <w:t>11.15</w:t>
      </w:r>
      <w:r w:rsidR="00804953">
        <w:rPr>
          <w:b/>
          <w:bCs/>
          <w:szCs w:val="24"/>
        </w:rPr>
        <w:t>,</w:t>
      </w:r>
      <w:r w:rsidR="008662A7">
        <w:rPr>
          <w:szCs w:val="24"/>
        </w:rPr>
        <w:t xml:space="preserve"> </w:t>
      </w:r>
      <w:r w:rsidR="00C63243" w:rsidRPr="004A1028">
        <w:rPr>
          <w:rFonts w:cs="Calibri"/>
        </w:rPr>
        <w:t>§</w:t>
      </w:r>
      <w:r w:rsidR="00C63243">
        <w:t xml:space="preserve">5.1.3 of Appendix </w:t>
      </w:r>
      <w:r w:rsidR="00C63243" w:rsidRPr="00E25915">
        <w:rPr>
          <w:b/>
          <w:bCs/>
        </w:rPr>
        <w:t>30</w:t>
      </w:r>
      <w:r w:rsidR="00C63243">
        <w:rPr>
          <w:b/>
          <w:bCs/>
        </w:rPr>
        <w:t xml:space="preserve">, </w:t>
      </w:r>
      <w:r w:rsidR="00C63243" w:rsidRPr="004A1028">
        <w:rPr>
          <w:rFonts w:cs="Calibri"/>
        </w:rPr>
        <w:t>§</w:t>
      </w:r>
      <w:r w:rsidR="00C63243">
        <w:t xml:space="preserve">5.1.7 of Appendix </w:t>
      </w:r>
      <w:r w:rsidR="00C63243" w:rsidRPr="00E25915">
        <w:rPr>
          <w:b/>
          <w:bCs/>
        </w:rPr>
        <w:t>30</w:t>
      </w:r>
      <w:r w:rsidR="00C63243">
        <w:rPr>
          <w:b/>
          <w:bCs/>
        </w:rPr>
        <w:t xml:space="preserve">A </w:t>
      </w:r>
      <w:r w:rsidR="00C63243">
        <w:rPr>
          <w:color w:val="000000"/>
        </w:rPr>
        <w:t xml:space="preserve">and </w:t>
      </w:r>
      <w:r w:rsidR="00C63243" w:rsidRPr="004A1028">
        <w:rPr>
          <w:rFonts w:cs="Calibri"/>
        </w:rPr>
        <w:t>§</w:t>
      </w:r>
      <w:r w:rsidR="00C63243">
        <w:t xml:space="preserve">8.1 of Appendix </w:t>
      </w:r>
      <w:r w:rsidR="00C63243" w:rsidRPr="00E25915">
        <w:rPr>
          <w:b/>
          <w:bCs/>
        </w:rPr>
        <w:t>30B</w:t>
      </w:r>
      <w:r>
        <w:rPr>
          <w:szCs w:val="24"/>
        </w:rPr>
        <w:t>.</w:t>
      </w:r>
    </w:p>
    <w:p w:rsidR="00723500" w:rsidRPr="00EF68E9" w:rsidRDefault="005274C9">
      <w:pPr>
        <w:spacing w:before="0" w:after="240"/>
        <w:rPr>
          <w:szCs w:val="24"/>
        </w:rPr>
      </w:pPr>
      <w:r w:rsidRPr="002D0EBE">
        <w:rPr>
          <w:szCs w:val="22"/>
          <w:lang w:val="en-US"/>
        </w:rPr>
        <w:t>2.</w:t>
      </w:r>
      <w:r w:rsidR="00941104">
        <w:rPr>
          <w:szCs w:val="22"/>
          <w:lang w:val="en-US"/>
        </w:rPr>
        <w:t>4</w:t>
      </w:r>
      <w:r w:rsidRPr="002D0EBE">
        <w:rPr>
          <w:szCs w:val="22"/>
          <w:lang w:val="en-US"/>
        </w:rPr>
        <w:tab/>
      </w:r>
      <w:r w:rsidR="00723500" w:rsidRPr="00EF68E9">
        <w:rPr>
          <w:szCs w:val="24"/>
        </w:rPr>
        <w:t xml:space="preserve">The confirmation </w:t>
      </w:r>
      <w:r w:rsidR="00164814">
        <w:rPr>
          <w:szCs w:val="24"/>
        </w:rPr>
        <w:t>on</w:t>
      </w:r>
      <w:r w:rsidR="00164814" w:rsidRPr="00EF68E9">
        <w:rPr>
          <w:szCs w:val="24"/>
        </w:rPr>
        <w:t xml:space="preserve"> </w:t>
      </w:r>
      <w:r w:rsidR="00723500" w:rsidRPr="00EF68E9">
        <w:rPr>
          <w:szCs w:val="24"/>
        </w:rPr>
        <w:t xml:space="preserve">bringing into use </w:t>
      </w:r>
      <w:r w:rsidR="00F358D4">
        <w:rPr>
          <w:szCs w:val="24"/>
        </w:rPr>
        <w:t xml:space="preserve">of the frequency assignment </w:t>
      </w:r>
      <w:r w:rsidR="00164814">
        <w:rPr>
          <w:szCs w:val="24"/>
        </w:rPr>
        <w:t xml:space="preserve">will </w:t>
      </w:r>
      <w:r w:rsidR="00742439">
        <w:rPr>
          <w:szCs w:val="24"/>
        </w:rPr>
        <w:t>be</w:t>
      </w:r>
      <w:r w:rsidR="00723500" w:rsidRPr="00EF68E9">
        <w:rPr>
          <w:szCs w:val="24"/>
        </w:rPr>
        <w:t xml:space="preserve"> </w:t>
      </w:r>
      <w:r w:rsidR="001C280C">
        <w:rPr>
          <w:szCs w:val="24"/>
        </w:rPr>
        <w:t xml:space="preserve">considered </w:t>
      </w:r>
      <w:r w:rsidR="00441DC9">
        <w:rPr>
          <w:szCs w:val="24"/>
        </w:rPr>
        <w:t xml:space="preserve">as </w:t>
      </w:r>
      <w:r w:rsidR="00C63243">
        <w:rPr>
          <w:szCs w:val="24"/>
        </w:rPr>
        <w:t xml:space="preserve">communicated </w:t>
      </w:r>
      <w:r w:rsidR="001C280C">
        <w:rPr>
          <w:szCs w:val="24"/>
        </w:rPr>
        <w:t xml:space="preserve">to the Bureau when the administration </w:t>
      </w:r>
      <w:r w:rsidR="00D41834">
        <w:rPr>
          <w:szCs w:val="24"/>
        </w:rPr>
        <w:t>inform</w:t>
      </w:r>
      <w:r w:rsidR="00C63243">
        <w:rPr>
          <w:szCs w:val="24"/>
        </w:rPr>
        <w:t>s</w:t>
      </w:r>
      <w:r w:rsidR="001C280C">
        <w:rPr>
          <w:szCs w:val="24"/>
        </w:rPr>
        <w:t xml:space="preserve"> the Bureau that </w:t>
      </w:r>
      <w:r w:rsidR="001C280C" w:rsidRPr="00EF68E9">
        <w:rPr>
          <w:szCs w:val="24"/>
        </w:rPr>
        <w:t>a spa</w:t>
      </w:r>
      <w:r w:rsidR="00742439">
        <w:rPr>
          <w:szCs w:val="24"/>
        </w:rPr>
        <w:t xml:space="preserve">ce station in the </w:t>
      </w:r>
      <w:r w:rsidR="00BB5090">
        <w:rPr>
          <w:szCs w:val="24"/>
        </w:rPr>
        <w:t>GSO</w:t>
      </w:r>
      <w:r w:rsidR="004455C8">
        <w:rPr>
          <w:szCs w:val="24"/>
        </w:rPr>
        <w:t xml:space="preserve"> </w:t>
      </w:r>
      <w:r w:rsidR="001C280C" w:rsidRPr="00EF68E9">
        <w:rPr>
          <w:szCs w:val="24"/>
        </w:rPr>
        <w:t xml:space="preserve">with the capability of transmitting or receiving that frequency assignment has been deployed and maintained at the notified orbital position for a continuous period of </w:t>
      </w:r>
      <w:r w:rsidR="00441DC9">
        <w:rPr>
          <w:szCs w:val="24"/>
        </w:rPr>
        <w:t>90</w:t>
      </w:r>
      <w:r w:rsidR="00441DC9" w:rsidRPr="00EF68E9">
        <w:rPr>
          <w:szCs w:val="24"/>
        </w:rPr>
        <w:t xml:space="preserve"> </w:t>
      </w:r>
      <w:r w:rsidR="001C280C" w:rsidRPr="00EF68E9">
        <w:rPr>
          <w:szCs w:val="24"/>
        </w:rPr>
        <w:t>days</w:t>
      </w:r>
      <w:r w:rsidR="00840EFA">
        <w:rPr>
          <w:szCs w:val="24"/>
        </w:rPr>
        <w:t>, as described in No.</w:t>
      </w:r>
      <w:r w:rsidR="00723500" w:rsidRPr="009F7107">
        <w:rPr>
          <w:b/>
          <w:bCs/>
          <w:szCs w:val="24"/>
        </w:rPr>
        <w:t>11.44B</w:t>
      </w:r>
      <w:r w:rsidR="008844FE">
        <w:rPr>
          <w:szCs w:val="24"/>
        </w:rPr>
        <w:t>.</w:t>
      </w:r>
    </w:p>
    <w:p w:rsidR="008844FE" w:rsidRPr="001461C3" w:rsidRDefault="008844FE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rPr>
          <w:rFonts w:eastAsia="SimSun"/>
          <w:szCs w:val="24"/>
          <w:lang w:val="en-US" w:eastAsia="zh-CN"/>
        </w:rPr>
      </w:pPr>
      <w:r w:rsidRPr="001461C3">
        <w:rPr>
          <w:rFonts w:eastAsia="SimSun"/>
          <w:szCs w:val="24"/>
          <w:lang w:val="en-US" w:eastAsia="zh-CN"/>
        </w:rPr>
        <w:t>2.4.</w:t>
      </w:r>
      <w:r w:rsidR="00752110">
        <w:rPr>
          <w:rFonts w:eastAsia="SimSun"/>
          <w:szCs w:val="24"/>
          <w:lang w:val="en-US" w:eastAsia="zh-CN"/>
        </w:rPr>
        <w:t>1</w:t>
      </w:r>
      <w:r w:rsidRPr="001461C3">
        <w:rPr>
          <w:rFonts w:eastAsia="SimSun"/>
          <w:szCs w:val="24"/>
          <w:lang w:val="en-US" w:eastAsia="zh-CN"/>
        </w:rPr>
        <w:tab/>
        <w:t xml:space="preserve">In order to </w:t>
      </w:r>
      <w:r w:rsidR="00336989">
        <w:rPr>
          <w:rFonts w:eastAsia="SimSun"/>
          <w:szCs w:val="24"/>
          <w:lang w:val="en-US" w:eastAsia="zh-CN"/>
        </w:rPr>
        <w:t>avoid</w:t>
      </w:r>
      <w:r w:rsidR="00336989" w:rsidRPr="001461C3">
        <w:rPr>
          <w:rFonts w:eastAsia="SimSun"/>
          <w:szCs w:val="24"/>
          <w:lang w:val="en-US" w:eastAsia="zh-CN"/>
        </w:rPr>
        <w:t xml:space="preserve"> </w:t>
      </w:r>
      <w:r w:rsidRPr="001461C3">
        <w:rPr>
          <w:rFonts w:eastAsia="SimSun"/>
          <w:szCs w:val="24"/>
          <w:lang w:val="en-US" w:eastAsia="zh-CN"/>
        </w:rPr>
        <w:t xml:space="preserve">possible misinterpretation </w:t>
      </w:r>
      <w:r w:rsidR="00490F6D">
        <w:rPr>
          <w:rFonts w:eastAsia="SimSun"/>
          <w:szCs w:val="24"/>
          <w:lang w:val="en-US" w:eastAsia="zh-CN"/>
        </w:rPr>
        <w:t>of</w:t>
      </w:r>
      <w:r w:rsidR="00490F6D" w:rsidRPr="001461C3">
        <w:rPr>
          <w:rFonts w:eastAsia="SimSun"/>
          <w:szCs w:val="24"/>
          <w:lang w:val="en-US" w:eastAsia="zh-CN"/>
        </w:rPr>
        <w:t xml:space="preserve"> </w:t>
      </w:r>
      <w:r w:rsidRPr="001461C3">
        <w:rPr>
          <w:rFonts w:eastAsia="SimSun"/>
          <w:szCs w:val="24"/>
          <w:lang w:val="en-US" w:eastAsia="zh-CN"/>
        </w:rPr>
        <w:t xml:space="preserve">the meaning of “with the capability of transmitting or receiving that frequency assignment” and </w:t>
      </w:r>
      <w:r w:rsidR="003D75D9">
        <w:rPr>
          <w:rFonts w:eastAsia="SimSun"/>
          <w:szCs w:val="24"/>
          <w:lang w:val="en-US" w:eastAsia="zh-CN"/>
        </w:rPr>
        <w:t xml:space="preserve">to elaborate </w:t>
      </w:r>
      <w:r w:rsidR="00490F6D">
        <w:rPr>
          <w:rFonts w:eastAsia="SimSun"/>
          <w:szCs w:val="24"/>
          <w:lang w:val="en-US" w:eastAsia="zh-CN"/>
        </w:rPr>
        <w:t xml:space="preserve">on </w:t>
      </w:r>
      <w:r w:rsidRPr="001461C3">
        <w:rPr>
          <w:rFonts w:eastAsia="SimSun"/>
          <w:szCs w:val="24"/>
          <w:lang w:val="en-US" w:eastAsia="zh-CN"/>
        </w:rPr>
        <w:t xml:space="preserve">the </w:t>
      </w:r>
      <w:r w:rsidR="00490F6D">
        <w:rPr>
          <w:rFonts w:eastAsia="SimSun"/>
          <w:szCs w:val="24"/>
          <w:lang w:val="en-US" w:eastAsia="zh-CN"/>
        </w:rPr>
        <w:t>manner in</w:t>
      </w:r>
      <w:r w:rsidRPr="001461C3">
        <w:rPr>
          <w:rFonts w:eastAsia="SimSun"/>
          <w:szCs w:val="24"/>
          <w:lang w:val="en-US" w:eastAsia="zh-CN"/>
        </w:rPr>
        <w:t xml:space="preserve"> which the Bureau would </w:t>
      </w:r>
      <w:r w:rsidR="00752110">
        <w:rPr>
          <w:rFonts w:eastAsia="SimSun"/>
          <w:szCs w:val="24"/>
          <w:lang w:val="en-US" w:eastAsia="zh-CN"/>
        </w:rPr>
        <w:t>apply this provision</w:t>
      </w:r>
      <w:r w:rsidRPr="001461C3">
        <w:rPr>
          <w:rFonts w:eastAsia="SimSun"/>
          <w:szCs w:val="24"/>
          <w:lang w:val="en-US" w:eastAsia="zh-CN"/>
        </w:rPr>
        <w:t xml:space="preserve">, the Bureau has developed a non-exhaustive list of possible types of information that </w:t>
      </w:r>
      <w:r w:rsidR="00336989">
        <w:rPr>
          <w:rFonts w:eastAsia="SimSun"/>
          <w:szCs w:val="24"/>
          <w:lang w:val="en-US" w:eastAsia="zh-CN"/>
        </w:rPr>
        <w:t>might</w:t>
      </w:r>
      <w:r w:rsidR="00336989" w:rsidRPr="001461C3">
        <w:rPr>
          <w:rFonts w:eastAsia="SimSun"/>
          <w:szCs w:val="24"/>
          <w:lang w:val="en-US" w:eastAsia="zh-CN"/>
        </w:rPr>
        <w:t xml:space="preserve"> </w:t>
      </w:r>
      <w:r w:rsidRPr="001461C3">
        <w:rPr>
          <w:rFonts w:eastAsia="SimSun"/>
          <w:szCs w:val="24"/>
          <w:lang w:val="en-US" w:eastAsia="zh-CN"/>
        </w:rPr>
        <w:t>be requested to verify the transmit</w:t>
      </w:r>
      <w:r w:rsidR="00C63243">
        <w:rPr>
          <w:rFonts w:eastAsia="SimSun"/>
          <w:szCs w:val="24"/>
          <w:lang w:val="en-US" w:eastAsia="zh-CN"/>
        </w:rPr>
        <w:t>ting</w:t>
      </w:r>
      <w:r w:rsidRPr="001461C3">
        <w:rPr>
          <w:rFonts w:eastAsia="SimSun"/>
          <w:szCs w:val="24"/>
          <w:lang w:val="en-US" w:eastAsia="zh-CN"/>
        </w:rPr>
        <w:t xml:space="preserve"> and receiv</w:t>
      </w:r>
      <w:r w:rsidR="00C63243">
        <w:rPr>
          <w:rFonts w:eastAsia="SimSun"/>
          <w:szCs w:val="24"/>
          <w:lang w:val="en-US" w:eastAsia="zh-CN"/>
        </w:rPr>
        <w:t>ing</w:t>
      </w:r>
      <w:r w:rsidRPr="001461C3">
        <w:rPr>
          <w:rFonts w:eastAsia="SimSun"/>
          <w:szCs w:val="24"/>
          <w:lang w:val="en-US" w:eastAsia="zh-CN"/>
        </w:rPr>
        <w:t xml:space="preserve"> capability of a satellite, </w:t>
      </w:r>
      <w:r w:rsidR="00752110">
        <w:rPr>
          <w:rFonts w:eastAsia="SimSun"/>
          <w:szCs w:val="24"/>
          <w:lang w:val="en-US" w:eastAsia="zh-CN"/>
        </w:rPr>
        <w:t xml:space="preserve">once the </w:t>
      </w:r>
      <w:r w:rsidR="005F2A0F">
        <w:rPr>
          <w:rFonts w:eastAsia="SimSun"/>
          <w:szCs w:val="24"/>
          <w:lang w:val="en-US" w:eastAsia="zh-CN"/>
        </w:rPr>
        <w:t xml:space="preserve">notified </w:t>
      </w:r>
      <w:r w:rsidR="00752110">
        <w:rPr>
          <w:rFonts w:eastAsia="SimSun"/>
          <w:szCs w:val="24"/>
          <w:lang w:val="en-US" w:eastAsia="zh-CN"/>
        </w:rPr>
        <w:t xml:space="preserve">DBIU has been received, </w:t>
      </w:r>
      <w:r w:rsidRPr="001461C3">
        <w:rPr>
          <w:rFonts w:eastAsia="SimSun"/>
          <w:szCs w:val="24"/>
          <w:lang w:val="en-US" w:eastAsia="zh-CN"/>
        </w:rPr>
        <w:t>including:</w:t>
      </w:r>
    </w:p>
    <w:p w:rsidR="00804953" w:rsidRPr="0003551A" w:rsidRDefault="00F358D4" w:rsidP="00804953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contextualSpacing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</w:t>
      </w:r>
      <w:r w:rsidR="00804953" w:rsidRPr="0003551A">
        <w:rPr>
          <w:rFonts w:eastAsia="SimSun"/>
          <w:szCs w:val="24"/>
          <w:lang w:val="en-US" w:eastAsia="zh-CN"/>
        </w:rPr>
        <w:t>he commercial name of the satellite; and</w:t>
      </w:r>
    </w:p>
    <w:p w:rsidR="00804953" w:rsidRPr="0003551A" w:rsidRDefault="00F358D4" w:rsidP="00804953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contextualSpacing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a</w:t>
      </w:r>
      <w:r w:rsidR="00804953" w:rsidRPr="0003551A">
        <w:rPr>
          <w:rFonts w:eastAsia="SimSun"/>
          <w:szCs w:val="24"/>
          <w:lang w:val="en-US" w:eastAsia="zh-CN"/>
        </w:rPr>
        <w:t xml:space="preserve"> manufacturer-provided and certified frequency plan for the satellite</w:t>
      </w:r>
      <w:r w:rsidR="00490F6D">
        <w:rPr>
          <w:rFonts w:eastAsia="SimSun"/>
          <w:szCs w:val="24"/>
          <w:lang w:val="en-US" w:eastAsia="zh-CN"/>
        </w:rPr>
        <w:t>,</w:t>
      </w:r>
      <w:r w:rsidR="00804953" w:rsidRPr="0003551A">
        <w:rPr>
          <w:rFonts w:eastAsia="SimSun"/>
          <w:szCs w:val="24"/>
          <w:lang w:val="en-US" w:eastAsia="zh-CN"/>
        </w:rPr>
        <w:t xml:space="preserve"> or any information on the payload description (</w:t>
      </w:r>
      <w:r w:rsidR="00490F6D">
        <w:rPr>
          <w:rFonts w:eastAsia="SimSun"/>
          <w:szCs w:val="24"/>
          <w:lang w:val="en-US" w:eastAsia="zh-CN"/>
        </w:rPr>
        <w:t>b</w:t>
      </w:r>
      <w:r w:rsidR="00804953" w:rsidRPr="0003551A">
        <w:rPr>
          <w:rFonts w:eastAsia="SimSun"/>
          <w:szCs w:val="24"/>
          <w:lang w:val="en-US" w:eastAsia="zh-CN"/>
        </w:rPr>
        <w:t>lo</w:t>
      </w:r>
      <w:r w:rsidR="00804953">
        <w:rPr>
          <w:rFonts w:eastAsia="SimSun"/>
          <w:szCs w:val="24"/>
          <w:lang w:val="en-US" w:eastAsia="zh-CN"/>
        </w:rPr>
        <w:t xml:space="preserve">ck diagram, frequency plan, </w:t>
      </w:r>
      <w:r w:rsidR="00490F6D">
        <w:t>t</w:t>
      </w:r>
      <w:r w:rsidR="00804953">
        <w:t>ravel</w:t>
      </w:r>
      <w:r>
        <w:t>l</w:t>
      </w:r>
      <w:r w:rsidR="00804953">
        <w:t xml:space="preserve">ing </w:t>
      </w:r>
      <w:r w:rsidR="00490F6D">
        <w:t>w</w:t>
      </w:r>
      <w:r w:rsidR="00804953">
        <w:t xml:space="preserve">ave </w:t>
      </w:r>
      <w:r w:rsidR="00490F6D">
        <w:t>t</w:t>
      </w:r>
      <w:r w:rsidR="00804953">
        <w:t xml:space="preserve">ube </w:t>
      </w:r>
      <w:r w:rsidR="00490F6D">
        <w:t>a</w:t>
      </w:r>
      <w:r w:rsidR="00804953">
        <w:t>mplifier (TWTA)</w:t>
      </w:r>
      <w:r w:rsidR="00804953" w:rsidRPr="0003551A">
        <w:rPr>
          <w:rFonts w:eastAsia="SimSun"/>
          <w:szCs w:val="24"/>
          <w:lang w:val="en-US" w:eastAsia="zh-CN"/>
        </w:rPr>
        <w:t xml:space="preserve"> power, number of transponders, transponder bandwidth, expected </w:t>
      </w:r>
      <w:r w:rsidR="00490F6D">
        <w:rPr>
          <w:rFonts w:eastAsia="SimSun"/>
          <w:szCs w:val="24"/>
          <w:lang w:val="en-US" w:eastAsia="zh-CN"/>
        </w:rPr>
        <w:t>o</w:t>
      </w:r>
      <w:r w:rsidR="00804953">
        <w:rPr>
          <w:rFonts w:eastAsia="SimSun"/>
          <w:szCs w:val="24"/>
          <w:lang w:val="en-US" w:eastAsia="zh-CN"/>
        </w:rPr>
        <w:t xml:space="preserve">rbital </w:t>
      </w:r>
      <w:r w:rsidR="00490F6D">
        <w:rPr>
          <w:rFonts w:eastAsia="SimSun"/>
          <w:szCs w:val="24"/>
          <w:lang w:val="en-US" w:eastAsia="zh-CN"/>
        </w:rPr>
        <w:t>m</w:t>
      </w:r>
      <w:r w:rsidR="00804953">
        <w:rPr>
          <w:rFonts w:eastAsia="SimSun"/>
          <w:szCs w:val="24"/>
          <w:lang w:val="en-US" w:eastAsia="zh-CN"/>
        </w:rPr>
        <w:t xml:space="preserve">ission </w:t>
      </w:r>
      <w:r w:rsidR="00490F6D">
        <w:rPr>
          <w:rFonts w:eastAsia="SimSun"/>
          <w:szCs w:val="24"/>
          <w:lang w:val="en-US" w:eastAsia="zh-CN"/>
        </w:rPr>
        <w:t>l</w:t>
      </w:r>
      <w:r w:rsidR="00804953">
        <w:rPr>
          <w:rFonts w:eastAsia="SimSun"/>
          <w:szCs w:val="24"/>
          <w:lang w:val="en-US" w:eastAsia="zh-CN"/>
        </w:rPr>
        <w:t>ife (OML)</w:t>
      </w:r>
      <w:r w:rsidR="00804953" w:rsidRPr="0003551A">
        <w:rPr>
          <w:rFonts w:eastAsia="SimSun"/>
          <w:szCs w:val="24"/>
          <w:lang w:val="en-US" w:eastAsia="zh-CN"/>
        </w:rPr>
        <w:t>…);</w:t>
      </w:r>
    </w:p>
    <w:p w:rsidR="00804953" w:rsidRPr="0003551A" w:rsidRDefault="00F358D4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contextualSpacing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</w:t>
      </w:r>
      <w:r w:rsidR="00804953" w:rsidRPr="0003551A">
        <w:rPr>
          <w:rFonts w:eastAsia="SimSun"/>
          <w:szCs w:val="24"/>
          <w:lang w:val="en-US" w:eastAsia="zh-CN"/>
        </w:rPr>
        <w:t>he</w:t>
      </w:r>
      <w:r w:rsidR="00752110">
        <w:rPr>
          <w:rFonts w:eastAsia="SimSun"/>
          <w:szCs w:val="24"/>
          <w:lang w:val="en-US" w:eastAsia="zh-CN"/>
        </w:rPr>
        <w:t xml:space="preserve"> results of the </w:t>
      </w:r>
      <w:r w:rsidR="00490F6D">
        <w:rPr>
          <w:rFonts w:eastAsia="SimSun"/>
          <w:szCs w:val="24"/>
          <w:lang w:val="en-US" w:eastAsia="zh-CN"/>
        </w:rPr>
        <w:t>i</w:t>
      </w:r>
      <w:r w:rsidR="00804953" w:rsidRPr="0003551A">
        <w:rPr>
          <w:rFonts w:eastAsia="SimSun"/>
          <w:szCs w:val="24"/>
          <w:lang w:val="en-US" w:eastAsia="zh-CN"/>
        </w:rPr>
        <w:t>n</w:t>
      </w:r>
      <w:r w:rsidR="00490F6D">
        <w:rPr>
          <w:rFonts w:eastAsia="SimSun"/>
          <w:szCs w:val="24"/>
          <w:lang w:val="en-US" w:eastAsia="zh-CN"/>
        </w:rPr>
        <w:t>-</w:t>
      </w:r>
      <w:r w:rsidR="00804953" w:rsidRPr="0003551A">
        <w:rPr>
          <w:rFonts w:eastAsia="SimSun"/>
          <w:szCs w:val="24"/>
          <w:lang w:val="en-US" w:eastAsia="zh-CN"/>
        </w:rPr>
        <w:t>orbit payload/transponder tests performed upon delivery of the satellite;</w:t>
      </w:r>
    </w:p>
    <w:p w:rsidR="00804953" w:rsidRDefault="00F358D4" w:rsidP="00490F6D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contextualSpacing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</w:t>
      </w:r>
      <w:r w:rsidR="00804953" w:rsidRPr="0003551A">
        <w:rPr>
          <w:rFonts w:eastAsia="SimSun"/>
          <w:szCs w:val="24"/>
          <w:lang w:val="en-US" w:eastAsia="zh-CN"/>
        </w:rPr>
        <w:t xml:space="preserve">he </w:t>
      </w:r>
      <w:r w:rsidR="00490F6D" w:rsidRPr="0003551A">
        <w:rPr>
          <w:rFonts w:eastAsia="SimSun"/>
          <w:szCs w:val="24"/>
          <w:lang w:val="en-US" w:eastAsia="zh-CN"/>
        </w:rPr>
        <w:t>satellite</w:t>
      </w:r>
      <w:r w:rsidR="00752110">
        <w:rPr>
          <w:rFonts w:eastAsia="SimSun"/>
          <w:szCs w:val="24"/>
          <w:lang w:val="en-US" w:eastAsia="zh-CN"/>
        </w:rPr>
        <w:t xml:space="preserve"> network</w:t>
      </w:r>
      <w:r w:rsidR="00490F6D" w:rsidRPr="0003551A">
        <w:rPr>
          <w:rFonts w:eastAsia="SimSun"/>
          <w:szCs w:val="24"/>
          <w:lang w:val="en-US" w:eastAsia="zh-CN"/>
        </w:rPr>
        <w:t xml:space="preserve"> operators</w:t>
      </w:r>
      <w:r w:rsidR="00490F6D">
        <w:rPr>
          <w:rFonts w:eastAsia="SimSun"/>
          <w:szCs w:val="24"/>
          <w:lang w:val="en-US" w:eastAsia="zh-CN"/>
        </w:rPr>
        <w:t>’</w:t>
      </w:r>
      <w:r w:rsidR="00490F6D" w:rsidRPr="0003551A">
        <w:rPr>
          <w:rFonts w:eastAsia="SimSun"/>
          <w:szCs w:val="24"/>
          <w:lang w:val="en-US" w:eastAsia="zh-CN"/>
        </w:rPr>
        <w:t xml:space="preserve"> </w:t>
      </w:r>
      <w:proofErr w:type="spellStart"/>
      <w:r w:rsidR="00804953" w:rsidRPr="0003551A">
        <w:rPr>
          <w:rFonts w:eastAsia="SimSun"/>
          <w:szCs w:val="24"/>
          <w:lang w:val="en-US" w:eastAsia="zh-CN"/>
        </w:rPr>
        <w:t>licen</w:t>
      </w:r>
      <w:r w:rsidR="00490F6D">
        <w:rPr>
          <w:rFonts w:eastAsia="SimSun"/>
          <w:szCs w:val="24"/>
          <w:lang w:val="en-US" w:eastAsia="zh-CN"/>
        </w:rPr>
        <w:t>c</w:t>
      </w:r>
      <w:r w:rsidR="00804953" w:rsidRPr="0003551A">
        <w:rPr>
          <w:rFonts w:eastAsia="SimSun"/>
          <w:szCs w:val="24"/>
          <w:lang w:val="en-US" w:eastAsia="zh-CN"/>
        </w:rPr>
        <w:t>e</w:t>
      </w:r>
      <w:proofErr w:type="spellEnd"/>
      <w:r w:rsidR="00804953" w:rsidRPr="0003551A">
        <w:rPr>
          <w:rFonts w:eastAsia="SimSun"/>
          <w:szCs w:val="24"/>
          <w:lang w:val="en-US" w:eastAsia="zh-CN"/>
        </w:rPr>
        <w:t xml:space="preserve"> application to </w:t>
      </w:r>
      <w:r w:rsidR="00490F6D">
        <w:rPr>
          <w:rFonts w:eastAsia="SimSun"/>
          <w:szCs w:val="24"/>
          <w:lang w:val="en-US" w:eastAsia="zh-CN"/>
        </w:rPr>
        <w:t xml:space="preserve">the </w:t>
      </w:r>
      <w:r w:rsidR="00804953" w:rsidRPr="0003551A">
        <w:rPr>
          <w:rFonts w:eastAsia="SimSun"/>
          <w:szCs w:val="24"/>
          <w:lang w:val="en-US" w:eastAsia="zh-CN"/>
        </w:rPr>
        <w:t>administration;</w:t>
      </w:r>
    </w:p>
    <w:p w:rsidR="00804953" w:rsidRPr="00804953" w:rsidRDefault="00F358D4" w:rsidP="00804953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contextualSpacing/>
        <w:textAlignment w:val="auto"/>
        <w:rPr>
          <w:rFonts w:eastAsia="SimSun"/>
          <w:szCs w:val="24"/>
          <w:lang w:val="en-US" w:eastAsia="zh-CN"/>
        </w:rPr>
      </w:pPr>
      <w:proofErr w:type="gramStart"/>
      <w:r>
        <w:rPr>
          <w:rFonts w:eastAsia="SimSun"/>
          <w:szCs w:val="24"/>
          <w:lang w:val="en-US" w:eastAsia="zh-CN"/>
        </w:rPr>
        <w:t>t</w:t>
      </w:r>
      <w:r w:rsidR="00804953" w:rsidRPr="00804953">
        <w:rPr>
          <w:rFonts w:eastAsia="SimSun"/>
          <w:szCs w:val="24"/>
          <w:lang w:val="en-US" w:eastAsia="zh-CN"/>
        </w:rPr>
        <w:t>he</w:t>
      </w:r>
      <w:proofErr w:type="gramEnd"/>
      <w:r w:rsidR="00804953" w:rsidRPr="00804953">
        <w:rPr>
          <w:rFonts w:eastAsia="SimSun"/>
          <w:szCs w:val="24"/>
          <w:lang w:val="en-US" w:eastAsia="zh-CN"/>
        </w:rPr>
        <w:t xml:space="preserve"> transponder lease contracts</w:t>
      </w:r>
      <w:r w:rsidR="00490F6D">
        <w:rPr>
          <w:rFonts w:eastAsia="SimSun"/>
          <w:szCs w:val="24"/>
          <w:lang w:val="en-US" w:eastAsia="zh-CN"/>
        </w:rPr>
        <w:t>;</w:t>
      </w:r>
      <w:r w:rsidR="00804953" w:rsidRPr="00804953">
        <w:rPr>
          <w:rFonts w:eastAsia="SimSun"/>
          <w:szCs w:val="24"/>
          <w:lang w:val="en-US" w:eastAsia="zh-CN"/>
        </w:rPr>
        <w:t xml:space="preserve"> etc</w:t>
      </w:r>
      <w:r w:rsidR="00F53CE6">
        <w:rPr>
          <w:rFonts w:eastAsia="SimSun"/>
          <w:szCs w:val="24"/>
          <w:lang w:val="en-US" w:eastAsia="zh-CN"/>
        </w:rPr>
        <w:t>.</w:t>
      </w:r>
    </w:p>
    <w:p w:rsidR="00C241CC" w:rsidRPr="001461C3" w:rsidRDefault="00C241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eastAsia="SimSun"/>
          <w:szCs w:val="24"/>
          <w:lang w:val="en-US" w:eastAsia="zh-CN"/>
        </w:rPr>
      </w:pPr>
      <w:r w:rsidRPr="001461C3">
        <w:rPr>
          <w:rFonts w:eastAsia="SimSun"/>
          <w:szCs w:val="24"/>
          <w:lang w:val="en-US" w:eastAsia="zh-CN"/>
        </w:rPr>
        <w:t>2.4.</w:t>
      </w:r>
      <w:r w:rsidR="00752110">
        <w:rPr>
          <w:rFonts w:eastAsia="SimSun"/>
          <w:szCs w:val="24"/>
          <w:lang w:val="en-US" w:eastAsia="zh-CN"/>
        </w:rPr>
        <w:t>2</w:t>
      </w:r>
      <w:r w:rsidRPr="001461C3">
        <w:rPr>
          <w:rFonts w:eastAsia="SimSun"/>
          <w:szCs w:val="24"/>
          <w:lang w:val="en-US" w:eastAsia="zh-CN"/>
        </w:rPr>
        <w:tab/>
      </w:r>
      <w:r w:rsidR="008844FE" w:rsidRPr="001461C3">
        <w:rPr>
          <w:rFonts w:eastAsia="SimSun"/>
          <w:szCs w:val="24"/>
          <w:lang w:val="en-US" w:eastAsia="zh-CN"/>
        </w:rPr>
        <w:t>The Bureau is conscious of the sensitivity of some of the above information</w:t>
      </w:r>
      <w:r w:rsidR="00490F6D">
        <w:rPr>
          <w:rFonts w:eastAsia="SimSun"/>
          <w:szCs w:val="24"/>
          <w:lang w:val="en-US" w:eastAsia="zh-CN"/>
        </w:rPr>
        <w:t>,</w:t>
      </w:r>
      <w:r w:rsidR="008844FE" w:rsidRPr="001461C3">
        <w:rPr>
          <w:rFonts w:eastAsia="SimSun"/>
          <w:szCs w:val="24"/>
          <w:lang w:val="en-US" w:eastAsia="zh-CN"/>
        </w:rPr>
        <w:t xml:space="preserve"> </w:t>
      </w:r>
      <w:r w:rsidR="00C63243">
        <w:rPr>
          <w:rFonts w:eastAsia="SimSun"/>
          <w:szCs w:val="24"/>
          <w:lang w:val="en-US" w:eastAsia="zh-CN"/>
        </w:rPr>
        <w:t xml:space="preserve">and </w:t>
      </w:r>
      <w:r w:rsidR="00035380" w:rsidRPr="001461C3">
        <w:rPr>
          <w:rFonts w:eastAsia="SimSun"/>
          <w:szCs w:val="24"/>
          <w:lang w:val="en-US" w:eastAsia="zh-CN"/>
        </w:rPr>
        <w:t xml:space="preserve">will be ready to consider </w:t>
      </w:r>
      <w:r w:rsidR="00490F6D">
        <w:rPr>
          <w:rFonts w:eastAsia="SimSun"/>
          <w:szCs w:val="24"/>
          <w:lang w:val="en-US" w:eastAsia="zh-CN"/>
        </w:rPr>
        <w:t xml:space="preserve">the provision of </w:t>
      </w:r>
      <w:r w:rsidR="00035380" w:rsidRPr="001461C3">
        <w:rPr>
          <w:rFonts w:eastAsia="SimSun"/>
          <w:szCs w:val="24"/>
          <w:lang w:val="en-US" w:eastAsia="zh-CN"/>
        </w:rPr>
        <w:t xml:space="preserve">some of this information </w:t>
      </w:r>
      <w:r w:rsidR="00490F6D">
        <w:rPr>
          <w:rFonts w:eastAsia="SimSun"/>
          <w:szCs w:val="24"/>
          <w:lang w:val="en-US" w:eastAsia="zh-CN"/>
        </w:rPr>
        <w:t>on the basis of</w:t>
      </w:r>
      <w:r w:rsidR="00035380" w:rsidRPr="001461C3">
        <w:rPr>
          <w:rFonts w:eastAsia="SimSun"/>
          <w:szCs w:val="24"/>
          <w:lang w:val="en-US" w:eastAsia="zh-CN"/>
        </w:rPr>
        <w:t xml:space="preserve"> </w:t>
      </w:r>
      <w:r w:rsidR="008844FE" w:rsidRPr="001461C3">
        <w:rPr>
          <w:rFonts w:eastAsia="SimSun"/>
          <w:szCs w:val="24"/>
          <w:lang w:val="en-US" w:eastAsia="zh-CN"/>
        </w:rPr>
        <w:t>a non-disclosure agreement between the administration and the Bureau</w:t>
      </w:r>
      <w:r w:rsidRPr="001461C3">
        <w:rPr>
          <w:rFonts w:eastAsia="SimSun"/>
          <w:szCs w:val="24"/>
          <w:lang w:val="en-US" w:eastAsia="zh-CN"/>
        </w:rPr>
        <w:t>.</w:t>
      </w:r>
    </w:p>
    <w:p w:rsidR="003B19C9" w:rsidRPr="001461C3" w:rsidRDefault="005274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eastAsia="SimSun"/>
          <w:szCs w:val="24"/>
          <w:lang w:val="en-US" w:eastAsia="zh-CN"/>
        </w:rPr>
      </w:pPr>
      <w:r w:rsidRPr="002D0EBE">
        <w:rPr>
          <w:szCs w:val="24"/>
        </w:rPr>
        <w:t>2.</w:t>
      </w:r>
      <w:r w:rsidR="00941104">
        <w:rPr>
          <w:szCs w:val="24"/>
        </w:rPr>
        <w:t>4</w:t>
      </w:r>
      <w:r w:rsidR="00804953">
        <w:rPr>
          <w:szCs w:val="24"/>
        </w:rPr>
        <w:t>.</w:t>
      </w:r>
      <w:r w:rsidR="00DD7F12">
        <w:rPr>
          <w:szCs w:val="24"/>
        </w:rPr>
        <w:t>3</w:t>
      </w:r>
      <w:r w:rsidRPr="002D0EBE">
        <w:rPr>
          <w:szCs w:val="24"/>
        </w:rPr>
        <w:tab/>
      </w:r>
      <w:r w:rsidR="00490F6D">
        <w:rPr>
          <w:szCs w:val="24"/>
        </w:rPr>
        <w:t>Upon</w:t>
      </w:r>
      <w:r w:rsidR="00C241CC">
        <w:rPr>
          <w:szCs w:val="24"/>
        </w:rPr>
        <w:t xml:space="preserve"> receipt of the </w:t>
      </w:r>
      <w:r w:rsidR="00723500">
        <w:t xml:space="preserve">confirmation </w:t>
      </w:r>
      <w:r w:rsidR="00DD7F12">
        <w:t xml:space="preserve">on the </w:t>
      </w:r>
      <w:r w:rsidR="00703A5E">
        <w:t>bringing into use</w:t>
      </w:r>
      <w:r w:rsidR="00723500">
        <w:t xml:space="preserve"> </w:t>
      </w:r>
      <w:r w:rsidR="005A0C6C">
        <w:t>from an a</w:t>
      </w:r>
      <w:r w:rsidR="00420279">
        <w:t>dministration</w:t>
      </w:r>
      <w:r w:rsidR="00C241CC">
        <w:t xml:space="preserve"> within</w:t>
      </w:r>
      <w:r w:rsidR="00DD7F12">
        <w:t xml:space="preserve"> 120 days after</w:t>
      </w:r>
      <w:r w:rsidR="00C241CC">
        <w:t xml:space="preserve"> </w:t>
      </w:r>
      <w:r w:rsidR="00336989">
        <w:t>the regulatory time</w:t>
      </w:r>
      <w:r w:rsidR="00490F6D">
        <w:t>-</w:t>
      </w:r>
      <w:r w:rsidR="00723500" w:rsidRPr="009559A9">
        <w:t>limit</w:t>
      </w:r>
      <w:r w:rsidR="00723500" w:rsidRPr="00EF68E9">
        <w:rPr>
          <w:szCs w:val="24"/>
        </w:rPr>
        <w:t xml:space="preserve">, </w:t>
      </w:r>
      <w:r w:rsidR="00840EFA">
        <w:rPr>
          <w:szCs w:val="24"/>
        </w:rPr>
        <w:t xml:space="preserve">the </w:t>
      </w:r>
      <w:r w:rsidR="00723500" w:rsidRPr="00EF68E9">
        <w:rPr>
          <w:szCs w:val="24"/>
        </w:rPr>
        <w:t xml:space="preserve">Bureau </w:t>
      </w:r>
      <w:r w:rsidR="00DD7F12">
        <w:rPr>
          <w:szCs w:val="24"/>
        </w:rPr>
        <w:t xml:space="preserve">will </w:t>
      </w:r>
      <w:r w:rsidR="00840EFA">
        <w:rPr>
          <w:szCs w:val="24"/>
        </w:rPr>
        <w:t xml:space="preserve">update the status of the satellite network </w:t>
      </w:r>
      <w:r w:rsidR="00723500" w:rsidRPr="009559A9">
        <w:t xml:space="preserve">in </w:t>
      </w:r>
      <w:r w:rsidR="00840EFA">
        <w:t xml:space="preserve">the </w:t>
      </w:r>
      <w:r w:rsidR="00723500">
        <w:t>SNS</w:t>
      </w:r>
      <w:r w:rsidR="00723500" w:rsidRPr="009559A9">
        <w:t xml:space="preserve"> </w:t>
      </w:r>
      <w:r w:rsidR="009B499B">
        <w:t>[</w:t>
      </w:r>
      <w:proofErr w:type="spellStart"/>
      <w:r w:rsidR="00840EFA">
        <w:t>grp.</w:t>
      </w:r>
      <w:r w:rsidR="00723500" w:rsidRPr="009559A9">
        <w:t>f_biu</w:t>
      </w:r>
      <w:proofErr w:type="spellEnd"/>
      <w:r w:rsidR="00723500" w:rsidRPr="009559A9">
        <w:t>=</w:t>
      </w:r>
      <w:r w:rsidR="00E77482">
        <w:t>C</w:t>
      </w:r>
      <w:r w:rsidR="009B499B">
        <w:t>]</w:t>
      </w:r>
      <w:r w:rsidR="00723500">
        <w:t xml:space="preserve">, </w:t>
      </w:r>
      <w:r w:rsidR="00336989">
        <w:t xml:space="preserve">and post </w:t>
      </w:r>
      <w:r w:rsidR="00723500">
        <w:t xml:space="preserve">the information </w:t>
      </w:r>
      <w:r w:rsidR="00723500" w:rsidRPr="009559A9">
        <w:t xml:space="preserve">on the </w:t>
      </w:r>
      <w:r w:rsidR="00C241CC">
        <w:t>ITU</w:t>
      </w:r>
      <w:r w:rsidR="00490F6D">
        <w:t>-</w:t>
      </w:r>
      <w:r w:rsidR="00FF73DF">
        <w:t>BR</w:t>
      </w:r>
      <w:r w:rsidR="00C241CC">
        <w:t xml:space="preserve"> </w:t>
      </w:r>
      <w:r w:rsidR="00723500" w:rsidRPr="009559A9">
        <w:t>web</w:t>
      </w:r>
      <w:r w:rsidR="00C241CC">
        <w:t>page</w:t>
      </w:r>
      <w:r w:rsidR="00490F6D">
        <w:t>,</w:t>
      </w:r>
      <w:r w:rsidR="00C241CC">
        <w:t xml:space="preserve"> </w:t>
      </w:r>
      <w:r w:rsidR="00723500">
        <w:t>indicating</w:t>
      </w:r>
      <w:r w:rsidR="005A0C6C">
        <w:t xml:space="preserve"> “Y“</w:t>
      </w:r>
      <w:r w:rsidR="006946CF">
        <w:t xml:space="preserve"> </w:t>
      </w:r>
      <w:r w:rsidR="00840EFA">
        <w:rPr>
          <w:szCs w:val="24"/>
        </w:rPr>
        <w:t>for</w:t>
      </w:r>
      <w:r w:rsidR="00840EFA" w:rsidRPr="00ED1B89">
        <w:rPr>
          <w:szCs w:val="24"/>
        </w:rPr>
        <w:t xml:space="preserve"> </w:t>
      </w:r>
      <w:r w:rsidR="00D63B3F">
        <w:rPr>
          <w:szCs w:val="24"/>
        </w:rPr>
        <w:t xml:space="preserve">confirmation </w:t>
      </w:r>
      <w:r w:rsidR="00DD7F12">
        <w:rPr>
          <w:szCs w:val="24"/>
        </w:rPr>
        <w:t xml:space="preserve">on the </w:t>
      </w:r>
      <w:r w:rsidR="00D63B3F" w:rsidRPr="00ED1B89">
        <w:rPr>
          <w:szCs w:val="24"/>
        </w:rPr>
        <w:t>br</w:t>
      </w:r>
      <w:r w:rsidR="00D63B3F">
        <w:rPr>
          <w:szCs w:val="24"/>
        </w:rPr>
        <w:t>inging</w:t>
      </w:r>
      <w:r w:rsidR="00D63B3F" w:rsidRPr="00ED1B89">
        <w:rPr>
          <w:szCs w:val="24"/>
        </w:rPr>
        <w:t xml:space="preserve"> </w:t>
      </w:r>
      <w:r w:rsidR="00840EFA" w:rsidRPr="00ED1B89">
        <w:rPr>
          <w:szCs w:val="24"/>
        </w:rPr>
        <w:t xml:space="preserve">into use </w:t>
      </w:r>
      <w:r w:rsidR="005A0C6C">
        <w:rPr>
          <w:szCs w:val="24"/>
        </w:rPr>
        <w:t xml:space="preserve">in the </w:t>
      </w:r>
      <w:r w:rsidR="00E77482">
        <w:rPr>
          <w:szCs w:val="24"/>
        </w:rPr>
        <w:t>Status</w:t>
      </w:r>
      <w:r w:rsidR="00490F6D" w:rsidRPr="00490F6D">
        <w:rPr>
          <w:szCs w:val="24"/>
        </w:rPr>
        <w:t xml:space="preserve"> </w:t>
      </w:r>
      <w:r w:rsidR="00490F6D">
        <w:rPr>
          <w:szCs w:val="24"/>
        </w:rPr>
        <w:t>column</w:t>
      </w:r>
      <w:r w:rsidR="005A0C6C">
        <w:t xml:space="preserve">. </w:t>
      </w:r>
      <w:r w:rsidR="00D63B3F">
        <w:t>T</w:t>
      </w:r>
      <w:r w:rsidR="00723500">
        <w:t xml:space="preserve">he Bureau </w:t>
      </w:r>
      <w:r w:rsidR="005A0C6C">
        <w:t>will</w:t>
      </w:r>
      <w:r w:rsidR="00723500">
        <w:t xml:space="preserve"> publish </w:t>
      </w:r>
      <w:r w:rsidR="00C241CC">
        <w:t>this information</w:t>
      </w:r>
      <w:r w:rsidR="00723500">
        <w:t xml:space="preserve"> in a Part II-S</w:t>
      </w:r>
      <w:r w:rsidR="00840EFA">
        <w:t xml:space="preserve"> publication in the BR</w:t>
      </w:r>
      <w:r w:rsidR="003B19C9">
        <w:t xml:space="preserve"> </w:t>
      </w:r>
      <w:r w:rsidR="00840EFA">
        <w:t>IFIC</w:t>
      </w:r>
      <w:r w:rsidR="003B19C9">
        <w:t xml:space="preserve"> (Space Services) </w:t>
      </w:r>
      <w:r w:rsidR="00840EFA">
        <w:t>DVD</w:t>
      </w:r>
      <w:r w:rsidR="00723500">
        <w:t xml:space="preserve">. </w:t>
      </w:r>
    </w:p>
    <w:p w:rsidR="003B19C9" w:rsidRDefault="001004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</w:pPr>
      <w:r>
        <w:rPr>
          <w:szCs w:val="24"/>
        </w:rPr>
        <w:t>2.</w:t>
      </w:r>
      <w:r w:rsidR="00941104">
        <w:rPr>
          <w:szCs w:val="24"/>
        </w:rPr>
        <w:t>4</w:t>
      </w:r>
      <w:r w:rsidR="00D41834">
        <w:rPr>
          <w:szCs w:val="24"/>
        </w:rPr>
        <w:t>.</w:t>
      </w:r>
      <w:r w:rsidR="00DD7F12">
        <w:rPr>
          <w:szCs w:val="24"/>
        </w:rPr>
        <w:t>4</w:t>
      </w:r>
      <w:r w:rsidR="005274C9" w:rsidRPr="002D0EBE">
        <w:rPr>
          <w:szCs w:val="24"/>
        </w:rPr>
        <w:tab/>
      </w:r>
      <w:r w:rsidR="00F358D4">
        <w:t>Where neither</w:t>
      </w:r>
      <w:r w:rsidR="007400EB">
        <w:t xml:space="preserve"> </w:t>
      </w:r>
      <w:r w:rsidR="00707D49">
        <w:t xml:space="preserve">the </w:t>
      </w:r>
      <w:r w:rsidR="00DD7F12">
        <w:t>information</w:t>
      </w:r>
      <w:r w:rsidR="007400EB">
        <w:t xml:space="preserve"> </w:t>
      </w:r>
      <w:r w:rsidR="00F358D4">
        <w:t xml:space="preserve">nor the </w:t>
      </w:r>
      <w:r>
        <w:t xml:space="preserve">confirmation </w:t>
      </w:r>
      <w:r w:rsidR="007400EB">
        <w:t xml:space="preserve">are </w:t>
      </w:r>
      <w:r>
        <w:t xml:space="preserve">received </w:t>
      </w:r>
      <w:r w:rsidR="005A0C6C">
        <w:t xml:space="preserve">from </w:t>
      </w:r>
      <w:r w:rsidR="00DD7F12">
        <w:t xml:space="preserve">the </w:t>
      </w:r>
      <w:r w:rsidR="005A0C6C">
        <w:t>a</w:t>
      </w:r>
      <w:r w:rsidR="00420279">
        <w:t xml:space="preserve">dministration </w:t>
      </w:r>
      <w:r w:rsidR="00DD7F12">
        <w:t xml:space="preserve">within 120 days </w:t>
      </w:r>
      <w:r w:rsidR="003B19C9">
        <w:t xml:space="preserve">after </w:t>
      </w:r>
      <w:r w:rsidR="00D63B3F">
        <w:t>the regulatory</w:t>
      </w:r>
      <w:r w:rsidR="00276341">
        <w:t xml:space="preserve"> </w:t>
      </w:r>
      <w:r w:rsidR="00DF49B5">
        <w:t xml:space="preserve">time </w:t>
      </w:r>
      <w:r w:rsidR="00276341">
        <w:t>limit</w:t>
      </w:r>
      <w:r>
        <w:t xml:space="preserve">, </w:t>
      </w:r>
      <w:r w:rsidR="00420279">
        <w:t xml:space="preserve">the </w:t>
      </w:r>
      <w:r w:rsidR="003B19C9">
        <w:t xml:space="preserve">Bureau </w:t>
      </w:r>
      <w:r w:rsidR="00DD7F12">
        <w:t xml:space="preserve">will </w:t>
      </w:r>
      <w:r w:rsidRPr="00C447B0">
        <w:t xml:space="preserve">cancel </w:t>
      </w:r>
      <w:r w:rsidR="003B19C9" w:rsidRPr="00C447B0">
        <w:t xml:space="preserve">the </w:t>
      </w:r>
      <w:r w:rsidR="00BB5090" w:rsidRPr="00D41834">
        <w:t xml:space="preserve">corresponding </w:t>
      </w:r>
      <w:r w:rsidR="00DD7F12">
        <w:t>assignments</w:t>
      </w:r>
      <w:r w:rsidR="00DD7F12" w:rsidRPr="00D41834">
        <w:t xml:space="preserve"> </w:t>
      </w:r>
      <w:r w:rsidR="00BB5090" w:rsidRPr="00D41834">
        <w:t xml:space="preserve">published under </w:t>
      </w:r>
      <w:r w:rsidR="00DF49B5" w:rsidRPr="00D41834">
        <w:t xml:space="preserve">Article </w:t>
      </w:r>
      <w:r w:rsidR="00DF49B5" w:rsidRPr="00D41834">
        <w:rPr>
          <w:b/>
          <w:bCs/>
        </w:rPr>
        <w:t>9</w:t>
      </w:r>
      <w:r w:rsidR="00BB5090" w:rsidRPr="00D41834">
        <w:t xml:space="preserve"> </w:t>
      </w:r>
      <w:r w:rsidR="003B19C9" w:rsidRPr="00EF3C95">
        <w:t>in a</w:t>
      </w:r>
      <w:r w:rsidR="003B19C9">
        <w:t>ccordance with No.</w:t>
      </w:r>
      <w:r w:rsidR="003B19C9" w:rsidRPr="00AC2E6E">
        <w:rPr>
          <w:b/>
          <w:bCs/>
        </w:rPr>
        <w:t>11.4</w:t>
      </w:r>
      <w:r w:rsidR="003B19C9">
        <w:rPr>
          <w:b/>
          <w:bCs/>
        </w:rPr>
        <w:t>8</w:t>
      </w:r>
      <w:r w:rsidR="00DE66E4" w:rsidRPr="00D41834">
        <w:t xml:space="preserve">, </w:t>
      </w:r>
      <w:r w:rsidR="00C23C30">
        <w:t>under Article 4 of Appendix </w:t>
      </w:r>
      <w:r w:rsidR="00DF49B5">
        <w:rPr>
          <w:b/>
          <w:bCs/>
        </w:rPr>
        <w:t xml:space="preserve">30 </w:t>
      </w:r>
      <w:r w:rsidR="00DF49B5" w:rsidRPr="00D41834">
        <w:t>and</w:t>
      </w:r>
      <w:r w:rsidR="00DF49B5">
        <w:rPr>
          <w:b/>
          <w:bCs/>
        </w:rPr>
        <w:t xml:space="preserve"> 30A </w:t>
      </w:r>
      <w:r w:rsidR="00DF49B5">
        <w:t xml:space="preserve">in accordance with </w:t>
      </w:r>
      <w:r w:rsidR="00F358D4">
        <w:t>§</w:t>
      </w:r>
      <w:r w:rsidR="00DF49B5" w:rsidRPr="004A1028">
        <w:rPr>
          <w:rFonts w:cs="Calibri"/>
        </w:rPr>
        <w:t>§</w:t>
      </w:r>
      <w:r w:rsidR="00DF49B5">
        <w:t xml:space="preserve">4.1.3 and 4.2.6 of Appendices </w:t>
      </w:r>
      <w:r w:rsidR="00DF49B5" w:rsidRPr="003F69F8">
        <w:rPr>
          <w:b/>
          <w:bCs/>
        </w:rPr>
        <w:t>30</w:t>
      </w:r>
      <w:r w:rsidR="00DF49B5">
        <w:t xml:space="preserve"> and </w:t>
      </w:r>
      <w:r w:rsidR="00DF49B5" w:rsidRPr="003F69F8">
        <w:rPr>
          <w:b/>
          <w:bCs/>
        </w:rPr>
        <w:t>30A</w:t>
      </w:r>
      <w:r w:rsidR="00DF49B5" w:rsidRPr="00542E34">
        <w:rPr>
          <w:color w:val="000000"/>
        </w:rPr>
        <w:t xml:space="preserve"> </w:t>
      </w:r>
      <w:r w:rsidR="00DF49B5">
        <w:rPr>
          <w:color w:val="000000"/>
        </w:rPr>
        <w:t xml:space="preserve">and under Article 6 in accordance with </w:t>
      </w:r>
      <w:r w:rsidR="00DF49B5" w:rsidRPr="004A1028">
        <w:rPr>
          <w:rFonts w:cs="Calibri"/>
        </w:rPr>
        <w:t>§</w:t>
      </w:r>
      <w:r w:rsidR="00DF49B5">
        <w:t xml:space="preserve">6.33 of Appendix </w:t>
      </w:r>
      <w:r w:rsidR="00DF49B5" w:rsidRPr="003F69F8">
        <w:rPr>
          <w:b/>
          <w:bCs/>
        </w:rPr>
        <w:t>30B</w:t>
      </w:r>
      <w:r w:rsidR="00DF49B5">
        <w:t xml:space="preserve">. </w:t>
      </w:r>
      <w:r w:rsidR="00DF49B5" w:rsidRPr="00DF49B5">
        <w:t>C</w:t>
      </w:r>
      <w:r w:rsidR="00BB5090" w:rsidRPr="00D41834">
        <w:t>onsequently</w:t>
      </w:r>
      <w:r w:rsidR="00490F6D">
        <w:t>, the</w:t>
      </w:r>
      <w:r w:rsidR="00BB5090" w:rsidRPr="00D41834">
        <w:t xml:space="preserve"> </w:t>
      </w:r>
      <w:r w:rsidR="00DE66E4" w:rsidRPr="00D41834">
        <w:t xml:space="preserve">corresponding </w:t>
      </w:r>
      <w:r w:rsidR="00BB5090" w:rsidRPr="00D41834">
        <w:t>entry in the Master Re</w:t>
      </w:r>
      <w:r w:rsidR="00BB5090" w:rsidRPr="00B467CA">
        <w:t>gister</w:t>
      </w:r>
      <w:r w:rsidR="00490F6D">
        <w:t>,</w:t>
      </w:r>
      <w:r w:rsidR="00BB5090">
        <w:t xml:space="preserve"> if any</w:t>
      </w:r>
      <w:r w:rsidR="00490F6D">
        <w:t>,</w:t>
      </w:r>
      <w:r w:rsidR="00DF49B5">
        <w:t xml:space="preserve"> </w:t>
      </w:r>
      <w:r w:rsidR="00DD7F12">
        <w:t xml:space="preserve">will </w:t>
      </w:r>
      <w:r w:rsidR="00DF49B5">
        <w:t>also be cancelled.</w:t>
      </w:r>
    </w:p>
    <w:p w:rsidR="002B0D56" w:rsidRDefault="005274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</w:pPr>
      <w:r w:rsidRPr="002D0EBE">
        <w:rPr>
          <w:szCs w:val="22"/>
          <w:lang w:val="en-US"/>
        </w:rPr>
        <w:t>2.</w:t>
      </w:r>
      <w:r w:rsidR="002C3A6A">
        <w:rPr>
          <w:szCs w:val="22"/>
          <w:lang w:val="en-US"/>
        </w:rPr>
        <w:t>5</w:t>
      </w:r>
      <w:r w:rsidRPr="002D0EBE">
        <w:rPr>
          <w:szCs w:val="22"/>
          <w:lang w:val="en-US"/>
        </w:rPr>
        <w:tab/>
      </w:r>
      <w:r w:rsidR="004F693B">
        <w:rPr>
          <w:szCs w:val="22"/>
          <w:lang w:val="en-US"/>
        </w:rPr>
        <w:t>W</w:t>
      </w:r>
      <w:r w:rsidR="002B0D56">
        <w:rPr>
          <w:szCs w:val="22"/>
          <w:lang w:val="en-US"/>
        </w:rPr>
        <w:t xml:space="preserve">here the </w:t>
      </w:r>
      <w:r w:rsidR="00420279">
        <w:t>i</w:t>
      </w:r>
      <w:r w:rsidR="00D656CA">
        <w:t xml:space="preserve">nitial </w:t>
      </w:r>
      <w:r w:rsidR="001F2364">
        <w:t xml:space="preserve">information </w:t>
      </w:r>
      <w:r w:rsidR="002B0D56">
        <w:t>has been provided</w:t>
      </w:r>
      <w:r w:rsidR="00D656CA">
        <w:t xml:space="preserve">, a reminder </w:t>
      </w:r>
      <w:r w:rsidR="006478AC">
        <w:t xml:space="preserve">for the </w:t>
      </w:r>
      <w:r w:rsidR="001F2364">
        <w:t>confirmation</w:t>
      </w:r>
      <w:r w:rsidR="006478AC">
        <w:t xml:space="preserve"> under No. </w:t>
      </w:r>
      <w:r w:rsidR="002B0D56" w:rsidRPr="002B0D56">
        <w:rPr>
          <w:b/>
          <w:bCs/>
        </w:rPr>
        <w:t>11.44B</w:t>
      </w:r>
      <w:r w:rsidR="002B0D56">
        <w:t xml:space="preserve"> will be sent to the </w:t>
      </w:r>
      <w:r w:rsidR="00490F6D">
        <w:t>a</w:t>
      </w:r>
      <w:r w:rsidR="002B0D56">
        <w:t xml:space="preserve">dministration </w:t>
      </w:r>
      <w:r w:rsidR="001F2364">
        <w:t>90 days after the communicated</w:t>
      </w:r>
      <w:r w:rsidR="002B0D56">
        <w:t xml:space="preserve"> </w:t>
      </w:r>
      <w:r w:rsidR="00D656CA">
        <w:t>DBIU</w:t>
      </w:r>
      <w:r w:rsidR="00490F6D">
        <w:t>,</w:t>
      </w:r>
      <w:r w:rsidR="002B0D56">
        <w:t xml:space="preserve"> </w:t>
      </w:r>
      <w:r w:rsidR="005319D3">
        <w:t xml:space="preserve">except </w:t>
      </w:r>
      <w:r w:rsidR="00490F6D">
        <w:t xml:space="preserve">in </w:t>
      </w:r>
      <w:r w:rsidR="005319D3">
        <w:t xml:space="preserve">cases where a notification is received 90 days after the DBIU (see also </w:t>
      </w:r>
      <w:r w:rsidR="005319D3" w:rsidRPr="000E492C">
        <w:t>2.3.</w:t>
      </w:r>
      <w:r w:rsidR="001F2364">
        <w:t xml:space="preserve">4 </w:t>
      </w:r>
      <w:r w:rsidR="005319D3">
        <w:t>above).</w:t>
      </w:r>
    </w:p>
    <w:p w:rsidR="00CE2C7B" w:rsidRDefault="005274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</w:pPr>
      <w:r w:rsidRPr="002D0EBE">
        <w:t>2.</w:t>
      </w:r>
      <w:r w:rsidR="002222C4">
        <w:t>6</w:t>
      </w:r>
      <w:r w:rsidRPr="002D0EBE">
        <w:tab/>
      </w:r>
      <w:r w:rsidR="005319D3">
        <w:t>The ITU</w:t>
      </w:r>
      <w:r w:rsidR="00490F6D">
        <w:t>-</w:t>
      </w:r>
      <w:r w:rsidR="005319D3">
        <w:t>BR webpage</w:t>
      </w:r>
      <w:r w:rsidR="005319D3" w:rsidRPr="005A0C6C">
        <w:t xml:space="preserve"> </w:t>
      </w:r>
      <w:r w:rsidR="005319D3">
        <w:t>where t</w:t>
      </w:r>
      <w:r w:rsidR="00CE2C7B" w:rsidRPr="005A0C6C">
        <w:t>he</w:t>
      </w:r>
      <w:r w:rsidR="00CE2C7B">
        <w:t xml:space="preserve"> Bureau p</w:t>
      </w:r>
      <w:r w:rsidR="005319D3">
        <w:t>osts</w:t>
      </w:r>
      <w:r w:rsidR="00CE2C7B">
        <w:t xml:space="preserve"> </w:t>
      </w:r>
      <w:r w:rsidR="005319D3">
        <w:t xml:space="preserve">information </w:t>
      </w:r>
      <w:r w:rsidR="00490F6D">
        <w:t xml:space="preserve">on </w:t>
      </w:r>
      <w:r w:rsidR="00CE2C7B">
        <w:t xml:space="preserve">the status </w:t>
      </w:r>
      <w:r w:rsidR="001F2364">
        <w:t xml:space="preserve">on </w:t>
      </w:r>
      <w:r w:rsidR="00FF73DF">
        <w:t xml:space="preserve">the bringing into use of assignments to GSO satellite networks </w:t>
      </w:r>
      <w:r w:rsidR="005319D3">
        <w:t>is</w:t>
      </w:r>
      <w:r w:rsidR="00CE2C7B">
        <w:t xml:space="preserve">:  </w:t>
      </w:r>
      <w:hyperlink r:id="rId10" w:history="1">
        <w:r w:rsidR="00CE2C7B" w:rsidRPr="0009155B">
          <w:rPr>
            <w:rStyle w:val="Hyperlink"/>
          </w:rPr>
          <w:t>http://www.itu.int/net/ITU-R/space/snl/listinuse/index.asp</w:t>
        </w:r>
      </w:hyperlink>
      <w:r w:rsidR="002222C4">
        <w:t xml:space="preserve">. </w:t>
      </w:r>
      <w:r w:rsidR="005319D3">
        <w:t>T</w:t>
      </w:r>
      <w:r w:rsidR="00D93881">
        <w:t xml:space="preserve">he following symbols </w:t>
      </w:r>
      <w:r w:rsidR="004F693B">
        <w:t xml:space="preserve">are used </w:t>
      </w:r>
      <w:r w:rsidR="00D93881">
        <w:t xml:space="preserve">in the </w:t>
      </w:r>
      <w:r w:rsidR="002222C4">
        <w:t xml:space="preserve">Status of </w:t>
      </w:r>
      <w:r w:rsidR="00490F6D">
        <w:t>B</w:t>
      </w:r>
      <w:r w:rsidR="005A0C6C">
        <w:t>ringing</w:t>
      </w:r>
      <w:r w:rsidR="00D93881">
        <w:t xml:space="preserve"> into </w:t>
      </w:r>
      <w:r w:rsidR="00490F6D">
        <w:t>U</w:t>
      </w:r>
      <w:r w:rsidR="00D93881">
        <w:t>se</w:t>
      </w:r>
      <w:r w:rsidR="005319D3">
        <w:t xml:space="preserve"> </w:t>
      </w:r>
      <w:r w:rsidR="00490F6D">
        <w:t>column</w:t>
      </w:r>
      <w:r w:rsidR="00D93881">
        <w:t>:</w:t>
      </w:r>
      <w:r w:rsidR="00CE2C7B">
        <w:t xml:space="preserve"> </w:t>
      </w:r>
      <w:r w:rsidR="00FF73DF">
        <w:br/>
      </w:r>
    </w:p>
    <w:p w:rsidR="00CE2C7B" w:rsidRPr="00013A80" w:rsidRDefault="00D93881" w:rsidP="00213DBC">
      <w:pPr>
        <w:spacing w:before="0" w:after="240"/>
      </w:pPr>
      <w:r>
        <w:tab/>
      </w:r>
      <w:r w:rsidR="00CE2C7B" w:rsidRPr="00013A80">
        <w:t xml:space="preserve">N: Not yet </w:t>
      </w:r>
      <w:r>
        <w:t>brought into use.</w:t>
      </w:r>
    </w:p>
    <w:p w:rsidR="00CE2C7B" w:rsidRDefault="00D93881">
      <w:pPr>
        <w:spacing w:before="0" w:after="240"/>
      </w:pPr>
      <w:r>
        <w:tab/>
      </w:r>
      <w:r w:rsidR="00CE2C7B">
        <w:t>I</w:t>
      </w:r>
      <w:r w:rsidR="00CE2C7B" w:rsidRPr="00013A80">
        <w:t xml:space="preserve">: </w:t>
      </w:r>
      <w:r>
        <w:t xml:space="preserve">Initial </w:t>
      </w:r>
      <w:r w:rsidR="001F2364">
        <w:t>information on</w:t>
      </w:r>
      <w:r>
        <w:t xml:space="preserve"> b</w:t>
      </w:r>
      <w:r w:rsidR="00CE2C7B">
        <w:t>ringing into use</w:t>
      </w:r>
      <w:r>
        <w:t>.</w:t>
      </w:r>
      <w:r w:rsidR="00CE2C7B">
        <w:t xml:space="preserve"> </w:t>
      </w:r>
    </w:p>
    <w:p w:rsidR="00CE2C7B" w:rsidRPr="00013A80" w:rsidRDefault="00D93881" w:rsidP="00516E3F">
      <w:pPr>
        <w:spacing w:before="0" w:after="240"/>
      </w:pPr>
      <w:r>
        <w:tab/>
      </w:r>
      <w:r w:rsidR="00516E3F">
        <w:t>C</w:t>
      </w:r>
      <w:r w:rsidR="00CE2C7B">
        <w:t xml:space="preserve">: Confirmed brought into use, </w:t>
      </w:r>
      <w:r w:rsidR="00FF73DF">
        <w:t xml:space="preserve">No. </w:t>
      </w:r>
      <w:r w:rsidR="00CE2C7B" w:rsidRPr="00FF73DF">
        <w:rPr>
          <w:b/>
          <w:bCs/>
        </w:rPr>
        <w:t>11.44B</w:t>
      </w:r>
      <w:r w:rsidR="00CE2C7B">
        <w:t xml:space="preserve"> conditions </w:t>
      </w:r>
      <w:r w:rsidR="00FF73DF">
        <w:t>fulfilled</w:t>
      </w:r>
    </w:p>
    <w:p w:rsidR="00CE2C7B" w:rsidRPr="00DB68BE" w:rsidRDefault="00AC2E6E" w:rsidP="00213DBC">
      <w:pPr>
        <w:pStyle w:val="Index1"/>
        <w:tabs>
          <w:tab w:val="clear" w:pos="794"/>
          <w:tab w:val="left" w:pos="851"/>
        </w:tabs>
        <w:spacing w:before="0" w:after="240"/>
        <w:rPr>
          <w:b/>
          <w:bCs/>
        </w:rPr>
      </w:pPr>
      <w:r>
        <w:rPr>
          <w:b/>
          <w:bCs/>
        </w:rPr>
        <w:t>3</w:t>
      </w:r>
      <w:r w:rsidR="00CE2C7B" w:rsidRPr="00DB68BE">
        <w:rPr>
          <w:b/>
          <w:bCs/>
        </w:rPr>
        <w:tab/>
      </w:r>
      <w:r w:rsidR="00CE2C7B">
        <w:rPr>
          <w:b/>
          <w:bCs/>
        </w:rPr>
        <w:t>Suspension</w:t>
      </w:r>
    </w:p>
    <w:p w:rsidR="00CE2C7B" w:rsidRPr="00CE2C7B" w:rsidRDefault="00AC2E6E">
      <w:pPr>
        <w:spacing w:before="0" w:after="240"/>
        <w:rPr>
          <w:szCs w:val="24"/>
        </w:rPr>
      </w:pPr>
      <w:r>
        <w:t>3</w:t>
      </w:r>
      <w:r w:rsidR="00CE2C7B" w:rsidRPr="00DB68BE">
        <w:t>.1</w:t>
      </w:r>
      <w:r w:rsidR="00CE2C7B" w:rsidRPr="00DB68BE">
        <w:tab/>
      </w:r>
      <w:r w:rsidR="00CE2C7B" w:rsidRPr="00542E34">
        <w:t>Under the provisions of No. </w:t>
      </w:r>
      <w:r w:rsidR="00CE2C7B" w:rsidRPr="002A7929">
        <w:rPr>
          <w:rStyle w:val="Artref"/>
          <w:b/>
        </w:rPr>
        <w:t>11.49</w:t>
      </w:r>
      <w:r w:rsidR="0017319A">
        <w:rPr>
          <w:rStyle w:val="Artref"/>
          <w:b/>
        </w:rPr>
        <w:t xml:space="preserve"> </w:t>
      </w:r>
      <w:r w:rsidR="0017319A" w:rsidRPr="003D2169">
        <w:rPr>
          <w:rStyle w:val="Artref"/>
          <w:bCs/>
        </w:rPr>
        <w:t>and</w:t>
      </w:r>
      <w:r w:rsidR="005319D3">
        <w:rPr>
          <w:rStyle w:val="Artref"/>
          <w:b/>
        </w:rPr>
        <w:t xml:space="preserve"> </w:t>
      </w:r>
      <w:r w:rsidR="0017319A">
        <w:rPr>
          <w:szCs w:val="24"/>
        </w:rPr>
        <w:t xml:space="preserve">§5.2.10 of Appendices </w:t>
      </w:r>
      <w:r w:rsidR="0017319A" w:rsidRPr="003D2169">
        <w:rPr>
          <w:b/>
          <w:bCs/>
          <w:szCs w:val="24"/>
        </w:rPr>
        <w:t xml:space="preserve">30 </w:t>
      </w:r>
      <w:r w:rsidR="0017319A">
        <w:rPr>
          <w:szCs w:val="24"/>
        </w:rPr>
        <w:t xml:space="preserve">and </w:t>
      </w:r>
      <w:r w:rsidR="0017319A" w:rsidRPr="003D2169">
        <w:rPr>
          <w:b/>
          <w:bCs/>
          <w:szCs w:val="24"/>
        </w:rPr>
        <w:t>30A</w:t>
      </w:r>
      <w:r w:rsidR="0017319A">
        <w:rPr>
          <w:szCs w:val="24"/>
        </w:rPr>
        <w:t xml:space="preserve"> and the Rules of Procedure relating to </w:t>
      </w:r>
      <w:r w:rsidR="0017319A" w:rsidRPr="00542E34">
        <w:t>No. </w:t>
      </w:r>
      <w:r w:rsidR="0017319A" w:rsidRPr="002A7929">
        <w:rPr>
          <w:rStyle w:val="Artref"/>
          <w:b/>
        </w:rPr>
        <w:t>11.49</w:t>
      </w:r>
      <w:r w:rsidR="0017319A">
        <w:rPr>
          <w:rStyle w:val="Artref"/>
          <w:b/>
        </w:rPr>
        <w:t xml:space="preserve"> </w:t>
      </w:r>
      <w:r w:rsidR="0017319A" w:rsidRPr="003D2169">
        <w:rPr>
          <w:rStyle w:val="Artref"/>
          <w:bCs/>
        </w:rPr>
        <w:t xml:space="preserve">and </w:t>
      </w:r>
      <w:r w:rsidR="0017319A">
        <w:rPr>
          <w:szCs w:val="24"/>
        </w:rPr>
        <w:t xml:space="preserve">§8.17 of Appendix </w:t>
      </w:r>
      <w:r w:rsidR="0017319A" w:rsidRPr="003D2169">
        <w:rPr>
          <w:b/>
          <w:bCs/>
          <w:szCs w:val="24"/>
        </w:rPr>
        <w:t>30B</w:t>
      </w:r>
      <w:r w:rsidR="00490F6D">
        <w:rPr>
          <w:b/>
          <w:bCs/>
          <w:szCs w:val="24"/>
        </w:rPr>
        <w:t>,</w:t>
      </w:r>
      <w:r w:rsidR="00CE2C7B" w:rsidRPr="002A7929">
        <w:rPr>
          <w:spacing w:val="-16"/>
        </w:rPr>
        <w:t xml:space="preserve"> </w:t>
      </w:r>
      <w:r w:rsidR="00CE2C7B">
        <w:t xml:space="preserve">the maximum period for </w:t>
      </w:r>
      <w:r w:rsidR="00CE2C7B" w:rsidRPr="00542E34">
        <w:t xml:space="preserve">the suspension of the use of a frequency assignment to a space station </w:t>
      </w:r>
      <w:r w:rsidR="00CE2C7B">
        <w:t xml:space="preserve">is </w:t>
      </w:r>
      <w:r w:rsidR="00CE2C7B" w:rsidRPr="00542E34">
        <w:t xml:space="preserve">three </w:t>
      </w:r>
      <w:r w:rsidR="004F693B">
        <w:t xml:space="preserve">(3) </w:t>
      </w:r>
      <w:r w:rsidR="00CE2C7B" w:rsidRPr="00542E34">
        <w:t>years</w:t>
      </w:r>
      <w:r w:rsidR="00CE2C7B">
        <w:t xml:space="preserve">. This applies to </w:t>
      </w:r>
      <w:r w:rsidR="00CE2C7B" w:rsidRPr="00542E34">
        <w:t xml:space="preserve">requests for suspension of frequency assignments </w:t>
      </w:r>
      <w:r w:rsidR="00490F6D">
        <w:t>to</w:t>
      </w:r>
      <w:r w:rsidR="00490F6D" w:rsidRPr="00542E34">
        <w:t xml:space="preserve"> </w:t>
      </w:r>
      <w:r w:rsidR="00CE2C7B" w:rsidRPr="00542E34">
        <w:t xml:space="preserve">a space station received by the Bureau on or after </w:t>
      </w:r>
      <w:r w:rsidR="000C063C">
        <w:t xml:space="preserve">1 January </w:t>
      </w:r>
      <w:r w:rsidR="00CE2C7B" w:rsidRPr="00542E34">
        <w:t>2013.</w:t>
      </w:r>
    </w:p>
    <w:p w:rsidR="00CF2451" w:rsidRDefault="00CF2451" w:rsidP="004F693B">
      <w:pPr>
        <w:spacing w:before="0" w:after="240"/>
        <w:rPr>
          <w:szCs w:val="24"/>
          <w:lang w:val="en-US" w:eastAsia="zh-CN"/>
        </w:rPr>
      </w:pPr>
      <w:r w:rsidRPr="00CF2451">
        <w:rPr>
          <w:szCs w:val="24"/>
        </w:rPr>
        <w:t>3.</w:t>
      </w:r>
      <w:r w:rsidR="00C1755C">
        <w:rPr>
          <w:szCs w:val="24"/>
        </w:rPr>
        <w:t>2</w:t>
      </w:r>
      <w:r w:rsidRPr="00CF2451">
        <w:rPr>
          <w:szCs w:val="24"/>
        </w:rPr>
        <w:tab/>
        <w:t xml:space="preserve">As </w:t>
      </w:r>
      <w:r w:rsidR="004F693B">
        <w:rPr>
          <w:szCs w:val="24"/>
        </w:rPr>
        <w:t>indicated in</w:t>
      </w:r>
      <w:r w:rsidRPr="00CF2451">
        <w:rPr>
          <w:szCs w:val="24"/>
        </w:rPr>
        <w:t xml:space="preserve"> </w:t>
      </w:r>
      <w:r>
        <w:rPr>
          <w:szCs w:val="24"/>
        </w:rPr>
        <w:t>No.</w:t>
      </w:r>
      <w:r w:rsidRPr="002200FF">
        <w:rPr>
          <w:b/>
          <w:bCs/>
          <w:szCs w:val="24"/>
        </w:rPr>
        <w:t>11.49.1</w:t>
      </w:r>
      <w:r w:rsidR="004455C8">
        <w:rPr>
          <w:b/>
          <w:bCs/>
          <w:szCs w:val="24"/>
        </w:rPr>
        <w:t>,</w:t>
      </w:r>
      <w:r w:rsidR="004455C8" w:rsidRPr="004455C8">
        <w:rPr>
          <w:szCs w:val="24"/>
        </w:rPr>
        <w:t xml:space="preserve"> </w:t>
      </w:r>
      <w:r w:rsidR="004455C8">
        <w:rPr>
          <w:szCs w:val="24"/>
        </w:rPr>
        <w:t xml:space="preserve">footnote 20bis of Appendix </w:t>
      </w:r>
      <w:r w:rsidR="004455C8" w:rsidRPr="003F69F8">
        <w:rPr>
          <w:b/>
          <w:bCs/>
          <w:szCs w:val="24"/>
        </w:rPr>
        <w:t>30</w:t>
      </w:r>
      <w:r w:rsidR="004455C8">
        <w:rPr>
          <w:szCs w:val="24"/>
        </w:rPr>
        <w:t>, footnote 24bis of Appendix</w:t>
      </w:r>
      <w:r w:rsidR="00C23C30">
        <w:rPr>
          <w:szCs w:val="24"/>
        </w:rPr>
        <w:t> </w:t>
      </w:r>
      <w:r w:rsidR="004455C8" w:rsidRPr="003F69F8">
        <w:rPr>
          <w:b/>
          <w:bCs/>
          <w:szCs w:val="24"/>
        </w:rPr>
        <w:t>30A</w:t>
      </w:r>
      <w:r w:rsidR="004455C8">
        <w:rPr>
          <w:szCs w:val="24"/>
        </w:rPr>
        <w:t xml:space="preserve"> and the Rule of Procedure relating to §8.17 of Appendix </w:t>
      </w:r>
      <w:r w:rsidR="004455C8" w:rsidRPr="003F69F8">
        <w:rPr>
          <w:b/>
          <w:bCs/>
          <w:szCs w:val="24"/>
        </w:rPr>
        <w:t>30B</w:t>
      </w:r>
      <w:r w:rsidRPr="00CF2451">
        <w:rPr>
          <w:szCs w:val="24"/>
        </w:rPr>
        <w:t xml:space="preserve">, </w:t>
      </w:r>
      <w:r>
        <w:rPr>
          <w:szCs w:val="24"/>
        </w:rPr>
        <w:t xml:space="preserve">the procedure for bringing </w:t>
      </w:r>
      <w:r w:rsidR="002200FF">
        <w:rPr>
          <w:szCs w:val="24"/>
        </w:rPr>
        <w:t>a suspended frequency assignment</w:t>
      </w:r>
      <w:r>
        <w:rPr>
          <w:szCs w:val="24"/>
        </w:rPr>
        <w:t xml:space="preserve"> </w:t>
      </w:r>
      <w:r w:rsidR="00490F6D">
        <w:rPr>
          <w:szCs w:val="24"/>
        </w:rPr>
        <w:t xml:space="preserve">back into use </w:t>
      </w:r>
      <w:r>
        <w:rPr>
          <w:szCs w:val="24"/>
        </w:rPr>
        <w:t>will be similar to</w:t>
      </w:r>
      <w:r w:rsidR="00490F6D">
        <w:rPr>
          <w:szCs w:val="24"/>
        </w:rPr>
        <w:t xml:space="preserve"> the procedure for </w:t>
      </w:r>
      <w:r>
        <w:rPr>
          <w:szCs w:val="24"/>
        </w:rPr>
        <w:t xml:space="preserve"> bringing into use</w:t>
      </w:r>
      <w:r w:rsidR="00490F6D" w:rsidRPr="00490F6D">
        <w:rPr>
          <w:szCs w:val="24"/>
        </w:rPr>
        <w:t xml:space="preserve"> </w:t>
      </w:r>
      <w:r w:rsidR="00490F6D">
        <w:rPr>
          <w:szCs w:val="24"/>
        </w:rPr>
        <w:t>described in section 2 above</w:t>
      </w:r>
      <w:r>
        <w:rPr>
          <w:szCs w:val="24"/>
        </w:rPr>
        <w:t>. T</w:t>
      </w:r>
      <w:r w:rsidRPr="00CF2451">
        <w:rPr>
          <w:szCs w:val="24"/>
        </w:rPr>
        <w:t>he</w:t>
      </w:r>
      <w:r>
        <w:rPr>
          <w:szCs w:val="24"/>
          <w:lang w:val="en-US" w:eastAsia="zh-CN"/>
        </w:rPr>
        <w:t xml:space="preserve"> date of bringing back into use of a frequency assignment to a space station in the </w:t>
      </w:r>
      <w:r w:rsidR="004455C8">
        <w:rPr>
          <w:szCs w:val="24"/>
          <w:lang w:val="en-US" w:eastAsia="zh-CN"/>
        </w:rPr>
        <w:t>GSO</w:t>
      </w:r>
      <w:r>
        <w:rPr>
          <w:szCs w:val="24"/>
          <w:lang w:val="en-US" w:eastAsia="zh-CN"/>
        </w:rPr>
        <w:t xml:space="preserve"> shall be the date of commencement of the </w:t>
      </w:r>
      <w:r w:rsidR="00490F6D">
        <w:rPr>
          <w:szCs w:val="24"/>
          <w:lang w:val="en-US" w:eastAsia="zh-CN"/>
        </w:rPr>
        <w:t>90</w:t>
      </w:r>
      <w:r>
        <w:rPr>
          <w:szCs w:val="24"/>
          <w:lang w:val="en-US" w:eastAsia="zh-CN"/>
        </w:rPr>
        <w:t xml:space="preserve">-day </w:t>
      </w:r>
      <w:r w:rsidRPr="004F693B">
        <w:rPr>
          <w:szCs w:val="24"/>
          <w:lang w:val="en-US" w:eastAsia="zh-CN"/>
        </w:rPr>
        <w:t>period defined</w:t>
      </w:r>
      <w:r>
        <w:rPr>
          <w:szCs w:val="24"/>
          <w:lang w:val="en-US" w:eastAsia="zh-CN"/>
        </w:rPr>
        <w:t xml:space="preserve"> </w:t>
      </w:r>
      <w:r w:rsidR="005A0C6C">
        <w:rPr>
          <w:szCs w:val="24"/>
          <w:lang w:val="en-US" w:eastAsia="zh-CN"/>
        </w:rPr>
        <w:t xml:space="preserve">in No. </w:t>
      </w:r>
      <w:r w:rsidR="005A0C6C" w:rsidRPr="005A0C6C">
        <w:rPr>
          <w:b/>
          <w:bCs/>
          <w:szCs w:val="24"/>
          <w:lang w:val="en-US" w:eastAsia="zh-CN"/>
        </w:rPr>
        <w:t>11.49.1</w:t>
      </w:r>
      <w:r>
        <w:rPr>
          <w:szCs w:val="24"/>
          <w:lang w:val="en-US" w:eastAsia="zh-CN"/>
        </w:rPr>
        <w:t xml:space="preserve">. A frequency assignment to a space station in the </w:t>
      </w:r>
      <w:r w:rsidR="004455C8">
        <w:rPr>
          <w:szCs w:val="24"/>
          <w:lang w:val="en-US" w:eastAsia="zh-CN"/>
        </w:rPr>
        <w:t>GSO</w:t>
      </w:r>
      <w:r>
        <w:rPr>
          <w:szCs w:val="24"/>
          <w:lang w:val="en-US" w:eastAsia="zh-CN"/>
        </w:rPr>
        <w:t xml:space="preserve"> shall be considered as having been brought back into use when a space station in the geostationary-satellite orbit with the capability of transmitting or receiving that frequency assignment has been deployed and maintained at the notified orbital position for a continuous period of </w:t>
      </w:r>
      <w:r w:rsidR="00490F6D">
        <w:rPr>
          <w:szCs w:val="24"/>
          <w:lang w:val="en-US" w:eastAsia="zh-CN"/>
        </w:rPr>
        <w:t xml:space="preserve">90 </w:t>
      </w:r>
      <w:r>
        <w:rPr>
          <w:szCs w:val="24"/>
          <w:lang w:val="en-US" w:eastAsia="zh-CN"/>
        </w:rPr>
        <w:t xml:space="preserve">days. The notifying administration shall so inform the Bureau within </w:t>
      </w:r>
      <w:r w:rsidR="00490F6D">
        <w:rPr>
          <w:szCs w:val="24"/>
          <w:lang w:val="en-US" w:eastAsia="zh-CN"/>
        </w:rPr>
        <w:t xml:space="preserve">30 </w:t>
      </w:r>
      <w:r>
        <w:rPr>
          <w:szCs w:val="24"/>
          <w:lang w:val="en-US" w:eastAsia="zh-CN"/>
        </w:rPr>
        <w:t xml:space="preserve">days from the end of the </w:t>
      </w:r>
      <w:r w:rsidR="00490F6D">
        <w:rPr>
          <w:szCs w:val="24"/>
          <w:lang w:val="en-US" w:eastAsia="zh-CN"/>
        </w:rPr>
        <w:t>90</w:t>
      </w:r>
      <w:r>
        <w:rPr>
          <w:szCs w:val="24"/>
          <w:lang w:val="en-US" w:eastAsia="zh-CN"/>
        </w:rPr>
        <w:t>-day period.</w:t>
      </w:r>
    </w:p>
    <w:p w:rsidR="007D68B3" w:rsidRDefault="00CF2451" w:rsidP="00C23C30">
      <w:pPr>
        <w:spacing w:before="0" w:after="240"/>
      </w:pPr>
      <w:r>
        <w:rPr>
          <w:szCs w:val="24"/>
          <w:lang w:val="en-US" w:eastAsia="zh-CN"/>
        </w:rPr>
        <w:t>3.</w:t>
      </w:r>
      <w:r w:rsidR="004455C8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ab/>
        <w:t>Consequently,</w:t>
      </w:r>
      <w:r w:rsidRPr="00CF2451">
        <w:t xml:space="preserve"> </w:t>
      </w:r>
      <w:r w:rsidR="004D2109">
        <w:t>if the</w:t>
      </w:r>
      <w:r w:rsidR="007D68B3">
        <w:t xml:space="preserve"> </w:t>
      </w:r>
      <w:r w:rsidR="000E0B87">
        <w:t xml:space="preserve">date of bringing back into use of </w:t>
      </w:r>
      <w:r w:rsidR="005A0C6C">
        <w:t>a frequency assignment</w:t>
      </w:r>
      <w:r w:rsidR="007D68B3">
        <w:t xml:space="preserve"> to a space station</w:t>
      </w:r>
      <w:r w:rsidR="004D2109">
        <w:t xml:space="preserve"> exceeds </w:t>
      </w:r>
      <w:r w:rsidR="009A41BF">
        <w:t xml:space="preserve">the </w:t>
      </w:r>
      <w:r w:rsidR="004F693B">
        <w:t>d</w:t>
      </w:r>
      <w:r w:rsidR="007D68B3">
        <w:t>ate of suspension</w:t>
      </w:r>
      <w:r w:rsidR="004D2109">
        <w:t xml:space="preserve"> by more than </w:t>
      </w:r>
      <w:r w:rsidR="007D68B3">
        <w:t>3 years</w:t>
      </w:r>
      <w:r w:rsidR="000E0B87">
        <w:t xml:space="preserve">, or </w:t>
      </w:r>
      <w:r w:rsidR="007D68B3">
        <w:t xml:space="preserve">in the absence of </w:t>
      </w:r>
      <w:r w:rsidR="008A695A">
        <w:t xml:space="preserve">confirmation </w:t>
      </w:r>
      <w:r w:rsidR="004D2109">
        <w:t>on</w:t>
      </w:r>
      <w:r w:rsidR="006478AC">
        <w:t xml:space="preserve"> </w:t>
      </w:r>
      <w:r w:rsidR="008A695A">
        <w:t>the bringing back into use</w:t>
      </w:r>
      <w:r w:rsidRPr="003D2169">
        <w:rPr>
          <w:b/>
          <w:bCs/>
        </w:rPr>
        <w:t xml:space="preserve"> </w:t>
      </w:r>
      <w:r w:rsidR="007D68B3" w:rsidRPr="008A695A">
        <w:t>within</w:t>
      </w:r>
      <w:r w:rsidRPr="00C447B0">
        <w:t xml:space="preserve"> </w:t>
      </w:r>
      <w:r w:rsidR="004D2109">
        <w:t xml:space="preserve">3 years and 120 days after </w:t>
      </w:r>
      <w:r w:rsidR="004F693B">
        <w:t>the d</w:t>
      </w:r>
      <w:r w:rsidRPr="00C447B0">
        <w:t xml:space="preserve">ate of </w:t>
      </w:r>
      <w:r w:rsidR="007D68B3" w:rsidRPr="00C447B0">
        <w:t>suspension</w:t>
      </w:r>
      <w:r w:rsidR="007D68B3">
        <w:t xml:space="preserve">, the Bureau </w:t>
      </w:r>
      <w:r w:rsidR="004D2109">
        <w:t xml:space="preserve">will </w:t>
      </w:r>
      <w:r w:rsidR="007D68B3">
        <w:t>cancel the entry in the Master Register</w:t>
      </w:r>
      <w:r w:rsidR="007D68B3" w:rsidRPr="007D68B3">
        <w:t xml:space="preserve"> </w:t>
      </w:r>
      <w:r w:rsidR="007D68B3">
        <w:t>in accordance with No.</w:t>
      </w:r>
      <w:r w:rsidR="007D68B3" w:rsidRPr="00AC2E6E">
        <w:rPr>
          <w:b/>
          <w:bCs/>
        </w:rPr>
        <w:t>11.4</w:t>
      </w:r>
      <w:r w:rsidR="007D68B3">
        <w:rPr>
          <w:b/>
          <w:bCs/>
        </w:rPr>
        <w:t>9</w:t>
      </w:r>
      <w:r w:rsidR="00C447B0">
        <w:rPr>
          <w:b/>
          <w:bCs/>
        </w:rPr>
        <w:t>,</w:t>
      </w:r>
      <w:r w:rsidR="007D68B3">
        <w:t xml:space="preserve"> </w:t>
      </w:r>
      <w:r w:rsidR="00C447B0">
        <w:rPr>
          <w:szCs w:val="24"/>
        </w:rPr>
        <w:t xml:space="preserve">§5.2.11 of Appendices </w:t>
      </w:r>
      <w:r w:rsidR="00C447B0" w:rsidRPr="003F69F8">
        <w:rPr>
          <w:b/>
          <w:bCs/>
          <w:szCs w:val="24"/>
        </w:rPr>
        <w:t>30</w:t>
      </w:r>
      <w:r w:rsidR="00C447B0">
        <w:rPr>
          <w:szCs w:val="24"/>
        </w:rPr>
        <w:t xml:space="preserve"> and </w:t>
      </w:r>
      <w:r w:rsidR="00C447B0" w:rsidRPr="003F69F8">
        <w:rPr>
          <w:b/>
          <w:bCs/>
          <w:szCs w:val="24"/>
        </w:rPr>
        <w:t>30A</w:t>
      </w:r>
      <w:r w:rsidR="00C447B0">
        <w:rPr>
          <w:szCs w:val="24"/>
        </w:rPr>
        <w:t xml:space="preserve"> and the Rule of Procedure relating to §8.17 of Appendix </w:t>
      </w:r>
      <w:r w:rsidR="00C447B0" w:rsidRPr="003F69F8">
        <w:rPr>
          <w:b/>
          <w:bCs/>
          <w:szCs w:val="24"/>
        </w:rPr>
        <w:t>30B</w:t>
      </w:r>
      <w:r w:rsidR="00C447B0">
        <w:t>.</w:t>
      </w:r>
    </w:p>
    <w:p w:rsidR="00C1755C" w:rsidRPr="00516E3F" w:rsidRDefault="00C1755C" w:rsidP="00C23C30">
      <w:pPr>
        <w:spacing w:before="0" w:after="240"/>
      </w:pPr>
      <w:r>
        <w:t>3.4</w:t>
      </w:r>
      <w:r>
        <w:tab/>
      </w:r>
      <w:r>
        <w:rPr>
          <w:szCs w:val="24"/>
        </w:rPr>
        <w:t>T</w:t>
      </w:r>
      <w:r w:rsidRPr="00CE2C7B">
        <w:rPr>
          <w:szCs w:val="24"/>
        </w:rPr>
        <w:t xml:space="preserve">he </w:t>
      </w:r>
      <w:r w:rsidR="004F693B">
        <w:rPr>
          <w:szCs w:val="24"/>
        </w:rPr>
        <w:t xml:space="preserve">ITU-BR webpage where the </w:t>
      </w:r>
      <w:r w:rsidRPr="00CE2C7B">
        <w:rPr>
          <w:szCs w:val="24"/>
        </w:rPr>
        <w:t xml:space="preserve">Bureau </w:t>
      </w:r>
      <w:r>
        <w:rPr>
          <w:szCs w:val="24"/>
        </w:rPr>
        <w:t xml:space="preserve">posts information on </w:t>
      </w:r>
      <w:r w:rsidRPr="00CE2C7B">
        <w:rPr>
          <w:szCs w:val="24"/>
        </w:rPr>
        <w:t xml:space="preserve">suspension status </w:t>
      </w:r>
      <w:r w:rsidR="004F693B">
        <w:rPr>
          <w:szCs w:val="24"/>
        </w:rPr>
        <w:t>is</w:t>
      </w:r>
      <w:r w:rsidRPr="00CE2C7B">
        <w:rPr>
          <w:szCs w:val="24"/>
        </w:rPr>
        <w:t xml:space="preserve">: </w:t>
      </w:r>
      <w:hyperlink r:id="rId11" w:history="1">
        <w:r w:rsidRPr="0009155B">
          <w:rPr>
            <w:rStyle w:val="Hyperlink"/>
            <w:szCs w:val="24"/>
          </w:rPr>
          <w:t>http://www.itu.int/net/ITU-R/space/snl/list1149/index.asp</w:t>
        </w:r>
      </w:hyperlink>
      <w:r w:rsidR="008A695A">
        <w:rPr>
          <w:szCs w:val="24"/>
        </w:rPr>
        <w:t>. Resumption</w:t>
      </w:r>
      <w:r w:rsidR="009A41BF">
        <w:rPr>
          <w:szCs w:val="24"/>
        </w:rPr>
        <w:t>s of the use</w:t>
      </w:r>
      <w:r w:rsidR="008A695A">
        <w:rPr>
          <w:szCs w:val="24"/>
        </w:rPr>
        <w:t xml:space="preserve"> of frequency assignment</w:t>
      </w:r>
      <w:r w:rsidR="009A41BF">
        <w:rPr>
          <w:szCs w:val="24"/>
        </w:rPr>
        <w:t>s</w:t>
      </w:r>
      <w:r w:rsidR="008A695A">
        <w:rPr>
          <w:szCs w:val="24"/>
        </w:rPr>
        <w:t xml:space="preserve"> will be published </w:t>
      </w:r>
      <w:r>
        <w:t>in Part II-S of the BR IFIC (Space Services) DVD</w:t>
      </w:r>
      <w:r w:rsidR="008A695A">
        <w:t xml:space="preserve"> only when the confirmation is received</w:t>
      </w:r>
      <w:r>
        <w:rPr>
          <w:szCs w:val="24"/>
        </w:rPr>
        <w:t xml:space="preserve">. </w:t>
      </w:r>
      <w:r>
        <w:t xml:space="preserve">The following symbols </w:t>
      </w:r>
      <w:r w:rsidR="004F693B">
        <w:t xml:space="preserve">are used </w:t>
      </w:r>
      <w:r>
        <w:t xml:space="preserve">in the </w:t>
      </w:r>
      <w:r w:rsidR="00516E3F">
        <w:t xml:space="preserve">Status of </w:t>
      </w:r>
      <w:r w:rsidR="009A41BF">
        <w:t>B</w:t>
      </w:r>
      <w:r>
        <w:t xml:space="preserve">ringing into </w:t>
      </w:r>
      <w:r w:rsidR="009A41BF">
        <w:t>U</w:t>
      </w:r>
      <w:r>
        <w:t xml:space="preserve">se </w:t>
      </w:r>
      <w:r w:rsidR="009A41BF">
        <w:t>column</w:t>
      </w:r>
      <w:r>
        <w:t>:</w:t>
      </w:r>
    </w:p>
    <w:p w:rsidR="00C447B0" w:rsidRPr="00013A80" w:rsidRDefault="00C447B0" w:rsidP="00516E3F">
      <w:pPr>
        <w:spacing w:before="0" w:after="240"/>
      </w:pPr>
      <w:r>
        <w:tab/>
        <w:t>S:</w:t>
      </w:r>
      <w:r w:rsidR="00516E3F">
        <w:tab/>
        <w:t>Suspended</w:t>
      </w:r>
    </w:p>
    <w:p w:rsidR="00C447B0" w:rsidRDefault="00C447B0">
      <w:pPr>
        <w:spacing w:before="0" w:after="240"/>
      </w:pPr>
      <w:r>
        <w:tab/>
      </w:r>
      <w:r w:rsidR="00516E3F">
        <w:t>J</w:t>
      </w:r>
      <w:r w:rsidRPr="00013A80">
        <w:t>:</w:t>
      </w:r>
      <w:r w:rsidR="00516E3F">
        <w:tab/>
        <w:t xml:space="preserve">Initial </w:t>
      </w:r>
      <w:r w:rsidR="00802B6B">
        <w:t xml:space="preserve">information on </w:t>
      </w:r>
      <w:r w:rsidR="00516E3F">
        <w:t>resumption of use</w:t>
      </w:r>
    </w:p>
    <w:p w:rsidR="00516E3F" w:rsidRPr="00013A80" w:rsidRDefault="00C447B0" w:rsidP="00516E3F">
      <w:pPr>
        <w:spacing w:before="0" w:after="240"/>
      </w:pPr>
      <w:r>
        <w:tab/>
        <w:t xml:space="preserve">R: </w:t>
      </w:r>
      <w:r w:rsidR="00516E3F">
        <w:tab/>
        <w:t xml:space="preserve">Confirmed resumption of use, No. </w:t>
      </w:r>
      <w:r w:rsidR="00516E3F" w:rsidRPr="00FF73DF">
        <w:rPr>
          <w:b/>
          <w:bCs/>
        </w:rPr>
        <w:t>11.4</w:t>
      </w:r>
      <w:r w:rsidR="00516E3F">
        <w:rPr>
          <w:b/>
          <w:bCs/>
        </w:rPr>
        <w:t>9.1</w:t>
      </w:r>
      <w:r w:rsidR="00516E3F">
        <w:t xml:space="preserve"> conditions fulfilled</w:t>
      </w:r>
    </w:p>
    <w:p w:rsidR="0067288C" w:rsidRDefault="00FC2151" w:rsidP="00C23C30">
      <w:pPr>
        <w:pStyle w:val="Heading1"/>
        <w:spacing w:before="0" w:after="240"/>
      </w:pPr>
      <w:r>
        <w:t>4</w:t>
      </w:r>
      <w:r w:rsidR="00204116">
        <w:tab/>
      </w:r>
      <w:r w:rsidR="0067288C">
        <w:t xml:space="preserve">Request for </w:t>
      </w:r>
      <w:r w:rsidR="00B41850">
        <w:t xml:space="preserve">the application of </w:t>
      </w:r>
      <w:r w:rsidR="0067288C">
        <w:t>No.</w:t>
      </w:r>
      <w:r w:rsidR="009A41BF">
        <w:t> </w:t>
      </w:r>
      <w:r w:rsidR="0067288C">
        <w:t>11.41</w:t>
      </w:r>
    </w:p>
    <w:p w:rsidR="0067288C" w:rsidRDefault="0067288C" w:rsidP="00731FBE">
      <w:pPr>
        <w:spacing w:before="0" w:after="240"/>
        <w:rPr>
          <w:i/>
          <w:iCs/>
          <w:szCs w:val="24"/>
          <w:lang w:val="en-US" w:eastAsia="zh-CN"/>
        </w:rPr>
      </w:pPr>
      <w:r>
        <w:t>4.1</w:t>
      </w:r>
      <w:r>
        <w:tab/>
      </w:r>
      <w:r w:rsidR="005A0C6C">
        <w:t>The provisions of</w:t>
      </w:r>
      <w:r w:rsidRPr="00167E17">
        <w:t xml:space="preserve"> No.</w:t>
      </w:r>
      <w:r w:rsidR="009A41BF">
        <w:t> </w:t>
      </w:r>
      <w:r w:rsidR="00204116" w:rsidRPr="00167E17">
        <w:rPr>
          <w:b/>
          <w:bCs/>
        </w:rPr>
        <w:t>11.41.2</w:t>
      </w:r>
      <w:r w:rsidRPr="00167E17">
        <w:t xml:space="preserve"> </w:t>
      </w:r>
      <w:r w:rsidR="005A0C6C">
        <w:t>as added by WRC-12 request</w:t>
      </w:r>
      <w:r w:rsidR="00167E17" w:rsidRPr="00167E17">
        <w:t xml:space="preserve"> </w:t>
      </w:r>
      <w:r w:rsidRPr="00167E17">
        <w:rPr>
          <w:szCs w:val="24"/>
          <w:lang w:val="en-US" w:eastAsia="zh-CN"/>
        </w:rPr>
        <w:t>the notifying administration</w:t>
      </w:r>
      <w:r w:rsidR="00167E17" w:rsidRPr="00167E17">
        <w:rPr>
          <w:szCs w:val="24"/>
          <w:lang w:val="en-US" w:eastAsia="zh-CN"/>
        </w:rPr>
        <w:t xml:space="preserve">, when submitting notices in application of No. </w:t>
      </w:r>
      <w:r w:rsidR="00167E17" w:rsidRPr="00167E17">
        <w:rPr>
          <w:b/>
          <w:bCs/>
          <w:szCs w:val="24"/>
          <w:lang w:val="en-US" w:eastAsia="zh-CN"/>
        </w:rPr>
        <w:t>11.4</w:t>
      </w:r>
      <w:r w:rsidR="005A0C6C">
        <w:rPr>
          <w:b/>
          <w:bCs/>
          <w:szCs w:val="24"/>
          <w:lang w:val="en-US" w:eastAsia="zh-CN"/>
        </w:rPr>
        <w:t>1</w:t>
      </w:r>
      <w:r w:rsidR="00167E17" w:rsidRPr="00167E17">
        <w:rPr>
          <w:b/>
          <w:bCs/>
          <w:szCs w:val="24"/>
          <w:lang w:val="en-US" w:eastAsia="zh-CN"/>
        </w:rPr>
        <w:t xml:space="preserve">, </w:t>
      </w:r>
      <w:r w:rsidR="00167E17" w:rsidRPr="00167E17">
        <w:rPr>
          <w:szCs w:val="24"/>
          <w:lang w:val="en-US" w:eastAsia="zh-CN"/>
        </w:rPr>
        <w:t>to</w:t>
      </w:r>
      <w:r w:rsidRPr="00167E17">
        <w:rPr>
          <w:szCs w:val="24"/>
          <w:lang w:val="en-US" w:eastAsia="zh-CN"/>
        </w:rPr>
        <w:t xml:space="preserve"> indicate to the Bureau that efforts have been made to effect coordination with those administrations whose assignments were the basis of the </w:t>
      </w:r>
      <w:proofErr w:type="spellStart"/>
      <w:r w:rsidRPr="00167E17">
        <w:rPr>
          <w:szCs w:val="24"/>
          <w:lang w:val="en-US" w:eastAsia="zh-CN"/>
        </w:rPr>
        <w:t>unfavourable</w:t>
      </w:r>
      <w:proofErr w:type="spellEnd"/>
      <w:r w:rsidRPr="00167E17">
        <w:rPr>
          <w:szCs w:val="24"/>
          <w:lang w:val="en-US" w:eastAsia="zh-CN"/>
        </w:rPr>
        <w:t xml:space="preserve"> findings under No. </w:t>
      </w:r>
      <w:r w:rsidRPr="00167E17">
        <w:rPr>
          <w:b/>
          <w:bCs/>
          <w:szCs w:val="24"/>
          <w:lang w:val="en-US" w:eastAsia="zh-CN"/>
        </w:rPr>
        <w:t>11.38</w:t>
      </w:r>
      <w:r w:rsidRPr="00167E17">
        <w:rPr>
          <w:szCs w:val="24"/>
          <w:lang w:val="en-US" w:eastAsia="zh-CN"/>
        </w:rPr>
        <w:t>, without success.</w:t>
      </w:r>
    </w:p>
    <w:p w:rsidR="003D2169" w:rsidRDefault="004455C8">
      <w:pPr>
        <w:spacing w:before="0" w:after="240"/>
        <w:rPr>
          <w:lang w:val="en-US"/>
        </w:rPr>
      </w:pPr>
      <w:r>
        <w:rPr>
          <w:szCs w:val="24"/>
          <w:lang w:val="en-US" w:eastAsia="zh-CN"/>
        </w:rPr>
        <w:t>4.2</w:t>
      </w:r>
      <w:r w:rsidR="0067288C">
        <w:rPr>
          <w:szCs w:val="24"/>
          <w:lang w:val="en-US" w:eastAsia="zh-CN"/>
        </w:rPr>
        <w:t xml:space="preserve"> </w:t>
      </w:r>
      <w:r w:rsidR="0067288C">
        <w:rPr>
          <w:szCs w:val="24"/>
          <w:lang w:val="en-US" w:eastAsia="zh-CN"/>
        </w:rPr>
        <w:tab/>
        <w:t xml:space="preserve">On receipt of a request for </w:t>
      </w:r>
      <w:r w:rsidR="007F765B">
        <w:rPr>
          <w:szCs w:val="24"/>
          <w:lang w:val="en-US" w:eastAsia="zh-CN"/>
        </w:rPr>
        <w:t xml:space="preserve">the application of </w:t>
      </w:r>
      <w:r w:rsidR="0067288C">
        <w:rPr>
          <w:szCs w:val="24"/>
          <w:lang w:val="en-US" w:eastAsia="zh-CN"/>
        </w:rPr>
        <w:t>No.</w:t>
      </w:r>
      <w:r w:rsidR="0067288C" w:rsidRPr="007F765B">
        <w:rPr>
          <w:b/>
          <w:bCs/>
          <w:szCs w:val="24"/>
          <w:lang w:val="en-US" w:eastAsia="zh-CN"/>
        </w:rPr>
        <w:t>11.41</w:t>
      </w:r>
      <w:r w:rsidR="0067288C">
        <w:rPr>
          <w:szCs w:val="24"/>
          <w:lang w:val="en-US" w:eastAsia="zh-CN"/>
        </w:rPr>
        <w:t xml:space="preserve">, the Bureau will </w:t>
      </w:r>
      <w:r w:rsidR="005A0C6C">
        <w:rPr>
          <w:szCs w:val="24"/>
          <w:lang w:val="en-US" w:eastAsia="zh-CN"/>
        </w:rPr>
        <w:t>ask</w:t>
      </w:r>
      <w:r w:rsidR="0067288C">
        <w:rPr>
          <w:szCs w:val="24"/>
          <w:lang w:val="en-US" w:eastAsia="zh-CN"/>
        </w:rPr>
        <w:t xml:space="preserve"> </w:t>
      </w:r>
      <w:r w:rsidR="00974D9F">
        <w:rPr>
          <w:szCs w:val="24"/>
          <w:lang w:val="en-US" w:eastAsia="zh-CN"/>
        </w:rPr>
        <w:t xml:space="preserve">the notifying </w:t>
      </w:r>
      <w:r w:rsidR="00F16669">
        <w:rPr>
          <w:szCs w:val="24"/>
          <w:lang w:val="en-US" w:eastAsia="zh-CN"/>
        </w:rPr>
        <w:t>a</w:t>
      </w:r>
      <w:r w:rsidR="00974D9F">
        <w:rPr>
          <w:szCs w:val="24"/>
          <w:lang w:val="en-US" w:eastAsia="zh-CN"/>
        </w:rPr>
        <w:t xml:space="preserve">dministration </w:t>
      </w:r>
      <w:r w:rsidR="0067288C">
        <w:rPr>
          <w:szCs w:val="24"/>
          <w:lang w:val="en-US" w:eastAsia="zh-CN"/>
        </w:rPr>
        <w:t xml:space="preserve">for </w:t>
      </w:r>
      <w:r w:rsidR="00974D9F">
        <w:rPr>
          <w:szCs w:val="24"/>
          <w:lang w:val="en-US" w:eastAsia="zh-CN"/>
        </w:rPr>
        <w:t xml:space="preserve">the </w:t>
      </w:r>
      <w:r w:rsidR="00802B6B">
        <w:rPr>
          <w:szCs w:val="24"/>
          <w:lang w:val="en-US" w:eastAsia="zh-CN"/>
        </w:rPr>
        <w:t xml:space="preserve">indication </w:t>
      </w:r>
      <w:r w:rsidR="0067288C">
        <w:rPr>
          <w:szCs w:val="24"/>
          <w:lang w:val="en-US" w:eastAsia="zh-CN"/>
        </w:rPr>
        <w:t>required under No.</w:t>
      </w:r>
      <w:r w:rsidR="0067288C" w:rsidRPr="00754224">
        <w:rPr>
          <w:b/>
          <w:bCs/>
          <w:szCs w:val="24"/>
          <w:lang w:val="en-US" w:eastAsia="zh-CN"/>
        </w:rPr>
        <w:t>11.41.2</w:t>
      </w:r>
      <w:r w:rsidR="0067288C">
        <w:rPr>
          <w:lang w:val="en-US"/>
        </w:rPr>
        <w:t xml:space="preserve">, and </w:t>
      </w:r>
      <w:r w:rsidR="00C1755C">
        <w:rPr>
          <w:lang w:val="en-US"/>
        </w:rPr>
        <w:t xml:space="preserve">post </w:t>
      </w:r>
      <w:r w:rsidR="003D2169">
        <w:rPr>
          <w:lang w:val="en-US"/>
        </w:rPr>
        <w:t>it</w:t>
      </w:r>
      <w:r w:rsidR="0067288C">
        <w:rPr>
          <w:lang w:val="en-US"/>
        </w:rPr>
        <w:t xml:space="preserve"> on the ITU</w:t>
      </w:r>
      <w:r w:rsidR="00140BAB">
        <w:rPr>
          <w:lang w:val="en-US"/>
        </w:rPr>
        <w:t>-</w:t>
      </w:r>
      <w:r w:rsidR="003D2169">
        <w:rPr>
          <w:lang w:val="en-US"/>
        </w:rPr>
        <w:t xml:space="preserve">BR website. Possible </w:t>
      </w:r>
      <w:r w:rsidR="00707D49">
        <w:rPr>
          <w:lang w:val="en-US"/>
        </w:rPr>
        <w:t xml:space="preserve">complementary </w:t>
      </w:r>
      <w:r w:rsidR="003D2169">
        <w:rPr>
          <w:lang w:val="en-US"/>
        </w:rPr>
        <w:t xml:space="preserve">information </w:t>
      </w:r>
      <w:r w:rsidR="004F693B">
        <w:rPr>
          <w:lang w:val="en-US"/>
        </w:rPr>
        <w:t xml:space="preserve">might </w:t>
      </w:r>
      <w:r w:rsidR="003D2169">
        <w:rPr>
          <w:lang w:val="en-US"/>
        </w:rPr>
        <w:t xml:space="preserve">include actions </w:t>
      </w:r>
      <w:r w:rsidR="00140BAB">
        <w:rPr>
          <w:lang w:val="en-US"/>
        </w:rPr>
        <w:t xml:space="preserve">taken </w:t>
      </w:r>
      <w:r w:rsidR="003D2169">
        <w:rPr>
          <w:lang w:val="en-US"/>
        </w:rPr>
        <w:t xml:space="preserve">in the event of </w:t>
      </w:r>
      <w:r w:rsidR="00140BAB">
        <w:rPr>
          <w:lang w:val="en-US"/>
        </w:rPr>
        <w:t xml:space="preserve">failure to </w:t>
      </w:r>
      <w:r w:rsidR="003D2169">
        <w:rPr>
          <w:lang w:val="en-US"/>
        </w:rPr>
        <w:t xml:space="preserve">reply or </w:t>
      </w:r>
      <w:r w:rsidR="00140BAB">
        <w:rPr>
          <w:lang w:val="en-US"/>
        </w:rPr>
        <w:t xml:space="preserve">to reach a </w:t>
      </w:r>
      <w:r w:rsidR="003D2169">
        <w:rPr>
          <w:lang w:val="en-US"/>
        </w:rPr>
        <w:t xml:space="preserve">decision on a coordination request, including </w:t>
      </w:r>
      <w:r w:rsidR="00140BAB">
        <w:rPr>
          <w:lang w:val="en-US"/>
        </w:rPr>
        <w:t xml:space="preserve">the request for the </w:t>
      </w:r>
      <w:r w:rsidR="003D2169">
        <w:rPr>
          <w:lang w:val="en-US"/>
        </w:rPr>
        <w:t xml:space="preserve">Bureau’s assistance, or the number </w:t>
      </w:r>
      <w:r w:rsidR="00140BAB">
        <w:rPr>
          <w:lang w:val="en-US"/>
        </w:rPr>
        <w:t xml:space="preserve">and dates </w:t>
      </w:r>
      <w:r w:rsidR="003D2169">
        <w:rPr>
          <w:lang w:val="en-US"/>
        </w:rPr>
        <w:t xml:space="preserve">of coordination meetings for coordination of the network </w:t>
      </w:r>
      <w:r w:rsidR="00140BAB">
        <w:rPr>
          <w:lang w:val="en-US"/>
        </w:rPr>
        <w:t xml:space="preserve">concerned </w:t>
      </w:r>
      <w:r w:rsidR="003D2169">
        <w:rPr>
          <w:lang w:val="en-US"/>
        </w:rPr>
        <w:t xml:space="preserve">with the administrations whose frequency assignments were the basis of the </w:t>
      </w:r>
      <w:proofErr w:type="spellStart"/>
      <w:r w:rsidR="003D2169">
        <w:rPr>
          <w:lang w:val="en-US"/>
        </w:rPr>
        <w:t>unfavourable</w:t>
      </w:r>
      <w:proofErr w:type="spellEnd"/>
      <w:r w:rsidR="003D2169">
        <w:rPr>
          <w:lang w:val="en-US"/>
        </w:rPr>
        <w:t xml:space="preserve"> finding, etc. </w:t>
      </w:r>
    </w:p>
    <w:p w:rsidR="00974D9F" w:rsidRPr="00731FBE" w:rsidRDefault="004455C8">
      <w:pPr>
        <w:spacing w:before="0" w:after="240"/>
        <w:rPr>
          <w:i/>
          <w:iCs/>
          <w:lang w:val="en-US"/>
        </w:rPr>
      </w:pPr>
      <w:r>
        <w:rPr>
          <w:lang w:val="en-US"/>
        </w:rPr>
        <w:t>4.3</w:t>
      </w:r>
      <w:r w:rsidR="00167E17">
        <w:rPr>
          <w:lang w:val="en-US"/>
        </w:rPr>
        <w:t xml:space="preserve"> </w:t>
      </w:r>
      <w:r w:rsidR="00167E17">
        <w:rPr>
          <w:lang w:val="en-US"/>
        </w:rPr>
        <w:tab/>
      </w:r>
      <w:r w:rsidR="00C91800">
        <w:rPr>
          <w:lang w:val="en-US"/>
        </w:rPr>
        <w:t xml:space="preserve">WRC-12 removed </w:t>
      </w:r>
      <w:r w:rsidR="00140BAB">
        <w:rPr>
          <w:lang w:val="en-US"/>
        </w:rPr>
        <w:t>with effect from</w:t>
      </w:r>
      <w:r w:rsidR="00C91800">
        <w:rPr>
          <w:lang w:val="en-US"/>
        </w:rPr>
        <w:t xml:space="preserve"> 1 January 2013 the notion of provisional/definitive recording in the Master Register of frequency assignments submitted under No. </w:t>
      </w:r>
      <w:r w:rsidR="00C91800" w:rsidRPr="00C91800">
        <w:rPr>
          <w:b/>
          <w:bCs/>
          <w:lang w:val="en-US"/>
        </w:rPr>
        <w:t>11.41</w:t>
      </w:r>
      <w:r w:rsidR="00C91800">
        <w:rPr>
          <w:b/>
          <w:bCs/>
          <w:lang w:val="en-US"/>
        </w:rPr>
        <w:t xml:space="preserve">. </w:t>
      </w:r>
      <w:r w:rsidR="00C91800" w:rsidRPr="00C91800">
        <w:rPr>
          <w:lang w:val="en-US"/>
        </w:rPr>
        <w:t>As a consequence</w:t>
      </w:r>
      <w:r w:rsidR="00C91800">
        <w:rPr>
          <w:lang w:val="en-US"/>
        </w:rPr>
        <w:t>,</w:t>
      </w:r>
      <w:r w:rsidR="00C91800" w:rsidRPr="00C91800">
        <w:rPr>
          <w:lang w:val="en-US"/>
        </w:rPr>
        <w:t xml:space="preserve"> the</w:t>
      </w:r>
      <w:r w:rsidR="00C91800">
        <w:rPr>
          <w:b/>
          <w:bCs/>
          <w:lang w:val="en-US"/>
        </w:rPr>
        <w:t xml:space="preserve"> </w:t>
      </w:r>
      <w:r w:rsidR="00C91800">
        <w:rPr>
          <w:lang w:val="en-US"/>
        </w:rPr>
        <w:t>Bureau will</w:t>
      </w:r>
      <w:r w:rsidR="00C91800" w:rsidRPr="00C91800">
        <w:rPr>
          <w:lang w:val="en-US"/>
        </w:rPr>
        <w:t xml:space="preserve"> update</w:t>
      </w:r>
      <w:r w:rsidR="00C91800">
        <w:rPr>
          <w:lang w:val="en-US"/>
        </w:rPr>
        <w:t xml:space="preserve"> the existing entries </w:t>
      </w:r>
      <w:r w:rsidR="00140BAB">
        <w:rPr>
          <w:lang w:val="en-US"/>
        </w:rPr>
        <w:t xml:space="preserve">accordingly </w:t>
      </w:r>
      <w:r w:rsidR="00F16669">
        <w:rPr>
          <w:lang w:val="en-US"/>
        </w:rPr>
        <w:t xml:space="preserve">with a provisional status under former No. </w:t>
      </w:r>
      <w:r w:rsidR="00F16669" w:rsidRPr="00F16669">
        <w:rPr>
          <w:b/>
          <w:bCs/>
          <w:lang w:val="en-US"/>
        </w:rPr>
        <w:t>11.41</w:t>
      </w:r>
      <w:r w:rsidR="00F16669">
        <w:rPr>
          <w:lang w:val="en-US"/>
        </w:rPr>
        <w:t xml:space="preserve"> </w:t>
      </w:r>
      <w:r w:rsidR="00C91800">
        <w:rPr>
          <w:lang w:val="en-US"/>
        </w:rPr>
        <w:t xml:space="preserve">in the Master Register. </w:t>
      </w:r>
      <w:r w:rsidR="007D1BDC">
        <w:rPr>
          <w:lang w:val="en-US"/>
        </w:rPr>
        <w:t>The update information will be published in BR IFC2740/</w:t>
      </w:r>
      <w:r w:rsidR="00D5707F">
        <w:rPr>
          <w:lang w:val="en-US"/>
        </w:rPr>
        <w:t>19</w:t>
      </w:r>
      <w:r w:rsidR="007D1BDC">
        <w:rPr>
          <w:lang w:val="en-US"/>
        </w:rPr>
        <w:t xml:space="preserve">.03.2013. </w:t>
      </w:r>
    </w:p>
    <w:p w:rsidR="003D2169" w:rsidRPr="00731FBE" w:rsidRDefault="00FC2151" w:rsidP="00C23C30">
      <w:pPr>
        <w:spacing w:before="0" w:after="240"/>
        <w:rPr>
          <w:b/>
          <w:bCs/>
        </w:rPr>
      </w:pPr>
      <w:r>
        <w:rPr>
          <w:b/>
          <w:bCs/>
        </w:rPr>
        <w:t>5</w:t>
      </w:r>
      <w:r w:rsidR="006946CF">
        <w:rPr>
          <w:b/>
          <w:bCs/>
        </w:rPr>
        <w:tab/>
      </w:r>
      <w:r w:rsidR="003D2169" w:rsidRPr="00731FBE">
        <w:rPr>
          <w:b/>
          <w:bCs/>
        </w:rPr>
        <w:t>Annex 2 t</w:t>
      </w:r>
      <w:r w:rsidR="006946CF">
        <w:rPr>
          <w:b/>
          <w:bCs/>
        </w:rPr>
        <w:t>o Resolution 552 (WRC-12)</w:t>
      </w:r>
      <w:r w:rsidR="00140BAB">
        <w:rPr>
          <w:b/>
          <w:bCs/>
        </w:rPr>
        <w:t>:</w:t>
      </w:r>
      <w:r w:rsidR="003D2169" w:rsidRPr="00731FBE">
        <w:rPr>
          <w:b/>
          <w:bCs/>
        </w:rPr>
        <w:t xml:space="preserve"> Identity of the spacecraft</w:t>
      </w:r>
    </w:p>
    <w:p w:rsidR="003D2169" w:rsidRPr="00731FBE" w:rsidRDefault="003D2169" w:rsidP="004F693B">
      <w:pPr>
        <w:spacing w:before="0" w:after="240"/>
        <w:rPr>
          <w:i/>
          <w:iCs/>
          <w:lang w:val="en-US"/>
        </w:rPr>
      </w:pPr>
      <w:r w:rsidRPr="00731FBE">
        <w:t xml:space="preserve">WRC-12 adopted Resolution </w:t>
      </w:r>
      <w:r w:rsidRPr="00B64F97">
        <w:rPr>
          <w:b/>
          <w:bCs/>
        </w:rPr>
        <w:t>552</w:t>
      </w:r>
      <w:r w:rsidRPr="00731FBE">
        <w:t xml:space="preserve"> </w:t>
      </w:r>
      <w:r w:rsidR="004F693B">
        <w:rPr>
          <w:b/>
          <w:bCs/>
        </w:rPr>
        <w:t xml:space="preserve">(WRC-12) </w:t>
      </w:r>
      <w:r w:rsidRPr="00731FBE">
        <w:t xml:space="preserve">on “Long-term access to and development in the band 21.4-22 GHz in Regions 1 and 3”, which requests </w:t>
      </w:r>
      <w:r w:rsidR="00140BAB">
        <w:t>the provision of</w:t>
      </w:r>
      <w:r w:rsidR="00140BAB" w:rsidRPr="00731FBE">
        <w:t xml:space="preserve"> </w:t>
      </w:r>
      <w:r w:rsidR="004F693B">
        <w:t>certain</w:t>
      </w:r>
      <w:r w:rsidR="004F693B" w:rsidRPr="00731FBE">
        <w:t xml:space="preserve"> </w:t>
      </w:r>
      <w:r w:rsidRPr="00731FBE">
        <w:t xml:space="preserve">specific information for geostationary-satellite networks in the BSS in the 21.4-22 GHz band. </w:t>
      </w:r>
      <w:r w:rsidR="00140BAB">
        <w:t>T</w:t>
      </w:r>
      <w:r w:rsidRPr="00731FBE">
        <w:t xml:space="preserve">he information required for the identity of the spacecraft </w:t>
      </w:r>
      <w:r w:rsidR="00140BAB">
        <w:t>includes</w:t>
      </w:r>
      <w:r w:rsidR="00140BAB" w:rsidRPr="00731FBE">
        <w:t xml:space="preserve"> </w:t>
      </w:r>
      <w:r w:rsidRPr="00731FBE">
        <w:t xml:space="preserve">an ITU ID number (item 2a of Annex 2 to Resolution </w:t>
      </w:r>
      <w:r w:rsidRPr="00B64F97">
        <w:rPr>
          <w:b/>
          <w:bCs/>
        </w:rPr>
        <w:t>552</w:t>
      </w:r>
      <w:r w:rsidRPr="00731FBE">
        <w:t>). For this purpose, the Bureau will use the numbering scheme described in the annex to this letter.</w:t>
      </w:r>
    </w:p>
    <w:p w:rsidR="00AC2E6E" w:rsidRDefault="003D2169" w:rsidP="00213DBC">
      <w:pPr>
        <w:tabs>
          <w:tab w:val="left" w:pos="0"/>
        </w:tabs>
        <w:spacing w:before="0" w:after="240"/>
        <w:rPr>
          <w:lang w:val="en-US"/>
        </w:rPr>
      </w:pPr>
      <w:r w:rsidRPr="006478AC">
        <w:rPr>
          <w:b/>
          <w:bCs/>
          <w:lang w:val="en-US"/>
        </w:rPr>
        <w:t>6</w:t>
      </w:r>
      <w:bookmarkStart w:id="3" w:name="_GoBack"/>
      <w:bookmarkEnd w:id="3"/>
      <w:r w:rsidR="00AC2E6E">
        <w:rPr>
          <w:lang w:val="en-US"/>
        </w:rPr>
        <w:tab/>
        <w:t xml:space="preserve">The Bureau remains at the disposal of your administration for any clarification you may require with respect to the subjects covered in this </w:t>
      </w:r>
      <w:r w:rsidR="00140BAB">
        <w:rPr>
          <w:lang w:val="en-US"/>
        </w:rPr>
        <w:t>c</w:t>
      </w:r>
      <w:r w:rsidR="00AC2E6E">
        <w:rPr>
          <w:lang w:val="en-US"/>
        </w:rPr>
        <w:t xml:space="preserve">ircular </w:t>
      </w:r>
      <w:r w:rsidR="00140BAB">
        <w:rPr>
          <w:lang w:val="en-US"/>
        </w:rPr>
        <w:t>l</w:t>
      </w:r>
      <w:r w:rsidR="00AC2E6E">
        <w:rPr>
          <w:lang w:val="en-US"/>
        </w:rPr>
        <w:t>etter.</w:t>
      </w:r>
    </w:p>
    <w:p w:rsidR="005274C9" w:rsidRPr="002D0EBE" w:rsidRDefault="005274C9" w:rsidP="00886D7E">
      <w:pPr>
        <w:pStyle w:val="Index1"/>
        <w:tabs>
          <w:tab w:val="center" w:pos="7088"/>
        </w:tabs>
        <w:spacing w:before="360"/>
      </w:pPr>
      <w:r w:rsidRPr="002D0EBE">
        <w:tab/>
      </w:r>
      <w:r w:rsidRPr="002D0EBE">
        <w:tab/>
      </w:r>
      <w:r w:rsidRPr="002D0EBE">
        <w:tab/>
      </w:r>
      <w:r w:rsidRPr="002D0EBE">
        <w:tab/>
      </w:r>
      <w:r w:rsidRPr="002D0EBE">
        <w:tab/>
        <w:t>Yours faithfully,</w:t>
      </w:r>
    </w:p>
    <w:p w:rsidR="00284F89" w:rsidRPr="0018463E" w:rsidRDefault="00284F89" w:rsidP="00284F8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  <w:rPr>
          <w:lang w:val="fr-CH"/>
        </w:rPr>
      </w:pPr>
      <w:r w:rsidRPr="002D0EBE">
        <w:tab/>
      </w:r>
      <w:r w:rsidRPr="0018463E">
        <w:rPr>
          <w:lang w:val="fr-CH"/>
        </w:rPr>
        <w:t xml:space="preserve">François </w:t>
      </w:r>
      <w:proofErr w:type="spellStart"/>
      <w:r w:rsidRPr="0018463E">
        <w:rPr>
          <w:lang w:val="fr-CH"/>
        </w:rPr>
        <w:t>Rancy</w:t>
      </w:r>
      <w:proofErr w:type="spellEnd"/>
      <w:r w:rsidRPr="0018463E">
        <w:rPr>
          <w:lang w:val="fr-CH"/>
        </w:rPr>
        <w:br/>
      </w:r>
      <w:r w:rsidRPr="0018463E">
        <w:rPr>
          <w:lang w:val="fr-CH"/>
        </w:rPr>
        <w:tab/>
      </w:r>
      <w:proofErr w:type="spellStart"/>
      <w:r w:rsidRPr="0018463E">
        <w:rPr>
          <w:lang w:val="fr-CH"/>
        </w:rPr>
        <w:t>Director</w:t>
      </w:r>
      <w:proofErr w:type="spellEnd"/>
      <w:r w:rsidRPr="0018463E">
        <w:rPr>
          <w:lang w:val="fr-CH"/>
        </w:rPr>
        <w:t>, Radiocommunication Bureau</w:t>
      </w:r>
    </w:p>
    <w:p w:rsidR="005274C9" w:rsidRPr="0018463E" w:rsidRDefault="005274C9" w:rsidP="008A1D5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fr-CH"/>
        </w:rPr>
      </w:pPr>
      <w:r w:rsidRPr="0018463E">
        <w:rPr>
          <w:bCs/>
          <w:sz w:val="18"/>
          <w:szCs w:val="18"/>
          <w:lang w:val="fr-CH"/>
        </w:rPr>
        <w:t>Distribution:</w:t>
      </w:r>
    </w:p>
    <w:p w:rsidR="005274C9" w:rsidRPr="00237B99" w:rsidRDefault="005274C9" w:rsidP="005274C9">
      <w:pPr>
        <w:pStyle w:val="enumlev1"/>
        <w:numPr>
          <w:ilvl w:val="0"/>
          <w:numId w:val="4"/>
        </w:numPr>
        <w:tabs>
          <w:tab w:val="clear" w:pos="794"/>
          <w:tab w:val="left" w:pos="284"/>
        </w:tabs>
        <w:rPr>
          <w:sz w:val="18"/>
          <w:szCs w:val="18"/>
        </w:rPr>
      </w:pPr>
      <w:r w:rsidRPr="00237B99">
        <w:rPr>
          <w:sz w:val="18"/>
          <w:szCs w:val="18"/>
        </w:rPr>
        <w:t>Administrations of Member States of ITU</w:t>
      </w:r>
    </w:p>
    <w:p w:rsidR="00571848" w:rsidRDefault="005274C9" w:rsidP="005274C9">
      <w:pPr>
        <w:pStyle w:val="enumlev1"/>
        <w:numPr>
          <w:ilvl w:val="0"/>
          <w:numId w:val="5"/>
        </w:num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237B99">
        <w:rPr>
          <w:sz w:val="18"/>
          <w:szCs w:val="18"/>
        </w:rPr>
        <w:t>Members of the Radio Regulations Board</w:t>
      </w:r>
    </w:p>
    <w:p w:rsidR="00DB5DE9" w:rsidRDefault="00DB5DE9" w:rsidP="00DB5DE9">
      <w:pPr>
        <w:jc w:val="center"/>
      </w:pPr>
      <w:r>
        <w:rPr>
          <w:sz w:val="18"/>
          <w:szCs w:val="18"/>
        </w:rPr>
        <w:br w:type="page"/>
      </w:r>
      <w:r>
        <w:t>ANNEX</w:t>
      </w:r>
    </w:p>
    <w:p w:rsidR="00DB5DE9" w:rsidRDefault="00DB5DE9" w:rsidP="00DB5DE9">
      <w:pPr>
        <w:jc w:val="center"/>
      </w:pPr>
    </w:p>
    <w:p w:rsidR="00DB5DE9" w:rsidRPr="00E21B38" w:rsidRDefault="00DB5DE9" w:rsidP="00DB5DE9">
      <w:pPr>
        <w:jc w:val="center"/>
        <w:rPr>
          <w:b/>
          <w:bCs/>
        </w:rPr>
      </w:pPr>
      <w:r>
        <w:rPr>
          <w:b/>
          <w:bCs/>
        </w:rPr>
        <w:t>N</w:t>
      </w:r>
      <w:r w:rsidRPr="00E21B38">
        <w:rPr>
          <w:b/>
          <w:bCs/>
        </w:rPr>
        <w:t xml:space="preserve">umbering scheme for the </w:t>
      </w:r>
      <w:r w:rsidR="004F693B">
        <w:rPr>
          <w:b/>
          <w:bCs/>
        </w:rPr>
        <w:t>s</w:t>
      </w:r>
      <w:r>
        <w:rPr>
          <w:b/>
          <w:bCs/>
        </w:rPr>
        <w:t xml:space="preserve">pacecraft </w:t>
      </w:r>
      <w:r w:rsidRPr="00E21B38">
        <w:rPr>
          <w:b/>
          <w:bCs/>
        </w:rPr>
        <w:t>ITU ID number</w:t>
      </w:r>
    </w:p>
    <w:p w:rsidR="00DB5DE9" w:rsidRPr="00E21B38" w:rsidRDefault="00DB5DE9" w:rsidP="00DB5DE9">
      <w:pPr>
        <w:jc w:val="center"/>
        <w:rPr>
          <w:b/>
          <w:bCs/>
        </w:rPr>
      </w:pPr>
      <w:r w:rsidRPr="00E21B38">
        <w:rPr>
          <w:b/>
          <w:bCs/>
        </w:rPr>
        <w:t>(Item 2a of Annex 2 to Resolution 552 (WRC-12))</w:t>
      </w:r>
    </w:p>
    <w:p w:rsidR="00DB5DE9" w:rsidRDefault="00DB5DE9" w:rsidP="00DB5DE9"/>
    <w:p w:rsidR="00DB5DE9" w:rsidRDefault="00DB5DE9">
      <w:pPr>
        <w:spacing w:before="0" w:after="240"/>
      </w:pPr>
      <w:r>
        <w:t xml:space="preserve">In accordance with Annex 2 to Resolution </w:t>
      </w:r>
      <w:r w:rsidRPr="00B64F97">
        <w:rPr>
          <w:b/>
          <w:bCs/>
        </w:rPr>
        <w:t>552 (WRC-12)</w:t>
      </w:r>
      <w:r>
        <w:t xml:space="preserve">, an ITU ID number is required as part of the </w:t>
      </w:r>
      <w:r w:rsidR="004F693B">
        <w:t>i</w:t>
      </w:r>
      <w:r>
        <w:t xml:space="preserve">dentity of the spacecraft, </w:t>
      </w:r>
      <w:r w:rsidR="00140BAB">
        <w:t xml:space="preserve">which </w:t>
      </w:r>
      <w:r>
        <w:t xml:space="preserve">should be based on the ITU filing number as stated in footnote 2 to </w:t>
      </w:r>
      <w:r w:rsidR="004F693B">
        <w:t xml:space="preserve">said </w:t>
      </w:r>
      <w:r>
        <w:t>Annex 2.</w:t>
      </w:r>
    </w:p>
    <w:p w:rsidR="00DB5DE9" w:rsidRDefault="00DB5DE9" w:rsidP="00DB5DE9">
      <w:pPr>
        <w:spacing w:before="0" w:after="240"/>
      </w:pPr>
      <w:r>
        <w:t>The ITU filing number (or SNS notice Identification Number) for notices submitted under Res</w:t>
      </w:r>
      <w:r w:rsidR="00140BAB">
        <w:t>olution</w:t>
      </w:r>
      <w:r>
        <w:t xml:space="preserve"> </w:t>
      </w:r>
      <w:r w:rsidRPr="00B64F97">
        <w:rPr>
          <w:b/>
          <w:bCs/>
        </w:rPr>
        <w:t>552 (WRC-12)</w:t>
      </w:r>
      <w:r>
        <w:t xml:space="preserve"> will have the middle set of numbers “593” (for example 113</w:t>
      </w:r>
      <w:r>
        <w:rPr>
          <w:u w:val="single"/>
        </w:rPr>
        <w:t>593</w:t>
      </w:r>
      <w:r>
        <w:t>001) as unique identifier of this new filing series.</w:t>
      </w:r>
    </w:p>
    <w:p w:rsidR="00DB5DE9" w:rsidRDefault="00DB5DE9" w:rsidP="00BC13AD">
      <w:pPr>
        <w:spacing w:before="0" w:after="240"/>
        <w:rPr>
          <w:szCs w:val="24"/>
        </w:rPr>
      </w:pPr>
      <w:r>
        <w:rPr>
          <w:szCs w:val="24"/>
        </w:rPr>
        <w:t xml:space="preserve">The ITU ID number for the spacecraft will therefore be based on the ITU filing number that </w:t>
      </w:r>
      <w:r w:rsidR="00BC13AD">
        <w:rPr>
          <w:szCs w:val="24"/>
        </w:rPr>
        <w:t xml:space="preserve">was </w:t>
      </w:r>
      <w:r>
        <w:rPr>
          <w:szCs w:val="24"/>
        </w:rPr>
        <w:t xml:space="preserve">allocated to the first submission of Resolution </w:t>
      </w:r>
      <w:r w:rsidRPr="00B64F97">
        <w:rPr>
          <w:b/>
          <w:bCs/>
          <w:szCs w:val="24"/>
        </w:rPr>
        <w:t>552</w:t>
      </w:r>
      <w:r>
        <w:rPr>
          <w:szCs w:val="24"/>
        </w:rPr>
        <w:t xml:space="preserve"> information for that filing, except that the middle set of numbers indicating the filing type of </w:t>
      </w:r>
      <w:r w:rsidR="004F693B">
        <w:rPr>
          <w:szCs w:val="24"/>
        </w:rPr>
        <w:t xml:space="preserve">the </w:t>
      </w:r>
      <w:r>
        <w:rPr>
          <w:szCs w:val="24"/>
        </w:rPr>
        <w:t>“593” series will be changed to “</w:t>
      </w:r>
      <w:r>
        <w:rPr>
          <w:szCs w:val="24"/>
          <w:u w:val="single"/>
        </w:rPr>
        <w:t>6</w:t>
      </w:r>
      <w:r>
        <w:rPr>
          <w:szCs w:val="24"/>
        </w:rPr>
        <w:t>93”, and the first digit will be the increment counter for the spacecraft subsequently used for the filing, if any.</w:t>
      </w:r>
    </w:p>
    <w:p w:rsidR="00DB5DE9" w:rsidRDefault="00DB5DE9">
      <w:pPr>
        <w:spacing w:before="0" w:after="240"/>
      </w:pPr>
      <w:r>
        <w:t>For example, for a new submission of Resolution</w:t>
      </w:r>
      <w:r w:rsidR="004F693B">
        <w:t> </w:t>
      </w:r>
      <w:r w:rsidRPr="00B64F97">
        <w:rPr>
          <w:b/>
          <w:bCs/>
        </w:rPr>
        <w:t>552</w:t>
      </w:r>
      <w:r>
        <w:t xml:space="preserve"> information received in 2013, the ITU filing number for the Resolution </w:t>
      </w:r>
      <w:r w:rsidRPr="00B64F97">
        <w:rPr>
          <w:b/>
          <w:bCs/>
        </w:rPr>
        <w:t>552</w:t>
      </w:r>
      <w:r>
        <w:t xml:space="preserve"> publication will be 113593001 (-13------ for 2013</w:t>
      </w:r>
      <w:r w:rsidR="004F693B">
        <w:t>;</w:t>
      </w:r>
      <w:r>
        <w:t xml:space="preserve"> and ---593--- for a </w:t>
      </w:r>
      <w:r w:rsidR="00BC13AD">
        <w:t>R</w:t>
      </w:r>
      <w:r>
        <w:t xml:space="preserve">esolution </w:t>
      </w:r>
      <w:r w:rsidRPr="00B64F97">
        <w:rPr>
          <w:b/>
          <w:bCs/>
        </w:rPr>
        <w:t>552</w:t>
      </w:r>
      <w:r>
        <w:t xml:space="preserve"> submission), and the ITU ID number for the first spacecraft will be 113693001 (1-------- for the first spacecraft</w:t>
      </w:r>
      <w:r w:rsidR="004F693B">
        <w:t>;</w:t>
      </w:r>
      <w:r>
        <w:t xml:space="preserve"> and ---693--- for the ITU ID number series). </w:t>
      </w:r>
    </w:p>
    <w:p w:rsidR="00DB5DE9" w:rsidRDefault="00DB5DE9" w:rsidP="004F693B">
      <w:pPr>
        <w:spacing w:before="0" w:after="240"/>
      </w:pPr>
      <w:r>
        <w:t>Should this spacecraft be shifted to another location supporting a different satellite filing and having a different ITU filing number, the ITU ID number for the spacecraft will remain the same (</w:t>
      </w:r>
      <w:r w:rsidRPr="00876520">
        <w:rPr>
          <w:u w:val="single"/>
        </w:rPr>
        <w:t>1</w:t>
      </w:r>
      <w:r>
        <w:t>13</w:t>
      </w:r>
      <w:r w:rsidRPr="00876520">
        <w:rPr>
          <w:u w:val="single"/>
        </w:rPr>
        <w:t>693</w:t>
      </w:r>
      <w:r>
        <w:t>001), without need for the administration to provide information on launch, satellite manufacturer or on-board frequency for the spacecraft</w:t>
      </w:r>
      <w:r w:rsidR="004F693B">
        <w:t>,</w:t>
      </w:r>
      <w:r>
        <w:t xml:space="preserve"> </w:t>
      </w:r>
      <w:r w:rsidR="004F693B">
        <w:t xml:space="preserve">since </w:t>
      </w:r>
      <w:r>
        <w:t xml:space="preserve">they </w:t>
      </w:r>
      <w:r w:rsidR="00BC13AD">
        <w:t xml:space="preserve">will </w:t>
      </w:r>
      <w:r>
        <w:t xml:space="preserve">already </w:t>
      </w:r>
      <w:r w:rsidR="00BC13AD">
        <w:t xml:space="preserve">have </w:t>
      </w:r>
      <w:r>
        <w:t>been submitted earlier.</w:t>
      </w:r>
    </w:p>
    <w:p w:rsidR="00DB5DE9" w:rsidRDefault="00DB5DE9" w:rsidP="00BC13AD">
      <w:pPr>
        <w:spacing w:before="0" w:after="240"/>
        <w:rPr>
          <w:color w:val="1F497D"/>
        </w:rPr>
      </w:pPr>
      <w:proofErr w:type="gramStart"/>
      <w:r>
        <w:t xml:space="preserve">If this spacecraft is no </w:t>
      </w:r>
      <w:r w:rsidR="00BC13AD">
        <w:t xml:space="preserve">longer </w:t>
      </w:r>
      <w:r>
        <w:t>used (end of life, deorbited</w:t>
      </w:r>
      <w:r w:rsidR="00731FBE">
        <w:t>, etc.)</w:t>
      </w:r>
      <w:r>
        <w:t xml:space="preserve">, the ITU ID 113593001 will </w:t>
      </w:r>
      <w:r w:rsidR="00BC13AD">
        <w:t>cease to</w:t>
      </w:r>
      <w:r>
        <w:t xml:space="preserve"> be used.</w:t>
      </w:r>
      <w:proofErr w:type="gramEnd"/>
    </w:p>
    <w:p w:rsidR="00DB5DE9" w:rsidRDefault="00DB5DE9" w:rsidP="00BC13AD">
      <w:pPr>
        <w:spacing w:before="0" w:after="240"/>
      </w:pPr>
      <w:r>
        <w:t xml:space="preserve">The second spacecraft placed in orbit for the same filing (ITU </w:t>
      </w:r>
      <w:r w:rsidR="00BC13AD">
        <w:t xml:space="preserve">filing </w:t>
      </w:r>
      <w:r>
        <w:t>number</w:t>
      </w:r>
      <w:r w:rsidR="00731FBE">
        <w:t xml:space="preserve"> </w:t>
      </w:r>
      <w:r>
        <w:t>113593001</w:t>
      </w:r>
      <w:r w:rsidR="00BC13AD">
        <w:t>)</w:t>
      </w:r>
      <w:r>
        <w:t xml:space="preserve"> will be allocated the ITU ID number: </w:t>
      </w:r>
      <w:r w:rsidRPr="000C447B">
        <w:rPr>
          <w:u w:val="single"/>
        </w:rPr>
        <w:t>2</w:t>
      </w:r>
      <w:r>
        <w:t xml:space="preserve">13693001. </w:t>
      </w:r>
    </w:p>
    <w:p w:rsidR="00DB5DE9" w:rsidRPr="00172633" w:rsidRDefault="00DB5DE9" w:rsidP="00DB5DE9">
      <w:pPr>
        <w:pStyle w:val="enumlev1"/>
        <w:tabs>
          <w:tab w:val="clear" w:pos="794"/>
          <w:tab w:val="left" w:pos="284"/>
        </w:tabs>
        <w:spacing w:before="0"/>
        <w:ind w:left="720" w:firstLine="0"/>
        <w:rPr>
          <w:sz w:val="18"/>
          <w:szCs w:val="18"/>
        </w:rPr>
      </w:pPr>
    </w:p>
    <w:p w:rsidR="00336989" w:rsidRDefault="00336989" w:rsidP="00336989">
      <w:pPr>
        <w:pStyle w:val="enumlev1"/>
        <w:tabs>
          <w:tab w:val="clear" w:pos="794"/>
          <w:tab w:val="left" w:pos="284"/>
        </w:tabs>
        <w:spacing w:before="0"/>
        <w:ind w:left="720" w:firstLine="0"/>
        <w:rPr>
          <w:sz w:val="18"/>
          <w:szCs w:val="18"/>
        </w:rPr>
      </w:pPr>
    </w:p>
    <w:p w:rsidR="00731FBE" w:rsidRDefault="00731FBE" w:rsidP="00336989">
      <w:pPr>
        <w:pStyle w:val="enumlev1"/>
        <w:tabs>
          <w:tab w:val="clear" w:pos="794"/>
          <w:tab w:val="left" w:pos="284"/>
        </w:tabs>
        <w:spacing w:before="0"/>
        <w:ind w:left="720" w:firstLine="0"/>
        <w:rPr>
          <w:sz w:val="18"/>
          <w:szCs w:val="18"/>
        </w:rPr>
      </w:pPr>
    </w:p>
    <w:p w:rsidR="00731FBE" w:rsidRPr="00172633" w:rsidRDefault="00731FBE" w:rsidP="00731FBE">
      <w:pPr>
        <w:pStyle w:val="enumlev1"/>
        <w:tabs>
          <w:tab w:val="clear" w:pos="794"/>
          <w:tab w:val="left" w:pos="284"/>
        </w:tabs>
        <w:spacing w:before="0"/>
        <w:ind w:left="720" w:firstLine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sectPr w:rsidR="00731FBE" w:rsidRPr="00172633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C3" w:rsidRDefault="00D430C3">
      <w:r>
        <w:separator/>
      </w:r>
    </w:p>
    <w:p w:rsidR="00D430C3" w:rsidRDefault="00D430C3"/>
  </w:endnote>
  <w:endnote w:type="continuationSeparator" w:id="0">
    <w:p w:rsidR="00D430C3" w:rsidRDefault="00D430C3">
      <w:r>
        <w:continuationSeparator/>
      </w:r>
    </w:p>
    <w:p w:rsidR="00D430C3" w:rsidRDefault="00D43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378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378FA" w:rsidRDefault="00C378F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378FA" w:rsidRDefault="00C378F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378FA" w:rsidRDefault="00C378F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378FA" w:rsidRDefault="00C378F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378FA">
      <w:trPr>
        <w:cantSplit/>
      </w:trPr>
      <w:tc>
        <w:tcPr>
          <w:tcW w:w="1062" w:type="pct"/>
        </w:tcPr>
        <w:p w:rsidR="00C378FA" w:rsidRDefault="00C378FA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C378FA" w:rsidRDefault="00C378F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378FA" w:rsidRDefault="00C378F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378FA" w:rsidRDefault="00C378F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378FA">
      <w:trPr>
        <w:cantSplit/>
      </w:trPr>
      <w:tc>
        <w:tcPr>
          <w:tcW w:w="1062" w:type="pct"/>
        </w:tcPr>
        <w:p w:rsidR="00C378FA" w:rsidRDefault="00C378F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378FA" w:rsidRDefault="00C378F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378FA" w:rsidRDefault="00C378FA">
          <w:pPr>
            <w:pStyle w:val="itu"/>
          </w:pPr>
        </w:p>
      </w:tc>
      <w:tc>
        <w:tcPr>
          <w:tcW w:w="1131" w:type="pct"/>
        </w:tcPr>
        <w:p w:rsidR="00C378FA" w:rsidRDefault="00C378FA">
          <w:pPr>
            <w:pStyle w:val="itu"/>
          </w:pPr>
        </w:p>
      </w:tc>
    </w:tr>
  </w:tbl>
  <w:p w:rsidR="00382653" w:rsidRPr="00697F74" w:rsidRDefault="00382653" w:rsidP="007E65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C3" w:rsidRDefault="00D430C3">
      <w:r>
        <w:t>____________________</w:t>
      </w:r>
    </w:p>
    <w:p w:rsidR="00D430C3" w:rsidRDefault="00D430C3"/>
  </w:footnote>
  <w:footnote w:type="continuationSeparator" w:id="0">
    <w:p w:rsidR="00D430C3" w:rsidRDefault="00D430C3">
      <w:r>
        <w:continuationSeparator/>
      </w:r>
    </w:p>
    <w:p w:rsidR="00D430C3" w:rsidRDefault="00D430C3"/>
  </w:footnote>
  <w:footnote w:id="1">
    <w:p w:rsidR="00DB5DE9" w:rsidRPr="00B64F97" w:rsidRDefault="00DB5DE9" w:rsidP="003F2256">
      <w:pPr>
        <w:pStyle w:val="ListParagraph"/>
        <w:tabs>
          <w:tab w:val="left" w:pos="0"/>
        </w:tabs>
        <w:ind w:left="0"/>
      </w:pPr>
      <w:r>
        <w:rPr>
          <w:rStyle w:val="FootnoteReference"/>
        </w:rPr>
        <w:footnoteRef/>
      </w:r>
      <w:r>
        <w:t xml:space="preserve"> </w:t>
      </w:r>
      <w:r w:rsidR="00FC5CBE">
        <w:t xml:space="preserve"> </w:t>
      </w:r>
      <w:r w:rsidRPr="00FC5CBE">
        <w:rPr>
          <w:rFonts w:asciiTheme="majorBidi" w:hAnsiTheme="majorBidi" w:cstheme="majorBidi"/>
        </w:rPr>
        <w:t>The regulatory time</w:t>
      </w:r>
      <w:r w:rsidR="00441DC9">
        <w:rPr>
          <w:rFonts w:asciiTheme="majorBidi" w:hAnsiTheme="majorBidi" w:cstheme="majorBidi"/>
        </w:rPr>
        <w:t>-</w:t>
      </w:r>
      <w:r w:rsidRPr="00FC5CBE">
        <w:rPr>
          <w:rFonts w:asciiTheme="majorBidi" w:hAnsiTheme="majorBidi" w:cstheme="majorBidi"/>
        </w:rPr>
        <w:t xml:space="preserve">limit </w:t>
      </w:r>
      <w:r w:rsidR="00441DC9">
        <w:rPr>
          <w:rFonts w:asciiTheme="majorBidi" w:hAnsiTheme="majorBidi" w:cstheme="majorBidi"/>
        </w:rPr>
        <w:t>stipulated</w:t>
      </w:r>
      <w:r w:rsidR="00441DC9" w:rsidRPr="00FC5CBE">
        <w:rPr>
          <w:rFonts w:asciiTheme="majorBidi" w:hAnsiTheme="majorBidi" w:cstheme="majorBidi"/>
        </w:rPr>
        <w:t xml:space="preserve"> </w:t>
      </w:r>
      <w:r w:rsidRPr="00FC5CBE">
        <w:rPr>
          <w:rFonts w:asciiTheme="majorBidi" w:hAnsiTheme="majorBidi" w:cstheme="majorBidi"/>
        </w:rPr>
        <w:t xml:space="preserve">under No. </w:t>
      </w:r>
      <w:r w:rsidRPr="00B64F97">
        <w:rPr>
          <w:rFonts w:asciiTheme="majorBidi" w:hAnsiTheme="majorBidi" w:cstheme="majorBidi"/>
          <w:b/>
          <w:bCs/>
        </w:rPr>
        <w:t>11.44</w:t>
      </w:r>
      <w:r w:rsidRPr="00FC5CBE">
        <w:rPr>
          <w:rFonts w:asciiTheme="majorBidi" w:hAnsiTheme="majorBidi" w:cstheme="majorBidi"/>
        </w:rPr>
        <w:t xml:space="preserve"> is seven</w:t>
      </w:r>
      <w:r w:rsidR="00BF5BA0">
        <w:rPr>
          <w:rFonts w:asciiTheme="majorBidi" w:hAnsiTheme="majorBidi" w:cstheme="majorBidi"/>
        </w:rPr>
        <w:t xml:space="preserve"> </w:t>
      </w:r>
      <w:r w:rsidR="00F358D4">
        <w:rPr>
          <w:rFonts w:asciiTheme="majorBidi" w:hAnsiTheme="majorBidi" w:cstheme="majorBidi"/>
        </w:rPr>
        <w:t xml:space="preserve">(7) </w:t>
      </w:r>
      <w:r w:rsidRPr="00FC5CBE">
        <w:rPr>
          <w:rFonts w:asciiTheme="majorBidi" w:hAnsiTheme="majorBidi" w:cstheme="majorBidi"/>
        </w:rPr>
        <w:t>year</w:t>
      </w:r>
      <w:r w:rsidR="00BF5BA0">
        <w:rPr>
          <w:rFonts w:asciiTheme="majorBidi" w:hAnsiTheme="majorBidi" w:cstheme="majorBidi"/>
        </w:rPr>
        <w:t>s</w:t>
      </w:r>
      <w:r w:rsidRPr="00FC5CBE">
        <w:rPr>
          <w:rFonts w:asciiTheme="majorBidi" w:hAnsiTheme="majorBidi" w:cstheme="majorBidi"/>
        </w:rPr>
        <w:t xml:space="preserve">.  </w:t>
      </w:r>
      <w:r w:rsidR="00F358D4">
        <w:rPr>
          <w:rFonts w:asciiTheme="majorBidi" w:hAnsiTheme="majorBidi" w:cstheme="majorBidi"/>
        </w:rPr>
        <w:t>§</w:t>
      </w:r>
      <w:r w:rsidRPr="00FC5CBE">
        <w:rPr>
          <w:rFonts w:asciiTheme="majorBidi" w:hAnsiTheme="majorBidi" w:cstheme="majorBidi"/>
        </w:rPr>
        <w:t xml:space="preserve">§4.1.3 and 4.2.6 of Appendices </w:t>
      </w:r>
      <w:r w:rsidRPr="00B64F97">
        <w:rPr>
          <w:rFonts w:asciiTheme="majorBidi" w:hAnsiTheme="majorBidi" w:cstheme="majorBidi"/>
          <w:b/>
          <w:bCs/>
        </w:rPr>
        <w:t>30</w:t>
      </w:r>
      <w:r w:rsidRPr="00FC5CBE">
        <w:rPr>
          <w:rFonts w:asciiTheme="majorBidi" w:hAnsiTheme="majorBidi" w:cstheme="majorBidi"/>
        </w:rPr>
        <w:t xml:space="preserve"> and </w:t>
      </w:r>
      <w:r w:rsidRPr="00B64F97">
        <w:rPr>
          <w:rFonts w:asciiTheme="majorBidi" w:hAnsiTheme="majorBidi" w:cstheme="majorBidi"/>
          <w:b/>
          <w:bCs/>
        </w:rPr>
        <w:t>30A</w:t>
      </w:r>
      <w:r w:rsidRPr="00FC5CBE">
        <w:rPr>
          <w:rFonts w:asciiTheme="majorBidi" w:hAnsiTheme="majorBidi" w:cstheme="majorBidi"/>
        </w:rPr>
        <w:t xml:space="preserve"> </w:t>
      </w:r>
      <w:r w:rsidR="00441DC9">
        <w:rPr>
          <w:rFonts w:asciiTheme="majorBidi" w:hAnsiTheme="majorBidi" w:cstheme="majorBidi"/>
        </w:rPr>
        <w:t>set a</w:t>
      </w:r>
      <w:r w:rsidRPr="00FC5CBE">
        <w:rPr>
          <w:rFonts w:asciiTheme="majorBidi" w:hAnsiTheme="majorBidi" w:cstheme="majorBidi"/>
        </w:rPr>
        <w:t xml:space="preserve"> </w:t>
      </w:r>
      <w:r w:rsidR="00441DC9">
        <w:rPr>
          <w:rFonts w:ascii="Times New Roman" w:hAnsi="Times New Roman" w:cs="Times New Roman"/>
        </w:rPr>
        <w:t>regulatory time-</w:t>
      </w:r>
      <w:r w:rsidR="00441DC9" w:rsidRPr="00441DC9">
        <w:rPr>
          <w:rFonts w:ascii="Times New Roman" w:hAnsi="Times New Roman" w:cs="Times New Roman"/>
        </w:rPr>
        <w:t>limit</w:t>
      </w:r>
      <w:r w:rsidR="00441DC9">
        <w:rPr>
          <w:rFonts w:ascii="Times New Roman" w:hAnsi="Times New Roman" w:cs="Times New Roman"/>
        </w:rPr>
        <w:t xml:space="preserve"> of</w:t>
      </w:r>
      <w:r w:rsidR="00441DC9" w:rsidRPr="00441DC9">
        <w:rPr>
          <w:rFonts w:ascii="Times New Roman" w:hAnsi="Times New Roman" w:cs="Times New Roman"/>
        </w:rPr>
        <w:t xml:space="preserve"> </w:t>
      </w:r>
      <w:r w:rsidR="00441DC9">
        <w:rPr>
          <w:rFonts w:ascii="Times New Roman" w:hAnsi="Times New Roman" w:cs="Times New Roman"/>
        </w:rPr>
        <w:t>eight (</w:t>
      </w:r>
      <w:r w:rsidRPr="00FC5CBE">
        <w:rPr>
          <w:rFonts w:asciiTheme="majorBidi" w:hAnsiTheme="majorBidi" w:cstheme="majorBidi"/>
        </w:rPr>
        <w:t>8</w:t>
      </w:r>
      <w:r w:rsidR="00441DC9">
        <w:rPr>
          <w:rFonts w:asciiTheme="majorBidi" w:hAnsiTheme="majorBidi" w:cstheme="majorBidi"/>
        </w:rPr>
        <w:t>)</w:t>
      </w:r>
      <w:r w:rsidRPr="00FC5CBE">
        <w:rPr>
          <w:rFonts w:asciiTheme="majorBidi" w:hAnsiTheme="majorBidi" w:cstheme="majorBidi"/>
        </w:rPr>
        <w:t xml:space="preserve"> year</w:t>
      </w:r>
      <w:r w:rsidR="00BF5BA0">
        <w:rPr>
          <w:rFonts w:asciiTheme="majorBidi" w:hAnsiTheme="majorBidi" w:cstheme="majorBidi"/>
        </w:rPr>
        <w:t>s</w:t>
      </w:r>
      <w:r w:rsidRPr="00FC5CBE">
        <w:rPr>
          <w:rFonts w:asciiTheme="majorBidi" w:hAnsiTheme="majorBidi" w:cstheme="majorBidi"/>
        </w:rPr>
        <w:t xml:space="preserve">.  §6.1 of Appendix </w:t>
      </w:r>
      <w:r w:rsidRPr="00B64F97">
        <w:rPr>
          <w:rFonts w:asciiTheme="majorBidi" w:hAnsiTheme="majorBidi" w:cstheme="majorBidi"/>
          <w:b/>
          <w:bCs/>
        </w:rPr>
        <w:t>30B</w:t>
      </w:r>
      <w:r w:rsidRPr="00FC5CBE">
        <w:rPr>
          <w:rFonts w:asciiTheme="majorBidi" w:hAnsiTheme="majorBidi" w:cstheme="majorBidi"/>
        </w:rPr>
        <w:t xml:space="preserve"> also </w:t>
      </w:r>
      <w:r w:rsidR="00441DC9">
        <w:rPr>
          <w:rFonts w:asciiTheme="majorBidi" w:hAnsiTheme="majorBidi" w:cstheme="majorBidi"/>
        </w:rPr>
        <w:t>sets an</w:t>
      </w:r>
      <w:r w:rsidRPr="00FC5CBE">
        <w:rPr>
          <w:rFonts w:asciiTheme="majorBidi" w:hAnsiTheme="majorBidi" w:cstheme="majorBidi"/>
        </w:rPr>
        <w:t xml:space="preserve"> </w:t>
      </w:r>
      <w:r w:rsidR="00441DC9">
        <w:rPr>
          <w:rFonts w:asciiTheme="majorBidi" w:hAnsiTheme="majorBidi" w:cstheme="majorBidi"/>
        </w:rPr>
        <w:t>eight-</w:t>
      </w:r>
      <w:r w:rsidRPr="00FC5CBE">
        <w:rPr>
          <w:rFonts w:asciiTheme="majorBidi" w:hAnsiTheme="majorBidi" w:cstheme="majorBidi"/>
        </w:rPr>
        <w:t xml:space="preserve">year </w:t>
      </w:r>
      <w:r w:rsidR="00441DC9">
        <w:rPr>
          <w:rFonts w:asciiTheme="majorBidi" w:hAnsiTheme="majorBidi" w:cstheme="majorBidi"/>
        </w:rPr>
        <w:t>time-limit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FA" w:rsidRDefault="00C378F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215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378FA" w:rsidRPr="001E15AA" w:rsidRDefault="00C378FA" w:rsidP="00382653">
    <w:pPr>
      <w:pStyle w:val="Header"/>
      <w:rPr>
        <w:lang w:val="en-US"/>
      </w:rPr>
    </w:pPr>
    <w:r>
      <w:rPr>
        <w:lang w:val="en-US"/>
      </w:rPr>
      <w:t>CR/</w:t>
    </w:r>
    <w:r w:rsidR="00382653">
      <w:rPr>
        <w:lang w:val="en-US"/>
      </w:rPr>
      <w:t>343</w:t>
    </w:r>
    <w:r>
      <w:rPr>
        <w:lang w:val="en-US"/>
      </w:rPr>
      <w:t>-E</w:t>
    </w:r>
  </w:p>
  <w:p w:rsidR="00C378FA" w:rsidRDefault="00C378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5E"/>
    <w:multiLevelType w:val="hybridMultilevel"/>
    <w:tmpl w:val="D888892C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72CAD"/>
    <w:multiLevelType w:val="multilevel"/>
    <w:tmpl w:val="68A4B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B801F4"/>
    <w:multiLevelType w:val="hybridMultilevel"/>
    <w:tmpl w:val="43C2E610"/>
    <w:lvl w:ilvl="0" w:tplc="8848C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8524E"/>
    <w:multiLevelType w:val="hybridMultilevel"/>
    <w:tmpl w:val="83024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13464"/>
    <w:multiLevelType w:val="hybridMultilevel"/>
    <w:tmpl w:val="13A6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7710C"/>
    <w:multiLevelType w:val="multilevel"/>
    <w:tmpl w:val="19506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Arial" w:hint="default"/>
        <w:sz w:val="22"/>
      </w:rPr>
    </w:lvl>
  </w:abstractNum>
  <w:abstractNum w:abstractNumId="7">
    <w:nsid w:val="56247BD3"/>
    <w:multiLevelType w:val="hybridMultilevel"/>
    <w:tmpl w:val="55504818"/>
    <w:lvl w:ilvl="0" w:tplc="97B8D79E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44423"/>
    <w:multiLevelType w:val="hybridMultilevel"/>
    <w:tmpl w:val="8ABE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44EB1"/>
    <w:multiLevelType w:val="hybridMultilevel"/>
    <w:tmpl w:val="2B7C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B6"/>
    <w:rsid w:val="00003BE9"/>
    <w:rsid w:val="000127D4"/>
    <w:rsid w:val="00015611"/>
    <w:rsid w:val="00016557"/>
    <w:rsid w:val="00022926"/>
    <w:rsid w:val="00033A75"/>
    <w:rsid w:val="00035380"/>
    <w:rsid w:val="00036596"/>
    <w:rsid w:val="00037DF2"/>
    <w:rsid w:val="00045CA0"/>
    <w:rsid w:val="000641B4"/>
    <w:rsid w:val="00067625"/>
    <w:rsid w:val="000800FF"/>
    <w:rsid w:val="00085A5F"/>
    <w:rsid w:val="000970D0"/>
    <w:rsid w:val="000B4BE3"/>
    <w:rsid w:val="000B537A"/>
    <w:rsid w:val="000C063C"/>
    <w:rsid w:val="000D2500"/>
    <w:rsid w:val="000E0B87"/>
    <w:rsid w:val="000E15C1"/>
    <w:rsid w:val="000E4503"/>
    <w:rsid w:val="000E492C"/>
    <w:rsid w:val="000E64DA"/>
    <w:rsid w:val="000E6808"/>
    <w:rsid w:val="000F0450"/>
    <w:rsid w:val="000F527D"/>
    <w:rsid w:val="00100433"/>
    <w:rsid w:val="001004B9"/>
    <w:rsid w:val="0010167A"/>
    <w:rsid w:val="001309C2"/>
    <w:rsid w:val="00135AD8"/>
    <w:rsid w:val="00140BAB"/>
    <w:rsid w:val="00143412"/>
    <w:rsid w:val="001461C3"/>
    <w:rsid w:val="00161177"/>
    <w:rsid w:val="00164814"/>
    <w:rsid w:val="00167E17"/>
    <w:rsid w:val="00172633"/>
    <w:rsid w:val="0017319A"/>
    <w:rsid w:val="0018463E"/>
    <w:rsid w:val="001913CC"/>
    <w:rsid w:val="00192964"/>
    <w:rsid w:val="0019365D"/>
    <w:rsid w:val="00194E20"/>
    <w:rsid w:val="001A031D"/>
    <w:rsid w:val="001B34BA"/>
    <w:rsid w:val="001B57E7"/>
    <w:rsid w:val="001C19B1"/>
    <w:rsid w:val="001C280C"/>
    <w:rsid w:val="001D1B84"/>
    <w:rsid w:val="001E15AA"/>
    <w:rsid w:val="001F2364"/>
    <w:rsid w:val="00200CDA"/>
    <w:rsid w:val="00204116"/>
    <w:rsid w:val="00206DB6"/>
    <w:rsid w:val="00210B45"/>
    <w:rsid w:val="00213DBC"/>
    <w:rsid w:val="002200FF"/>
    <w:rsid w:val="002222C4"/>
    <w:rsid w:val="00222CD4"/>
    <w:rsid w:val="0022734A"/>
    <w:rsid w:val="00227F65"/>
    <w:rsid w:val="0023065B"/>
    <w:rsid w:val="002307C6"/>
    <w:rsid w:val="00237B99"/>
    <w:rsid w:val="00241488"/>
    <w:rsid w:val="00246B70"/>
    <w:rsid w:val="00247269"/>
    <w:rsid w:val="00250EA1"/>
    <w:rsid w:val="0025300A"/>
    <w:rsid w:val="00256FAA"/>
    <w:rsid w:val="00274DDE"/>
    <w:rsid w:val="00275A0D"/>
    <w:rsid w:val="00276341"/>
    <w:rsid w:val="00282163"/>
    <w:rsid w:val="00283D89"/>
    <w:rsid w:val="00284F89"/>
    <w:rsid w:val="002869AF"/>
    <w:rsid w:val="00291B24"/>
    <w:rsid w:val="002964F7"/>
    <w:rsid w:val="002A760A"/>
    <w:rsid w:val="002B0D56"/>
    <w:rsid w:val="002B752E"/>
    <w:rsid w:val="002C3A6A"/>
    <w:rsid w:val="002C5055"/>
    <w:rsid w:val="002D0EBE"/>
    <w:rsid w:val="002D3F21"/>
    <w:rsid w:val="002E1E5E"/>
    <w:rsid w:val="002F1BE2"/>
    <w:rsid w:val="002F2A14"/>
    <w:rsid w:val="002F77B7"/>
    <w:rsid w:val="00302C8D"/>
    <w:rsid w:val="0031544A"/>
    <w:rsid w:val="003168D1"/>
    <w:rsid w:val="003324D1"/>
    <w:rsid w:val="00336989"/>
    <w:rsid w:val="003429F3"/>
    <w:rsid w:val="00345E8B"/>
    <w:rsid w:val="0035337E"/>
    <w:rsid w:val="00353AA7"/>
    <w:rsid w:val="00354C89"/>
    <w:rsid w:val="0035671C"/>
    <w:rsid w:val="00382653"/>
    <w:rsid w:val="003839CD"/>
    <w:rsid w:val="0039424E"/>
    <w:rsid w:val="003953B0"/>
    <w:rsid w:val="003A0865"/>
    <w:rsid w:val="003A5348"/>
    <w:rsid w:val="003B19C9"/>
    <w:rsid w:val="003B214F"/>
    <w:rsid w:val="003C2A9C"/>
    <w:rsid w:val="003C7616"/>
    <w:rsid w:val="003D2169"/>
    <w:rsid w:val="003D3993"/>
    <w:rsid w:val="003D48A7"/>
    <w:rsid w:val="003D75D9"/>
    <w:rsid w:val="003E72F7"/>
    <w:rsid w:val="003F2256"/>
    <w:rsid w:val="003F4F5D"/>
    <w:rsid w:val="00404DC8"/>
    <w:rsid w:val="00420279"/>
    <w:rsid w:val="00427A18"/>
    <w:rsid w:val="00427C0A"/>
    <w:rsid w:val="004313F7"/>
    <w:rsid w:val="0043343F"/>
    <w:rsid w:val="00437E8F"/>
    <w:rsid w:val="0044051D"/>
    <w:rsid w:val="00441DC9"/>
    <w:rsid w:val="004455C8"/>
    <w:rsid w:val="0044634B"/>
    <w:rsid w:val="004526D9"/>
    <w:rsid w:val="00456AA0"/>
    <w:rsid w:val="0046460F"/>
    <w:rsid w:val="00465705"/>
    <w:rsid w:val="004758DA"/>
    <w:rsid w:val="00490F6D"/>
    <w:rsid w:val="004A1028"/>
    <w:rsid w:val="004A5AB1"/>
    <w:rsid w:val="004A6F41"/>
    <w:rsid w:val="004B6B97"/>
    <w:rsid w:val="004B78D9"/>
    <w:rsid w:val="004C159B"/>
    <w:rsid w:val="004C1881"/>
    <w:rsid w:val="004D2109"/>
    <w:rsid w:val="004E3642"/>
    <w:rsid w:val="004E7CD9"/>
    <w:rsid w:val="004F26AE"/>
    <w:rsid w:val="004F693B"/>
    <w:rsid w:val="00502A93"/>
    <w:rsid w:val="00504B55"/>
    <w:rsid w:val="00516E3F"/>
    <w:rsid w:val="005176F5"/>
    <w:rsid w:val="00526D73"/>
    <w:rsid w:val="005274C9"/>
    <w:rsid w:val="00527B06"/>
    <w:rsid w:val="005319D3"/>
    <w:rsid w:val="00534A7C"/>
    <w:rsid w:val="00546467"/>
    <w:rsid w:val="005626E9"/>
    <w:rsid w:val="00571848"/>
    <w:rsid w:val="00591315"/>
    <w:rsid w:val="00595800"/>
    <w:rsid w:val="005A0C6C"/>
    <w:rsid w:val="005A5802"/>
    <w:rsid w:val="005B1DB6"/>
    <w:rsid w:val="005B79E7"/>
    <w:rsid w:val="005C3785"/>
    <w:rsid w:val="005D3B5A"/>
    <w:rsid w:val="005E0B28"/>
    <w:rsid w:val="005E3388"/>
    <w:rsid w:val="005E616C"/>
    <w:rsid w:val="005E678F"/>
    <w:rsid w:val="005F077A"/>
    <w:rsid w:val="005F130D"/>
    <w:rsid w:val="005F2A0F"/>
    <w:rsid w:val="005F4633"/>
    <w:rsid w:val="005F4CE6"/>
    <w:rsid w:val="005F76F0"/>
    <w:rsid w:val="005F7F4C"/>
    <w:rsid w:val="0060411B"/>
    <w:rsid w:val="0060427A"/>
    <w:rsid w:val="00611612"/>
    <w:rsid w:val="0061223C"/>
    <w:rsid w:val="00612795"/>
    <w:rsid w:val="006136BC"/>
    <w:rsid w:val="00614757"/>
    <w:rsid w:val="006226BC"/>
    <w:rsid w:val="006410F9"/>
    <w:rsid w:val="00641323"/>
    <w:rsid w:val="006437D5"/>
    <w:rsid w:val="006478AC"/>
    <w:rsid w:val="006552D4"/>
    <w:rsid w:val="00665D98"/>
    <w:rsid w:val="0067288C"/>
    <w:rsid w:val="0067431E"/>
    <w:rsid w:val="00674791"/>
    <w:rsid w:val="00681198"/>
    <w:rsid w:val="006946CF"/>
    <w:rsid w:val="006A2335"/>
    <w:rsid w:val="006B2AC7"/>
    <w:rsid w:val="006B369C"/>
    <w:rsid w:val="006B37ED"/>
    <w:rsid w:val="006B3F95"/>
    <w:rsid w:val="006C028F"/>
    <w:rsid w:val="006C2D7B"/>
    <w:rsid w:val="006C4B6C"/>
    <w:rsid w:val="006C5E17"/>
    <w:rsid w:val="006F763E"/>
    <w:rsid w:val="00700C3B"/>
    <w:rsid w:val="00703A5E"/>
    <w:rsid w:val="00707D49"/>
    <w:rsid w:val="0071106C"/>
    <w:rsid w:val="0071635F"/>
    <w:rsid w:val="007205D5"/>
    <w:rsid w:val="00723500"/>
    <w:rsid w:val="00725BF4"/>
    <w:rsid w:val="00731C25"/>
    <w:rsid w:val="00731FBE"/>
    <w:rsid w:val="007371E6"/>
    <w:rsid w:val="007400EB"/>
    <w:rsid w:val="00742439"/>
    <w:rsid w:val="00746900"/>
    <w:rsid w:val="00746A76"/>
    <w:rsid w:val="00752110"/>
    <w:rsid w:val="00754224"/>
    <w:rsid w:val="00761E7C"/>
    <w:rsid w:val="00795945"/>
    <w:rsid w:val="00796BE8"/>
    <w:rsid w:val="007A1DDA"/>
    <w:rsid w:val="007A5D88"/>
    <w:rsid w:val="007A6624"/>
    <w:rsid w:val="007B08A0"/>
    <w:rsid w:val="007B159C"/>
    <w:rsid w:val="007B1842"/>
    <w:rsid w:val="007B7DC9"/>
    <w:rsid w:val="007C3D59"/>
    <w:rsid w:val="007C445C"/>
    <w:rsid w:val="007C514D"/>
    <w:rsid w:val="007C57D2"/>
    <w:rsid w:val="007C57DC"/>
    <w:rsid w:val="007D1BDC"/>
    <w:rsid w:val="007D3B7C"/>
    <w:rsid w:val="007D68B3"/>
    <w:rsid w:val="007E1BF7"/>
    <w:rsid w:val="007E6517"/>
    <w:rsid w:val="007F765B"/>
    <w:rsid w:val="008024BE"/>
    <w:rsid w:val="00802B6B"/>
    <w:rsid w:val="00804953"/>
    <w:rsid w:val="0080541A"/>
    <w:rsid w:val="00811467"/>
    <w:rsid w:val="00836F9B"/>
    <w:rsid w:val="00840EFA"/>
    <w:rsid w:val="008449F9"/>
    <w:rsid w:val="00856BF6"/>
    <w:rsid w:val="00861EBF"/>
    <w:rsid w:val="00863B82"/>
    <w:rsid w:val="008662A7"/>
    <w:rsid w:val="008701AB"/>
    <w:rsid w:val="00881D43"/>
    <w:rsid w:val="008844FE"/>
    <w:rsid w:val="00886D7E"/>
    <w:rsid w:val="00890F2E"/>
    <w:rsid w:val="008954B6"/>
    <w:rsid w:val="008A1D59"/>
    <w:rsid w:val="008A695A"/>
    <w:rsid w:val="008C5515"/>
    <w:rsid w:val="008D4874"/>
    <w:rsid w:val="008D6A17"/>
    <w:rsid w:val="008E09C5"/>
    <w:rsid w:val="008F1AFE"/>
    <w:rsid w:val="00930F0A"/>
    <w:rsid w:val="009329D2"/>
    <w:rsid w:val="0093303E"/>
    <w:rsid w:val="0093776F"/>
    <w:rsid w:val="00941104"/>
    <w:rsid w:val="009419BC"/>
    <w:rsid w:val="00941E60"/>
    <w:rsid w:val="009600D8"/>
    <w:rsid w:val="009648AC"/>
    <w:rsid w:val="00966070"/>
    <w:rsid w:val="009676DC"/>
    <w:rsid w:val="009746CA"/>
    <w:rsid w:val="00974D9F"/>
    <w:rsid w:val="00975AB7"/>
    <w:rsid w:val="009846D5"/>
    <w:rsid w:val="0098541A"/>
    <w:rsid w:val="009950E4"/>
    <w:rsid w:val="009A3097"/>
    <w:rsid w:val="009A41BF"/>
    <w:rsid w:val="009A4F5A"/>
    <w:rsid w:val="009A7183"/>
    <w:rsid w:val="009B1389"/>
    <w:rsid w:val="009B499B"/>
    <w:rsid w:val="009B559B"/>
    <w:rsid w:val="009B6942"/>
    <w:rsid w:val="009C2F8E"/>
    <w:rsid w:val="009C386B"/>
    <w:rsid w:val="009D5213"/>
    <w:rsid w:val="009E14F3"/>
    <w:rsid w:val="009E1957"/>
    <w:rsid w:val="009F7107"/>
    <w:rsid w:val="00A06093"/>
    <w:rsid w:val="00A143D4"/>
    <w:rsid w:val="00A2667A"/>
    <w:rsid w:val="00A3539F"/>
    <w:rsid w:val="00A41C86"/>
    <w:rsid w:val="00A45491"/>
    <w:rsid w:val="00A522C7"/>
    <w:rsid w:val="00A6378F"/>
    <w:rsid w:val="00A64D1B"/>
    <w:rsid w:val="00A67D6B"/>
    <w:rsid w:val="00A7536C"/>
    <w:rsid w:val="00A9524A"/>
    <w:rsid w:val="00AA40DC"/>
    <w:rsid w:val="00AB07C5"/>
    <w:rsid w:val="00AB28E5"/>
    <w:rsid w:val="00AC1C92"/>
    <w:rsid w:val="00AC2E6E"/>
    <w:rsid w:val="00AF5C1C"/>
    <w:rsid w:val="00B030D6"/>
    <w:rsid w:val="00B03831"/>
    <w:rsid w:val="00B41850"/>
    <w:rsid w:val="00B467CA"/>
    <w:rsid w:val="00B550AC"/>
    <w:rsid w:val="00B57344"/>
    <w:rsid w:val="00B64F97"/>
    <w:rsid w:val="00B71D82"/>
    <w:rsid w:val="00B77A2B"/>
    <w:rsid w:val="00B81688"/>
    <w:rsid w:val="00B81D68"/>
    <w:rsid w:val="00B8317D"/>
    <w:rsid w:val="00B87E04"/>
    <w:rsid w:val="00B9778A"/>
    <w:rsid w:val="00BA7311"/>
    <w:rsid w:val="00BB5090"/>
    <w:rsid w:val="00BC13AD"/>
    <w:rsid w:val="00BC2E65"/>
    <w:rsid w:val="00BC33EC"/>
    <w:rsid w:val="00BC40DE"/>
    <w:rsid w:val="00BF5BA0"/>
    <w:rsid w:val="00BF6EB1"/>
    <w:rsid w:val="00BF73F3"/>
    <w:rsid w:val="00C04165"/>
    <w:rsid w:val="00C11268"/>
    <w:rsid w:val="00C1755C"/>
    <w:rsid w:val="00C23C30"/>
    <w:rsid w:val="00C241CC"/>
    <w:rsid w:val="00C24EBB"/>
    <w:rsid w:val="00C3455A"/>
    <w:rsid w:val="00C378FA"/>
    <w:rsid w:val="00C413A9"/>
    <w:rsid w:val="00C447B0"/>
    <w:rsid w:val="00C63243"/>
    <w:rsid w:val="00C639B5"/>
    <w:rsid w:val="00C65327"/>
    <w:rsid w:val="00C91800"/>
    <w:rsid w:val="00C95017"/>
    <w:rsid w:val="00CA0DAD"/>
    <w:rsid w:val="00CB25AD"/>
    <w:rsid w:val="00CB7243"/>
    <w:rsid w:val="00CC4D39"/>
    <w:rsid w:val="00CE2C7B"/>
    <w:rsid w:val="00CE7EF1"/>
    <w:rsid w:val="00CF2451"/>
    <w:rsid w:val="00D11323"/>
    <w:rsid w:val="00D20465"/>
    <w:rsid w:val="00D21089"/>
    <w:rsid w:val="00D22411"/>
    <w:rsid w:val="00D30E50"/>
    <w:rsid w:val="00D33042"/>
    <w:rsid w:val="00D33B81"/>
    <w:rsid w:val="00D35752"/>
    <w:rsid w:val="00D41834"/>
    <w:rsid w:val="00D430C3"/>
    <w:rsid w:val="00D4535A"/>
    <w:rsid w:val="00D463D0"/>
    <w:rsid w:val="00D5707F"/>
    <w:rsid w:val="00D61395"/>
    <w:rsid w:val="00D634EE"/>
    <w:rsid w:val="00D63B3F"/>
    <w:rsid w:val="00D656CA"/>
    <w:rsid w:val="00D744B4"/>
    <w:rsid w:val="00D92033"/>
    <w:rsid w:val="00D93881"/>
    <w:rsid w:val="00D948F0"/>
    <w:rsid w:val="00DA33C0"/>
    <w:rsid w:val="00DB5DE9"/>
    <w:rsid w:val="00DB68BE"/>
    <w:rsid w:val="00DC5BBD"/>
    <w:rsid w:val="00DD4415"/>
    <w:rsid w:val="00DD7F12"/>
    <w:rsid w:val="00DE66E4"/>
    <w:rsid w:val="00DF49B5"/>
    <w:rsid w:val="00E033F6"/>
    <w:rsid w:val="00E13448"/>
    <w:rsid w:val="00E23FEB"/>
    <w:rsid w:val="00E27D92"/>
    <w:rsid w:val="00E302A3"/>
    <w:rsid w:val="00E376A5"/>
    <w:rsid w:val="00E74D5C"/>
    <w:rsid w:val="00E759BF"/>
    <w:rsid w:val="00E76E86"/>
    <w:rsid w:val="00E77482"/>
    <w:rsid w:val="00E875E6"/>
    <w:rsid w:val="00EA2F8C"/>
    <w:rsid w:val="00EB6376"/>
    <w:rsid w:val="00EB64F9"/>
    <w:rsid w:val="00EC7026"/>
    <w:rsid w:val="00EC710F"/>
    <w:rsid w:val="00ED57F6"/>
    <w:rsid w:val="00EF147B"/>
    <w:rsid w:val="00EF3719"/>
    <w:rsid w:val="00EF3C95"/>
    <w:rsid w:val="00F16669"/>
    <w:rsid w:val="00F26D0E"/>
    <w:rsid w:val="00F31073"/>
    <w:rsid w:val="00F358D4"/>
    <w:rsid w:val="00F46CEC"/>
    <w:rsid w:val="00F53CE6"/>
    <w:rsid w:val="00F7160F"/>
    <w:rsid w:val="00F75D6A"/>
    <w:rsid w:val="00F861F1"/>
    <w:rsid w:val="00F9320F"/>
    <w:rsid w:val="00F975D2"/>
    <w:rsid w:val="00FC2151"/>
    <w:rsid w:val="00FC5CBE"/>
    <w:rsid w:val="00FC6453"/>
    <w:rsid w:val="00FD4C1F"/>
    <w:rsid w:val="00FD6C54"/>
    <w:rsid w:val="00FF2617"/>
    <w:rsid w:val="00FF568F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rFonts w:ascii="CG Times" w:hAnsi="CG Times"/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Pr>
      <w:rFonts w:ascii="CG Times" w:hAnsi="CG Times"/>
    </w:rPr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9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8954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CG Times" w:hAnsi="CG Times"/>
    </w:rPr>
  </w:style>
  <w:style w:type="character" w:customStyle="1" w:styleId="NormalaftertitleChar">
    <w:name w:val="Normal after title Char"/>
    <w:link w:val="Normalaftertitle0"/>
    <w:rsid w:val="008954B6"/>
    <w:rPr>
      <w:sz w:val="24"/>
      <w:lang w:val="en-GB" w:eastAsia="en-US" w:bidi="ar-SA"/>
    </w:rPr>
  </w:style>
  <w:style w:type="character" w:customStyle="1" w:styleId="CallChar">
    <w:name w:val="Call Char"/>
    <w:link w:val="Call"/>
    <w:locked/>
    <w:rsid w:val="008954B6"/>
    <w:rPr>
      <w:i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8954B6"/>
    <w:rPr>
      <w:sz w:val="24"/>
      <w:lang w:val="en-GB" w:eastAsia="en-US" w:bidi="ar-SA"/>
    </w:rPr>
  </w:style>
  <w:style w:type="character" w:customStyle="1" w:styleId="RestitleChar">
    <w:name w:val="Res_title Char"/>
    <w:link w:val="Restitle"/>
    <w:rsid w:val="008954B6"/>
    <w:rPr>
      <w:b/>
      <w:sz w:val="28"/>
      <w:lang w:val="en-GB" w:eastAsia="en-US" w:bidi="ar-SA"/>
    </w:rPr>
  </w:style>
  <w:style w:type="character" w:styleId="Hyperlink">
    <w:name w:val="Hyperlink"/>
    <w:rsid w:val="002F77B7"/>
    <w:rPr>
      <w:color w:val="0000FF"/>
      <w:u w:val="single"/>
    </w:rPr>
  </w:style>
  <w:style w:type="character" w:styleId="FollowedHyperlink">
    <w:name w:val="FollowedHyperlink"/>
    <w:rsid w:val="00F9320F"/>
    <w:rPr>
      <w:color w:val="606420"/>
      <w:u w:val="single"/>
    </w:rPr>
  </w:style>
  <w:style w:type="paragraph" w:customStyle="1" w:styleId="Char1CharChar1Char">
    <w:name w:val="Char1 Char Char1 Char"/>
    <w:basedOn w:val="Normal"/>
    <w:rsid w:val="00F861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title">
    <w:name w:val="Table_title"/>
    <w:basedOn w:val="Normal"/>
    <w:next w:val="Tabletext"/>
    <w:rsid w:val="005274C9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">
    <w:name w:val="Char"/>
    <w:basedOn w:val="Normal"/>
    <w:rsid w:val="00527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link w:val="BalloonTextChar"/>
    <w:rsid w:val="004526D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26D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B1842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054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FooterChar">
    <w:name w:val="Footer Char"/>
    <w:link w:val="Footer"/>
    <w:uiPriority w:val="99"/>
    <w:rsid w:val="007371E6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rFonts w:ascii="CG Times" w:hAnsi="CG Times"/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Pr>
      <w:rFonts w:ascii="CG Times" w:hAnsi="CG Times"/>
    </w:rPr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9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8954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CG Times" w:hAnsi="CG Times"/>
    </w:rPr>
  </w:style>
  <w:style w:type="character" w:customStyle="1" w:styleId="NormalaftertitleChar">
    <w:name w:val="Normal after title Char"/>
    <w:link w:val="Normalaftertitle0"/>
    <w:rsid w:val="008954B6"/>
    <w:rPr>
      <w:sz w:val="24"/>
      <w:lang w:val="en-GB" w:eastAsia="en-US" w:bidi="ar-SA"/>
    </w:rPr>
  </w:style>
  <w:style w:type="character" w:customStyle="1" w:styleId="CallChar">
    <w:name w:val="Call Char"/>
    <w:link w:val="Call"/>
    <w:locked/>
    <w:rsid w:val="008954B6"/>
    <w:rPr>
      <w:i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8954B6"/>
    <w:rPr>
      <w:sz w:val="24"/>
      <w:lang w:val="en-GB" w:eastAsia="en-US" w:bidi="ar-SA"/>
    </w:rPr>
  </w:style>
  <w:style w:type="character" w:customStyle="1" w:styleId="RestitleChar">
    <w:name w:val="Res_title Char"/>
    <w:link w:val="Restitle"/>
    <w:rsid w:val="008954B6"/>
    <w:rPr>
      <w:b/>
      <w:sz w:val="28"/>
      <w:lang w:val="en-GB" w:eastAsia="en-US" w:bidi="ar-SA"/>
    </w:rPr>
  </w:style>
  <w:style w:type="character" w:styleId="Hyperlink">
    <w:name w:val="Hyperlink"/>
    <w:rsid w:val="002F77B7"/>
    <w:rPr>
      <w:color w:val="0000FF"/>
      <w:u w:val="single"/>
    </w:rPr>
  </w:style>
  <w:style w:type="character" w:styleId="FollowedHyperlink">
    <w:name w:val="FollowedHyperlink"/>
    <w:rsid w:val="00F9320F"/>
    <w:rPr>
      <w:color w:val="606420"/>
      <w:u w:val="single"/>
    </w:rPr>
  </w:style>
  <w:style w:type="paragraph" w:customStyle="1" w:styleId="Char1CharChar1Char">
    <w:name w:val="Char1 Char Char1 Char"/>
    <w:basedOn w:val="Normal"/>
    <w:rsid w:val="00F861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title">
    <w:name w:val="Table_title"/>
    <w:basedOn w:val="Normal"/>
    <w:next w:val="Tabletext"/>
    <w:rsid w:val="005274C9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">
    <w:name w:val="Char"/>
    <w:basedOn w:val="Normal"/>
    <w:rsid w:val="00527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link w:val="BalloonTextChar"/>
    <w:rsid w:val="004526D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26D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B1842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054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FooterChar">
    <w:name w:val="Footer Char"/>
    <w:link w:val="Footer"/>
    <w:uiPriority w:val="99"/>
    <w:rsid w:val="007371E6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R/space/snl/list1149/index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net/ITU-R/space/snl/listinuse/inde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80C0-F001-4E41-AD40-1A162B54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2403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>Attila.Matas@itu.int</Manager>
  <Company>ITU</Company>
  <LinksUpToDate>false</LinksUpToDate>
  <CharactersWithSpaces>15179</CharactersWithSpaces>
  <SharedDoc>false</SharedDoc>
  <HLinks>
    <vt:vector size="18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http://www.itu.int/net/ITU-R/space/snl/list1149/index.asp</vt:lpwstr>
      </vt:variant>
      <vt:variant>
        <vt:lpwstr/>
      </vt:variant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http://www.itu.int/net/ITU-R/space/snl/listinuse/index.asp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Attila.Matas@itu.int</dc:creator>
  <cp:lastModifiedBy>Mondino, Martine</cp:lastModifiedBy>
  <cp:revision>13</cp:revision>
  <cp:lastPrinted>2013-01-30T14:27:00Z</cp:lastPrinted>
  <dcterms:created xsi:type="dcterms:W3CDTF">2013-01-24T10:17:00Z</dcterms:created>
  <dcterms:modified xsi:type="dcterms:W3CDTF">2013-01-30T14:28:00Z</dcterms:modified>
</cp:coreProperties>
</file>