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752"/>
        <w:tblW w:w="10173" w:type="dxa"/>
        <w:tblLook w:val="01E0" w:firstRow="1" w:lastRow="1" w:firstColumn="1" w:lastColumn="1" w:noHBand="0" w:noVBand="0"/>
      </w:tblPr>
      <w:tblGrid>
        <w:gridCol w:w="8613"/>
        <w:gridCol w:w="1560"/>
      </w:tblGrid>
      <w:tr w:rsidR="00156F75" w:rsidRPr="00076B99" w:rsidTr="004A7BD6">
        <w:tc>
          <w:tcPr>
            <w:tcW w:w="8613" w:type="dxa"/>
            <w:shd w:val="clear" w:color="auto" w:fill="auto"/>
            <w:vAlign w:val="center"/>
          </w:tcPr>
          <w:p w:rsidR="00156F75" w:rsidRPr="00076B99" w:rsidRDefault="00156F75" w:rsidP="00F354EA">
            <w:pPr>
              <w:spacing w:before="0"/>
            </w:pPr>
            <w:r w:rsidRPr="00076B99">
              <w:rPr>
                <w:rFonts w:ascii="Futura Lt BT" w:hAnsi="Futura Lt BT"/>
                <w:sz w:val="44"/>
              </w:rPr>
              <w:t>I</w:t>
            </w:r>
            <w:r w:rsidRPr="00076B99">
              <w:rPr>
                <w:rFonts w:ascii="Futura Lt BT" w:hAnsi="Futura Lt BT"/>
                <w:sz w:val="36"/>
              </w:rPr>
              <w:t xml:space="preserve">NTERNATIONAL </w:t>
            </w:r>
            <w:r w:rsidRPr="00076B99">
              <w:rPr>
                <w:rFonts w:ascii="Futura Lt BT" w:hAnsi="Futura Lt BT"/>
                <w:sz w:val="44"/>
              </w:rPr>
              <w:t>T</w:t>
            </w:r>
            <w:r w:rsidRPr="00076B99">
              <w:rPr>
                <w:rFonts w:ascii="Futura Lt BT" w:hAnsi="Futura Lt BT"/>
                <w:sz w:val="36"/>
              </w:rPr>
              <w:t xml:space="preserve">ELECOMMUNICATION </w:t>
            </w:r>
            <w:r w:rsidRPr="00076B99">
              <w:rPr>
                <w:rFonts w:ascii="Futura Lt BT" w:hAnsi="Futura Lt BT"/>
                <w:sz w:val="44"/>
              </w:rPr>
              <w:t>U</w:t>
            </w:r>
            <w:r w:rsidRPr="00076B99">
              <w:rPr>
                <w:rFonts w:ascii="Futura Lt BT" w:hAnsi="Futura Lt BT"/>
                <w:sz w:val="36"/>
              </w:rPr>
              <w:t>NION</w:t>
            </w:r>
          </w:p>
        </w:tc>
        <w:tc>
          <w:tcPr>
            <w:tcW w:w="1560" w:type="dxa"/>
            <w:shd w:val="clear" w:color="auto" w:fill="auto"/>
          </w:tcPr>
          <w:p w:rsidR="00156F75" w:rsidRPr="00076B99" w:rsidRDefault="00156F75" w:rsidP="00F354EA">
            <w:pPr>
              <w:spacing w:before="0"/>
              <w:jc w:val="right"/>
            </w:pPr>
            <w:r w:rsidRPr="00076B99">
              <w:rPr>
                <w:noProof/>
                <w:lang w:val="en-US" w:eastAsia="zh-CN"/>
              </w:rPr>
              <w:drawing>
                <wp:inline distT="0" distB="0" distL="0" distR="0">
                  <wp:extent cx="838200" cy="942975"/>
                  <wp:effectExtent l="0" t="0" r="0" b="9525"/>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942975"/>
                          </a:xfrm>
                          <a:prstGeom prst="rect">
                            <a:avLst/>
                          </a:prstGeom>
                          <a:noFill/>
                          <a:ln>
                            <a:noFill/>
                          </a:ln>
                        </pic:spPr>
                      </pic:pic>
                    </a:graphicData>
                  </a:graphic>
                </wp:inline>
              </w:drawing>
            </w:r>
          </w:p>
        </w:tc>
      </w:tr>
    </w:tbl>
    <w:p w:rsidR="00156F75" w:rsidRPr="00076B99" w:rsidRDefault="00156F75" w:rsidP="00156F75">
      <w:pPr>
        <w:spacing w:before="0"/>
        <w:rPr>
          <w:vanish/>
        </w:rPr>
      </w:pPr>
    </w:p>
    <w:tbl>
      <w:tblPr>
        <w:tblW w:w="0" w:type="auto"/>
        <w:tblLayout w:type="fixed"/>
        <w:tblLook w:val="0000" w:firstRow="0" w:lastRow="0" w:firstColumn="0" w:lastColumn="0" w:noHBand="0" w:noVBand="0"/>
      </w:tblPr>
      <w:tblGrid>
        <w:gridCol w:w="5075"/>
      </w:tblGrid>
      <w:tr w:rsidR="00156F75" w:rsidRPr="00076B99" w:rsidTr="00F354EA">
        <w:trPr>
          <w:cantSplit/>
        </w:trPr>
        <w:tc>
          <w:tcPr>
            <w:tcW w:w="5075" w:type="dxa"/>
          </w:tcPr>
          <w:p w:rsidR="00156F75" w:rsidRPr="00076B99" w:rsidRDefault="00156F75" w:rsidP="00F354EA">
            <w:pPr>
              <w:rPr>
                <w:b/>
                <w:smallCaps/>
                <w:sz w:val="20"/>
                <w:lang w:val="fr-CH"/>
              </w:rPr>
            </w:pPr>
            <w:r w:rsidRPr="00076B99">
              <w:rPr>
                <w:i/>
                <w:sz w:val="28"/>
                <w:lang w:val="fr-CH"/>
              </w:rPr>
              <w:t>Radiocommunication Bureau</w:t>
            </w:r>
          </w:p>
          <w:p w:rsidR="00156F75" w:rsidRPr="00076B99" w:rsidRDefault="00156F75" w:rsidP="00F354EA">
            <w:pPr>
              <w:tabs>
                <w:tab w:val="clear" w:pos="794"/>
                <w:tab w:val="clear" w:pos="1191"/>
                <w:tab w:val="clear" w:pos="1588"/>
                <w:tab w:val="clear" w:pos="1985"/>
                <w:tab w:val="center" w:pos="1701"/>
              </w:tabs>
              <w:spacing w:before="0"/>
              <w:rPr>
                <w:b/>
                <w:smallCaps/>
                <w:sz w:val="20"/>
              </w:rPr>
            </w:pPr>
            <w:r w:rsidRPr="00076B99">
              <w:rPr>
                <w:b/>
                <w:sz w:val="18"/>
                <w:lang w:val="fr-CH"/>
              </w:rPr>
              <w:tab/>
            </w:r>
            <w:r w:rsidRPr="00076B99">
              <w:rPr>
                <w:i/>
                <w:sz w:val="18"/>
                <w:lang w:val="fr-CH"/>
              </w:rPr>
              <w:t xml:space="preserve">(Direct Fax N°. </w:t>
            </w:r>
            <w:r w:rsidRPr="00076B99">
              <w:rPr>
                <w:i/>
                <w:sz w:val="18"/>
              </w:rPr>
              <w:t>+41 22 730 57 85)</w:t>
            </w:r>
          </w:p>
        </w:tc>
      </w:tr>
    </w:tbl>
    <w:p w:rsidR="00156F75" w:rsidRPr="00076B99" w:rsidRDefault="00156F75" w:rsidP="00156F75">
      <w:pPr>
        <w:tabs>
          <w:tab w:val="left" w:pos="7513"/>
        </w:tabs>
      </w:pPr>
    </w:p>
    <w:p w:rsidR="00156F75" w:rsidRPr="00076B99" w:rsidRDefault="00156F75" w:rsidP="00156F75">
      <w:pPr>
        <w:tabs>
          <w:tab w:val="left" w:pos="7513"/>
        </w:tabs>
      </w:pPr>
    </w:p>
    <w:tbl>
      <w:tblPr>
        <w:tblW w:w="10020" w:type="dxa"/>
        <w:tblLayout w:type="fixed"/>
        <w:tblLook w:val="0000" w:firstRow="0" w:lastRow="0" w:firstColumn="0" w:lastColumn="0" w:noHBand="0" w:noVBand="0"/>
      </w:tblPr>
      <w:tblGrid>
        <w:gridCol w:w="2518"/>
        <w:gridCol w:w="7502"/>
      </w:tblGrid>
      <w:tr w:rsidR="00156F75" w:rsidRPr="00076B99" w:rsidTr="00F354EA">
        <w:trPr>
          <w:cantSplit/>
        </w:trPr>
        <w:tc>
          <w:tcPr>
            <w:tcW w:w="2518" w:type="dxa"/>
          </w:tcPr>
          <w:p w:rsidR="00156F75" w:rsidRPr="00076B99" w:rsidRDefault="00156F75" w:rsidP="00F354EA">
            <w:pPr>
              <w:tabs>
                <w:tab w:val="left" w:pos="7513"/>
              </w:tabs>
              <w:jc w:val="center"/>
              <w:rPr>
                <w:b/>
              </w:rPr>
            </w:pPr>
            <w:bookmarkStart w:id="0" w:name="dletter"/>
            <w:bookmarkEnd w:id="0"/>
            <w:r w:rsidRPr="00076B99">
              <w:t>Circular Letter</w:t>
            </w:r>
          </w:p>
          <w:p w:rsidR="00156F75" w:rsidRPr="00076B99" w:rsidRDefault="00156F75" w:rsidP="00EA295D">
            <w:pPr>
              <w:tabs>
                <w:tab w:val="clear" w:pos="794"/>
                <w:tab w:val="clear" w:pos="1191"/>
                <w:tab w:val="clear" w:pos="1588"/>
              </w:tabs>
              <w:spacing w:before="0"/>
              <w:jc w:val="center"/>
              <w:rPr>
                <w:b/>
                <w:bCs/>
              </w:rPr>
            </w:pPr>
            <w:bookmarkStart w:id="1" w:name="dnum"/>
            <w:bookmarkEnd w:id="1"/>
            <w:r w:rsidRPr="00076B99">
              <w:rPr>
                <w:b/>
                <w:bCs/>
              </w:rPr>
              <w:t>CR/</w:t>
            </w:r>
            <w:r w:rsidR="00EA295D">
              <w:rPr>
                <w:b/>
                <w:bCs/>
              </w:rPr>
              <w:t>336</w:t>
            </w:r>
          </w:p>
        </w:tc>
        <w:tc>
          <w:tcPr>
            <w:tcW w:w="7502" w:type="dxa"/>
          </w:tcPr>
          <w:p w:rsidR="00156F75" w:rsidRPr="00076B99" w:rsidRDefault="003B6DFC" w:rsidP="004907CC">
            <w:pPr>
              <w:tabs>
                <w:tab w:val="left" w:pos="7513"/>
              </w:tabs>
              <w:jc w:val="right"/>
              <w:rPr>
                <w:bCs/>
              </w:rPr>
            </w:pPr>
            <w:bookmarkStart w:id="2" w:name="ddate"/>
            <w:bookmarkEnd w:id="2"/>
            <w:r>
              <w:rPr>
                <w:bCs/>
              </w:rPr>
              <w:t>17</w:t>
            </w:r>
            <w:r w:rsidR="00156F75" w:rsidRPr="00076B99">
              <w:rPr>
                <w:bCs/>
              </w:rPr>
              <w:t xml:space="preserve"> </w:t>
            </w:r>
            <w:r w:rsidR="004907CC">
              <w:rPr>
                <w:bCs/>
              </w:rPr>
              <w:t>July</w:t>
            </w:r>
            <w:r w:rsidR="004907CC" w:rsidRPr="00076B99">
              <w:rPr>
                <w:bCs/>
              </w:rPr>
              <w:t xml:space="preserve"> </w:t>
            </w:r>
            <w:r w:rsidR="00E479CC" w:rsidRPr="00076B99">
              <w:rPr>
                <w:bCs/>
              </w:rPr>
              <w:t>2012</w:t>
            </w:r>
          </w:p>
        </w:tc>
      </w:tr>
    </w:tbl>
    <w:p w:rsidR="00156F75" w:rsidRPr="00076B99" w:rsidRDefault="00156F75" w:rsidP="00156F75">
      <w:pPr>
        <w:tabs>
          <w:tab w:val="left" w:pos="7513"/>
        </w:tabs>
        <w:spacing w:before="480"/>
        <w:jc w:val="center"/>
        <w:rPr>
          <w:b/>
        </w:rPr>
      </w:pPr>
      <w:r w:rsidRPr="00076B99">
        <w:rPr>
          <w:b/>
          <w:bCs/>
        </w:rPr>
        <w:t>To Administrations of Member States of ITU</w:t>
      </w:r>
    </w:p>
    <w:p w:rsidR="00156F75" w:rsidRPr="00076B99" w:rsidRDefault="00156F75" w:rsidP="00E479CC">
      <w:pPr>
        <w:tabs>
          <w:tab w:val="clear" w:pos="794"/>
          <w:tab w:val="clear" w:pos="1191"/>
          <w:tab w:val="clear" w:pos="1588"/>
          <w:tab w:val="clear" w:pos="1985"/>
        </w:tabs>
        <w:spacing w:before="720"/>
        <w:ind w:left="1440" w:hanging="1440"/>
      </w:pPr>
      <w:r w:rsidRPr="00076B99">
        <w:rPr>
          <w:b/>
        </w:rPr>
        <w:t>Subject</w:t>
      </w:r>
      <w:r w:rsidRPr="00076B99">
        <w:t>:</w:t>
      </w:r>
      <w:r w:rsidRPr="00076B99">
        <w:tab/>
      </w:r>
      <w:bookmarkStart w:id="3" w:name="dtitle1"/>
      <w:bookmarkEnd w:id="3"/>
      <w:r w:rsidRPr="00076B99">
        <w:rPr>
          <w:lang w:val="en-US"/>
        </w:rPr>
        <w:t>Implementation of decisions of the World Radiocommunication Conference, Geneva</w:t>
      </w:r>
      <w:r w:rsidR="00E479CC" w:rsidRPr="00076B99">
        <w:rPr>
          <w:lang w:val="en-US"/>
        </w:rPr>
        <w:t>, 2012</w:t>
      </w:r>
      <w:r w:rsidRPr="00076B99">
        <w:rPr>
          <w:lang w:val="en-US"/>
        </w:rPr>
        <w:t xml:space="preserve"> (WRC-</w:t>
      </w:r>
      <w:r w:rsidR="00E479CC" w:rsidRPr="00076B99">
        <w:rPr>
          <w:lang w:val="en-US"/>
        </w:rPr>
        <w:t>12</w:t>
      </w:r>
      <w:r w:rsidRPr="00076B99">
        <w:rPr>
          <w:lang w:val="en-US"/>
        </w:rPr>
        <w:t>) and associated transitional arrangemen</w:t>
      </w:r>
      <w:r w:rsidR="00E479CC" w:rsidRPr="00076B99">
        <w:rPr>
          <w:lang w:val="en-US"/>
        </w:rPr>
        <w:t>ts that entered into force on 18 February</w:t>
      </w:r>
      <w:r w:rsidRPr="00076B99">
        <w:rPr>
          <w:lang w:val="en-US"/>
        </w:rPr>
        <w:t xml:space="preserve"> 20</w:t>
      </w:r>
      <w:r w:rsidR="00E479CC" w:rsidRPr="00076B99">
        <w:rPr>
          <w:lang w:val="en-US"/>
        </w:rPr>
        <w:t>12</w:t>
      </w:r>
    </w:p>
    <w:p w:rsidR="00156F75" w:rsidRPr="00076B99" w:rsidRDefault="00156F75" w:rsidP="00156F75">
      <w:pPr>
        <w:tabs>
          <w:tab w:val="clear" w:pos="794"/>
          <w:tab w:val="clear" w:pos="1191"/>
          <w:tab w:val="clear" w:pos="1588"/>
          <w:tab w:val="clear" w:pos="1985"/>
          <w:tab w:val="left" w:pos="709"/>
        </w:tabs>
        <w:spacing w:before="480"/>
        <w:ind w:left="709" w:hanging="709"/>
        <w:rPr>
          <w:b/>
          <w:bCs/>
        </w:rPr>
      </w:pPr>
      <w:r w:rsidRPr="00076B99">
        <w:rPr>
          <w:b/>
          <w:bCs/>
        </w:rPr>
        <w:t>To the Director-General</w:t>
      </w:r>
    </w:p>
    <w:p w:rsidR="00156F75" w:rsidRPr="00076B99" w:rsidRDefault="00156F75" w:rsidP="00156F75">
      <w:pPr>
        <w:tabs>
          <w:tab w:val="clear" w:pos="794"/>
          <w:tab w:val="clear" w:pos="1191"/>
          <w:tab w:val="clear" w:pos="1588"/>
          <w:tab w:val="clear" w:pos="1985"/>
          <w:tab w:val="left" w:pos="709"/>
        </w:tabs>
        <w:spacing w:before="480"/>
        <w:ind w:left="709" w:hanging="709"/>
      </w:pPr>
      <w:r w:rsidRPr="00076B99">
        <w:t>Dear Sir/Madam</w:t>
      </w:r>
    </w:p>
    <w:p w:rsidR="00156F75" w:rsidRPr="00076B99" w:rsidRDefault="00156F75" w:rsidP="00A21438">
      <w:pPr>
        <w:tabs>
          <w:tab w:val="clear" w:pos="794"/>
          <w:tab w:val="clear" w:pos="1191"/>
          <w:tab w:val="clear" w:pos="1588"/>
          <w:tab w:val="clear" w:pos="1985"/>
          <w:tab w:val="left" w:pos="0"/>
        </w:tabs>
        <w:spacing w:before="240"/>
        <w:rPr>
          <w:szCs w:val="24"/>
          <w:lang w:eastAsia="zh-CN"/>
        </w:rPr>
      </w:pPr>
      <w:r w:rsidRPr="00076B99">
        <w:rPr>
          <w:lang w:val="en-US"/>
        </w:rPr>
        <w:t>1</w:t>
      </w:r>
      <w:r w:rsidRPr="00076B99">
        <w:rPr>
          <w:lang w:val="en-US"/>
        </w:rPr>
        <w:tab/>
        <w:t xml:space="preserve">The World </w:t>
      </w:r>
      <w:proofErr w:type="spellStart"/>
      <w:r w:rsidRPr="00076B99">
        <w:rPr>
          <w:lang w:val="en-US"/>
        </w:rPr>
        <w:t>Radiocommunication</w:t>
      </w:r>
      <w:proofErr w:type="spellEnd"/>
      <w:r w:rsidRPr="00076B99">
        <w:rPr>
          <w:lang w:val="en-US"/>
        </w:rPr>
        <w:t xml:space="preserve"> Conference, Geneva, 20</w:t>
      </w:r>
      <w:r w:rsidR="00516954" w:rsidRPr="00076B99">
        <w:rPr>
          <w:lang w:val="en-US"/>
        </w:rPr>
        <w:t>12</w:t>
      </w:r>
      <w:r w:rsidRPr="00076B99">
        <w:rPr>
          <w:lang w:val="en-US"/>
        </w:rPr>
        <w:t xml:space="preserve"> (WRC-</w:t>
      </w:r>
      <w:r w:rsidR="00516954" w:rsidRPr="00076B99">
        <w:rPr>
          <w:lang w:val="en-US"/>
        </w:rPr>
        <w:t>12</w:t>
      </w:r>
      <w:r w:rsidRPr="00076B99">
        <w:rPr>
          <w:lang w:val="en-US"/>
        </w:rPr>
        <w:t>), adopted a partial revision of the Radio Regulations and decided that the revised provisions shall en</w:t>
      </w:r>
      <w:r w:rsidR="00AC4E7B" w:rsidRPr="00076B99">
        <w:rPr>
          <w:lang w:val="en-US"/>
        </w:rPr>
        <w:t>ter into force on 1 January 2013</w:t>
      </w:r>
      <w:r w:rsidRPr="00076B99">
        <w:rPr>
          <w:lang w:val="en-US"/>
        </w:rPr>
        <w:t>, with the exception of those provisions for which another date was specifically indicated. The purpose of this Circular Letter</w:t>
      </w:r>
      <w:r w:rsidR="00587A36">
        <w:rPr>
          <w:lang w:val="en-US"/>
        </w:rPr>
        <w:t xml:space="preserve"> is to </w:t>
      </w:r>
      <w:r w:rsidR="00A21438">
        <w:rPr>
          <w:lang w:val="en-US"/>
        </w:rPr>
        <w:t xml:space="preserve">highlight the most relevant </w:t>
      </w:r>
      <w:r w:rsidR="00587A36">
        <w:rPr>
          <w:lang w:val="en-US"/>
        </w:rPr>
        <w:t>decisions of the Conference with a view to facilitating their implementation</w:t>
      </w:r>
      <w:r w:rsidRPr="00076B99">
        <w:rPr>
          <w:lang w:val="en-US"/>
        </w:rPr>
        <w:t>, having in mind primarily the transitional arrangements and other decisions that entered into force on 1</w:t>
      </w:r>
      <w:r w:rsidR="00AC4E7B" w:rsidRPr="00076B99">
        <w:rPr>
          <w:lang w:val="en-US"/>
        </w:rPr>
        <w:t>8</w:t>
      </w:r>
      <w:r w:rsidRPr="00076B99">
        <w:rPr>
          <w:lang w:val="en-US"/>
        </w:rPr>
        <w:t xml:space="preserve"> </w:t>
      </w:r>
      <w:r w:rsidR="00AC4E7B" w:rsidRPr="00076B99">
        <w:rPr>
          <w:lang w:val="en-US"/>
        </w:rPr>
        <w:t>February 2012</w:t>
      </w:r>
      <w:r w:rsidRPr="00076B99">
        <w:rPr>
          <w:lang w:val="en-US"/>
        </w:rPr>
        <w:t xml:space="preserve">. </w:t>
      </w:r>
      <w:r w:rsidR="00A21438">
        <w:rPr>
          <w:lang w:val="en-US"/>
        </w:rPr>
        <w:t xml:space="preserve">For the complete list of decisions, please refer to the Final Acts of the </w:t>
      </w:r>
      <w:r w:rsidR="0024493E">
        <w:rPr>
          <w:lang w:val="en-US"/>
        </w:rPr>
        <w:t>Conference.</w:t>
      </w:r>
      <w:r w:rsidR="0024493E" w:rsidRPr="00076B99">
        <w:rPr>
          <w:lang w:val="en-US"/>
        </w:rPr>
        <w:t xml:space="preserve"> This</w:t>
      </w:r>
      <w:r w:rsidRPr="00076B99">
        <w:rPr>
          <w:lang w:val="en-US"/>
        </w:rPr>
        <w:t xml:space="preserve"> Circular Letter </w:t>
      </w:r>
      <w:r w:rsidR="00587A36">
        <w:rPr>
          <w:lang w:val="en-US"/>
        </w:rPr>
        <w:t xml:space="preserve">should be read in </w:t>
      </w:r>
      <w:r w:rsidR="00334B1D">
        <w:rPr>
          <w:lang w:val="en-US"/>
        </w:rPr>
        <w:t>conjunction</w:t>
      </w:r>
      <w:r w:rsidR="00587A36">
        <w:rPr>
          <w:lang w:val="en-US"/>
        </w:rPr>
        <w:t xml:space="preserve"> with Circular Letter</w:t>
      </w:r>
      <w:r w:rsidR="00334B1D">
        <w:rPr>
          <w:lang w:val="en-US"/>
        </w:rPr>
        <w:t>s CR/331 of</w:t>
      </w:r>
      <w:r w:rsidR="001A0477">
        <w:rPr>
          <w:lang w:val="en-US"/>
        </w:rPr>
        <w:t xml:space="preserve"> 16 March 2012, </w:t>
      </w:r>
      <w:r w:rsidR="00587A36">
        <w:rPr>
          <w:lang w:val="en-US"/>
        </w:rPr>
        <w:t xml:space="preserve">CR/333 </w:t>
      </w:r>
      <w:r w:rsidR="00334B1D">
        <w:rPr>
          <w:lang w:val="en-US"/>
        </w:rPr>
        <w:t>of</w:t>
      </w:r>
      <w:r w:rsidR="00587A36">
        <w:rPr>
          <w:lang w:val="en-US"/>
        </w:rPr>
        <w:t xml:space="preserve"> 2 May 2012</w:t>
      </w:r>
      <w:r w:rsidR="001A0477">
        <w:rPr>
          <w:lang w:val="en-US"/>
        </w:rPr>
        <w:t xml:space="preserve"> and CR/334 of 18 May 2012</w:t>
      </w:r>
      <w:r w:rsidR="00587A36">
        <w:rPr>
          <w:lang w:val="en-US"/>
        </w:rPr>
        <w:t>.</w:t>
      </w:r>
    </w:p>
    <w:p w:rsidR="00156F75" w:rsidRPr="00076B99" w:rsidRDefault="00156F75" w:rsidP="005E3AB2">
      <w:pPr>
        <w:tabs>
          <w:tab w:val="clear" w:pos="794"/>
          <w:tab w:val="clear" w:pos="1191"/>
          <w:tab w:val="clear" w:pos="1588"/>
          <w:tab w:val="clear" w:pos="1985"/>
          <w:tab w:val="left" w:pos="0"/>
        </w:tabs>
        <w:spacing w:before="240"/>
        <w:rPr>
          <w:lang w:val="en-US"/>
        </w:rPr>
      </w:pPr>
      <w:r w:rsidRPr="00076B99">
        <w:rPr>
          <w:lang w:val="en-US"/>
        </w:rPr>
        <w:t>2</w:t>
      </w:r>
      <w:r w:rsidRPr="00076B99">
        <w:rPr>
          <w:lang w:val="en-US"/>
        </w:rPr>
        <w:tab/>
        <w:t>The C</w:t>
      </w:r>
      <w:r w:rsidR="005E3AB2" w:rsidRPr="00076B99">
        <w:rPr>
          <w:lang w:val="en-US"/>
        </w:rPr>
        <w:t>onference decided that, as of 18</w:t>
      </w:r>
      <w:r w:rsidRPr="00076B99">
        <w:rPr>
          <w:lang w:val="en-US"/>
        </w:rPr>
        <w:t xml:space="preserve"> </w:t>
      </w:r>
      <w:r w:rsidR="005E3AB2" w:rsidRPr="00076B99">
        <w:rPr>
          <w:lang w:val="en-US"/>
        </w:rPr>
        <w:t xml:space="preserve">February </w:t>
      </w:r>
      <w:r w:rsidRPr="00076B99">
        <w:rPr>
          <w:lang w:val="en-US"/>
        </w:rPr>
        <w:t>20</w:t>
      </w:r>
      <w:r w:rsidR="005E3AB2" w:rsidRPr="00076B99">
        <w:rPr>
          <w:lang w:val="en-US"/>
        </w:rPr>
        <w:t>12</w:t>
      </w:r>
      <w:r w:rsidRPr="00076B99">
        <w:rPr>
          <w:lang w:val="en-US"/>
        </w:rPr>
        <w:t>, the following modified allocations shall enter into force, together with the associated conditions for operation of the concerned services in the respective frequency bands:</w:t>
      </w:r>
    </w:p>
    <w:p w:rsidR="00156F75" w:rsidRPr="00076B99" w:rsidRDefault="00156F75" w:rsidP="00626560">
      <w:pPr>
        <w:numPr>
          <w:ilvl w:val="0"/>
          <w:numId w:val="2"/>
        </w:numPr>
        <w:tabs>
          <w:tab w:val="clear" w:pos="794"/>
          <w:tab w:val="clear" w:pos="1191"/>
          <w:tab w:val="clear" w:pos="1588"/>
          <w:tab w:val="clear" w:pos="1985"/>
          <w:tab w:val="left" w:pos="0"/>
        </w:tabs>
        <w:overflowPunct/>
        <w:autoSpaceDE/>
        <w:autoSpaceDN/>
        <w:adjustRightInd/>
        <w:ind w:left="709" w:hanging="709"/>
        <w:textAlignment w:val="auto"/>
        <w:rPr>
          <w:lang w:val="en-US"/>
        </w:rPr>
      </w:pPr>
      <w:r w:rsidRPr="00076B99">
        <w:rPr>
          <w:lang w:val="en-US"/>
        </w:rPr>
        <w:t xml:space="preserve">modified </w:t>
      </w:r>
      <w:r w:rsidRPr="00076B99">
        <w:rPr>
          <w:bCs/>
          <w:lang w:val="en-US"/>
        </w:rPr>
        <w:t xml:space="preserve">allocation in the </w:t>
      </w:r>
      <w:r w:rsidR="006B18FF" w:rsidRPr="00076B99">
        <w:rPr>
          <w:bCs/>
          <w:lang w:val="en-US"/>
        </w:rPr>
        <w:t>band</w:t>
      </w:r>
      <w:r w:rsidR="006B18FF">
        <w:rPr>
          <w:bCs/>
          <w:lang w:val="en-US"/>
        </w:rPr>
        <w:t xml:space="preserve"> 2</w:t>
      </w:r>
      <w:r w:rsidR="00393D2E">
        <w:rPr>
          <w:bCs/>
          <w:lang w:val="en-US"/>
        </w:rPr>
        <w:t xml:space="preserve"> </w:t>
      </w:r>
      <w:r w:rsidR="006B18FF">
        <w:rPr>
          <w:bCs/>
          <w:lang w:val="en-US"/>
        </w:rPr>
        <w:t>483.5-2</w:t>
      </w:r>
      <w:r w:rsidR="00393D2E">
        <w:rPr>
          <w:bCs/>
          <w:lang w:val="en-US"/>
        </w:rPr>
        <w:t xml:space="preserve"> </w:t>
      </w:r>
      <w:r w:rsidR="006B18FF">
        <w:rPr>
          <w:bCs/>
          <w:lang w:val="en-US"/>
        </w:rPr>
        <w:t>500</w:t>
      </w:r>
      <w:r w:rsidR="005E3AB2" w:rsidRPr="00076B99">
        <w:rPr>
          <w:bCs/>
          <w:lang w:val="en-US"/>
        </w:rPr>
        <w:t xml:space="preserve"> </w:t>
      </w:r>
      <w:r w:rsidRPr="00076B99">
        <w:rPr>
          <w:bCs/>
          <w:lang w:val="en-US"/>
        </w:rPr>
        <w:t xml:space="preserve">MHz, which consists of the introduction of primary allocation to the </w:t>
      </w:r>
      <w:proofErr w:type="spellStart"/>
      <w:r w:rsidR="002E1BDB">
        <w:rPr>
          <w:bCs/>
          <w:lang w:val="en-US"/>
        </w:rPr>
        <w:t>r</w:t>
      </w:r>
      <w:r w:rsidR="005E3AB2" w:rsidRPr="00076B99">
        <w:rPr>
          <w:bCs/>
          <w:lang w:val="en-US"/>
        </w:rPr>
        <w:t>adiodetermination</w:t>
      </w:r>
      <w:proofErr w:type="spellEnd"/>
      <w:r w:rsidR="002E1BDB">
        <w:rPr>
          <w:bCs/>
          <w:lang w:val="en-US"/>
        </w:rPr>
        <w:t>-s</w:t>
      </w:r>
      <w:r w:rsidR="005E3AB2" w:rsidRPr="00076B99">
        <w:rPr>
          <w:bCs/>
          <w:lang w:val="en-US"/>
        </w:rPr>
        <w:t xml:space="preserve">atellite </w:t>
      </w:r>
      <w:r w:rsidR="002E1BDB">
        <w:rPr>
          <w:bCs/>
          <w:lang w:val="en-US"/>
        </w:rPr>
        <w:t>s</w:t>
      </w:r>
      <w:r w:rsidRPr="00076B99">
        <w:rPr>
          <w:lang w:val="en-US"/>
        </w:rPr>
        <w:t>ervice under the conditions specified in No</w:t>
      </w:r>
      <w:r w:rsidR="002E1BDB">
        <w:rPr>
          <w:lang w:val="en-US"/>
        </w:rPr>
        <w:t>s</w:t>
      </w:r>
      <w:r w:rsidRPr="00076B99">
        <w:rPr>
          <w:lang w:val="en-US"/>
        </w:rPr>
        <w:t xml:space="preserve">. </w:t>
      </w:r>
      <w:r w:rsidRPr="00DE666B">
        <w:rPr>
          <w:b/>
          <w:bCs/>
          <w:lang w:val="en-US"/>
        </w:rPr>
        <w:t>5.</w:t>
      </w:r>
      <w:r w:rsidR="00992C71">
        <w:rPr>
          <w:b/>
          <w:bCs/>
          <w:lang w:val="en-US"/>
        </w:rPr>
        <w:t>401</w:t>
      </w:r>
      <w:r w:rsidR="005E3AB2" w:rsidRPr="00393D2E">
        <w:rPr>
          <w:lang w:val="en-US"/>
        </w:rPr>
        <w:t>,</w:t>
      </w:r>
      <w:r w:rsidR="005E3AB2" w:rsidRPr="00076B99">
        <w:rPr>
          <w:b/>
          <w:bCs/>
          <w:lang w:val="en-US"/>
        </w:rPr>
        <w:t xml:space="preserve"> 5.371</w:t>
      </w:r>
      <w:r w:rsidR="00992C71" w:rsidRPr="00393D2E">
        <w:rPr>
          <w:lang w:val="en-US"/>
        </w:rPr>
        <w:t>,</w:t>
      </w:r>
      <w:r w:rsidR="00992C71">
        <w:rPr>
          <w:b/>
          <w:bCs/>
          <w:lang w:val="en-US"/>
        </w:rPr>
        <w:t xml:space="preserve"> </w:t>
      </w:r>
      <w:r w:rsidR="005E3AB2" w:rsidRPr="00076B99">
        <w:rPr>
          <w:b/>
          <w:bCs/>
          <w:lang w:val="en-US"/>
        </w:rPr>
        <w:t>5.399</w:t>
      </w:r>
      <w:r w:rsidR="00992C71">
        <w:rPr>
          <w:b/>
          <w:bCs/>
          <w:lang w:val="en-US"/>
        </w:rPr>
        <w:t xml:space="preserve"> </w:t>
      </w:r>
      <w:r w:rsidR="007450C8" w:rsidRPr="009F19ED">
        <w:rPr>
          <w:lang w:val="en-US"/>
        </w:rPr>
        <w:t>and</w:t>
      </w:r>
      <w:r w:rsidR="00992C71">
        <w:rPr>
          <w:b/>
          <w:bCs/>
          <w:lang w:val="en-US"/>
        </w:rPr>
        <w:t xml:space="preserve"> 5.446</w:t>
      </w:r>
      <w:r w:rsidRPr="00076B99">
        <w:rPr>
          <w:b/>
          <w:bCs/>
          <w:lang w:val="en-US"/>
        </w:rPr>
        <w:t xml:space="preserve"> </w:t>
      </w:r>
      <w:r w:rsidRPr="00076B99">
        <w:rPr>
          <w:lang w:val="en-US"/>
        </w:rPr>
        <w:t>and in</w:t>
      </w:r>
      <w:r w:rsidR="009F19ED">
        <w:rPr>
          <w:lang w:val="en-US"/>
        </w:rPr>
        <w:t xml:space="preserve"> </w:t>
      </w:r>
      <w:r w:rsidR="005E3AB2" w:rsidRPr="00076B99">
        <w:rPr>
          <w:lang w:val="en-US"/>
        </w:rPr>
        <w:t xml:space="preserve">Annex 1 of </w:t>
      </w:r>
      <w:r w:rsidR="00F953EC" w:rsidRPr="00076B99">
        <w:rPr>
          <w:lang w:val="en-US"/>
        </w:rPr>
        <w:t>Appendix 5</w:t>
      </w:r>
      <w:r w:rsidR="002E1BDB">
        <w:rPr>
          <w:lang w:val="en-US"/>
        </w:rPr>
        <w:t xml:space="preserve"> as well as the upgra</w:t>
      </w:r>
      <w:r w:rsidR="00792259">
        <w:rPr>
          <w:lang w:val="en-US"/>
        </w:rPr>
        <w:t>de of the radiolocation service</w:t>
      </w:r>
      <w:r w:rsidR="002E1BDB">
        <w:rPr>
          <w:lang w:val="en-US"/>
        </w:rPr>
        <w:t xml:space="preserve"> in the countries listed in No. </w:t>
      </w:r>
      <w:r w:rsidR="002E1BDB" w:rsidRPr="00DE666B">
        <w:rPr>
          <w:b/>
          <w:bCs/>
          <w:lang w:val="en-US"/>
        </w:rPr>
        <w:t>5.398A</w:t>
      </w:r>
      <w:r w:rsidR="002E1BDB">
        <w:rPr>
          <w:b/>
          <w:bCs/>
          <w:lang w:val="en-US"/>
        </w:rPr>
        <w:t xml:space="preserve"> </w:t>
      </w:r>
      <w:r w:rsidR="002E1BDB">
        <w:rPr>
          <w:lang w:val="en-US"/>
        </w:rPr>
        <w:t xml:space="preserve">subject to </w:t>
      </w:r>
      <w:r w:rsidR="00792259">
        <w:rPr>
          <w:lang w:val="en-US"/>
        </w:rPr>
        <w:t>some</w:t>
      </w:r>
      <w:r w:rsidR="002E1BDB">
        <w:rPr>
          <w:lang w:val="en-US"/>
        </w:rPr>
        <w:t xml:space="preserve"> limitations specified in this provision</w:t>
      </w:r>
      <w:r w:rsidR="00626783">
        <w:rPr>
          <w:lang w:val="en-US"/>
        </w:rPr>
        <w:t>;</w:t>
      </w:r>
    </w:p>
    <w:p w:rsidR="001F1D0D" w:rsidRDefault="00156F75" w:rsidP="009B344F">
      <w:pPr>
        <w:keepLines/>
        <w:numPr>
          <w:ilvl w:val="0"/>
          <w:numId w:val="2"/>
        </w:numPr>
        <w:tabs>
          <w:tab w:val="clear" w:pos="794"/>
          <w:tab w:val="clear" w:pos="1191"/>
          <w:tab w:val="clear" w:pos="1588"/>
          <w:tab w:val="clear" w:pos="1985"/>
          <w:tab w:val="left" w:pos="0"/>
        </w:tabs>
        <w:overflowPunct/>
        <w:autoSpaceDE/>
        <w:autoSpaceDN/>
        <w:adjustRightInd/>
        <w:spacing w:before="240"/>
        <w:ind w:left="709" w:hanging="709"/>
        <w:textAlignment w:val="auto"/>
        <w:rPr>
          <w:lang w:val="en-US"/>
        </w:rPr>
      </w:pPr>
      <w:r w:rsidRPr="00076B99">
        <w:rPr>
          <w:lang w:val="en-US"/>
        </w:rPr>
        <w:lastRenderedPageBreak/>
        <w:t xml:space="preserve">new sharing criteria for the use of the </w:t>
      </w:r>
      <w:r w:rsidR="006B18FF" w:rsidRPr="00076B99">
        <w:rPr>
          <w:lang w:val="en-US"/>
        </w:rPr>
        <w:t>band</w:t>
      </w:r>
      <w:r w:rsidR="006B18FF">
        <w:rPr>
          <w:lang w:val="en-US"/>
        </w:rPr>
        <w:t xml:space="preserve"> </w:t>
      </w:r>
      <w:r w:rsidR="006B18FF" w:rsidRPr="00076B99">
        <w:rPr>
          <w:lang w:val="en-US"/>
        </w:rPr>
        <w:t xml:space="preserve"> </w:t>
      </w:r>
      <w:r w:rsidR="006D2B5D" w:rsidRPr="00076B99">
        <w:rPr>
          <w:lang w:val="en-US"/>
        </w:rPr>
        <w:t>21.4</w:t>
      </w:r>
      <w:r w:rsidR="001D1DA1" w:rsidRPr="00076B99">
        <w:rPr>
          <w:lang w:val="en-US"/>
        </w:rPr>
        <w:t>-22</w:t>
      </w:r>
      <w:r w:rsidR="004A5FA8">
        <w:rPr>
          <w:lang w:val="en-US"/>
        </w:rPr>
        <w:t xml:space="preserve"> </w:t>
      </w:r>
      <w:r w:rsidR="001D1DA1" w:rsidRPr="00076B99">
        <w:rPr>
          <w:lang w:val="en-US"/>
        </w:rPr>
        <w:t xml:space="preserve">GHz </w:t>
      </w:r>
      <w:r w:rsidRPr="00076B99">
        <w:rPr>
          <w:lang w:val="en-US"/>
        </w:rPr>
        <w:t xml:space="preserve">by </w:t>
      </w:r>
      <w:r w:rsidR="00FB10F1">
        <w:rPr>
          <w:lang w:val="en-US"/>
        </w:rPr>
        <w:t>the b</w:t>
      </w:r>
      <w:r w:rsidR="001D1DA1" w:rsidRPr="00076B99">
        <w:rPr>
          <w:lang w:val="en-US"/>
        </w:rPr>
        <w:t>roadcasting</w:t>
      </w:r>
      <w:r w:rsidR="00FB10F1">
        <w:rPr>
          <w:lang w:val="en-US"/>
        </w:rPr>
        <w:t>-s</w:t>
      </w:r>
      <w:r w:rsidR="001D1DA1" w:rsidRPr="00076B99">
        <w:rPr>
          <w:lang w:val="en-US"/>
        </w:rPr>
        <w:t xml:space="preserve">atellite </w:t>
      </w:r>
      <w:r w:rsidR="00FB10F1">
        <w:rPr>
          <w:lang w:val="en-US"/>
        </w:rPr>
        <w:t>s</w:t>
      </w:r>
      <w:r w:rsidRPr="00076B99">
        <w:rPr>
          <w:lang w:val="en-US"/>
        </w:rPr>
        <w:t xml:space="preserve">ervice to </w:t>
      </w:r>
      <w:r w:rsidR="006D2B5D" w:rsidRPr="00076B99">
        <w:rPr>
          <w:lang w:val="en-US"/>
        </w:rPr>
        <w:t>which th</w:t>
      </w:r>
      <w:r w:rsidR="00FB10F1">
        <w:rPr>
          <w:lang w:val="en-US"/>
        </w:rPr>
        <w:t>is</w:t>
      </w:r>
      <w:r w:rsidR="006D2B5D" w:rsidRPr="00076B99">
        <w:rPr>
          <w:lang w:val="en-US"/>
        </w:rPr>
        <w:t xml:space="preserve"> band </w:t>
      </w:r>
      <w:r w:rsidR="00FB10F1">
        <w:rPr>
          <w:lang w:val="en-US"/>
        </w:rPr>
        <w:t>is</w:t>
      </w:r>
      <w:r w:rsidR="006D2B5D" w:rsidRPr="00076B99">
        <w:rPr>
          <w:lang w:val="en-US"/>
        </w:rPr>
        <w:t xml:space="preserve"> allocated </w:t>
      </w:r>
      <w:r w:rsidRPr="00076B99">
        <w:rPr>
          <w:lang w:val="en-US"/>
        </w:rPr>
        <w:t xml:space="preserve">on </w:t>
      </w:r>
      <w:r w:rsidR="00FB10F1">
        <w:rPr>
          <w:lang w:val="en-US"/>
        </w:rPr>
        <w:t xml:space="preserve">the </w:t>
      </w:r>
      <w:r w:rsidRPr="00076B99">
        <w:rPr>
          <w:lang w:val="en-US"/>
        </w:rPr>
        <w:t xml:space="preserve">one hand, and the </w:t>
      </w:r>
      <w:r w:rsidR="00FB10F1">
        <w:rPr>
          <w:lang w:val="en-US"/>
        </w:rPr>
        <w:t>f</w:t>
      </w:r>
      <w:r w:rsidR="006D2B5D" w:rsidRPr="00076B99">
        <w:rPr>
          <w:lang w:val="en-US"/>
        </w:rPr>
        <w:t xml:space="preserve">ixed and </w:t>
      </w:r>
      <w:r w:rsidR="00FB10F1">
        <w:rPr>
          <w:lang w:val="en-US"/>
        </w:rPr>
        <w:t>m</w:t>
      </w:r>
      <w:r w:rsidR="006D2B5D" w:rsidRPr="00076B99">
        <w:rPr>
          <w:lang w:val="en-US"/>
        </w:rPr>
        <w:t xml:space="preserve">obile </w:t>
      </w:r>
      <w:r w:rsidR="00FB10F1">
        <w:rPr>
          <w:lang w:val="en-US"/>
        </w:rPr>
        <w:t>s</w:t>
      </w:r>
      <w:r w:rsidR="006D2B5D" w:rsidRPr="00076B99">
        <w:rPr>
          <w:lang w:val="en-US"/>
        </w:rPr>
        <w:t xml:space="preserve">ervices </w:t>
      </w:r>
      <w:r w:rsidRPr="00076B99">
        <w:rPr>
          <w:lang w:val="en-US"/>
        </w:rPr>
        <w:t>on the other hand, as stipulated in No</w:t>
      </w:r>
      <w:r w:rsidR="00E617D4" w:rsidRPr="00076B99">
        <w:rPr>
          <w:lang w:val="en-US"/>
        </w:rPr>
        <w:t>s</w:t>
      </w:r>
      <w:r w:rsidRPr="00076B99">
        <w:rPr>
          <w:lang w:val="en-US"/>
        </w:rPr>
        <w:t>.</w:t>
      </w:r>
      <w:r w:rsidR="00750FB1">
        <w:rPr>
          <w:lang w:val="en-US"/>
        </w:rPr>
        <w:t xml:space="preserve"> </w:t>
      </w:r>
      <w:r w:rsidR="006D2B5D" w:rsidRPr="00DE666B">
        <w:rPr>
          <w:b/>
          <w:bCs/>
          <w:lang w:val="en-US"/>
        </w:rPr>
        <w:t>5.</w:t>
      </w:r>
      <w:r w:rsidR="004907CC" w:rsidRPr="00DE666B">
        <w:rPr>
          <w:b/>
          <w:bCs/>
          <w:lang w:val="en-US"/>
        </w:rPr>
        <w:t>530B</w:t>
      </w:r>
      <w:r w:rsidR="009B344F">
        <w:rPr>
          <w:b/>
          <w:bCs/>
          <w:lang w:val="en-US"/>
        </w:rPr>
        <w:t>,</w:t>
      </w:r>
      <w:r w:rsidR="006D2B5D" w:rsidRPr="00DE666B">
        <w:rPr>
          <w:lang w:val="en-US"/>
        </w:rPr>
        <w:t xml:space="preserve"> </w:t>
      </w:r>
      <w:r w:rsidR="006D2B5D" w:rsidRPr="00DE666B">
        <w:rPr>
          <w:b/>
          <w:bCs/>
          <w:lang w:val="en-US"/>
        </w:rPr>
        <w:t>5.</w:t>
      </w:r>
      <w:r w:rsidR="004907CC" w:rsidRPr="00DE666B">
        <w:rPr>
          <w:b/>
          <w:bCs/>
          <w:lang w:val="en-US"/>
        </w:rPr>
        <w:t>530C</w:t>
      </w:r>
      <w:r w:rsidR="006D2B5D" w:rsidRPr="00DE666B">
        <w:rPr>
          <w:lang w:val="en-US"/>
        </w:rPr>
        <w:t>,</w:t>
      </w:r>
      <w:r w:rsidR="00F6016E">
        <w:rPr>
          <w:lang w:val="en-US"/>
        </w:rPr>
        <w:t xml:space="preserve"> </w:t>
      </w:r>
      <w:r w:rsidR="006D2B5D" w:rsidRPr="00DE666B">
        <w:rPr>
          <w:b/>
          <w:bCs/>
          <w:lang w:val="en-US"/>
        </w:rPr>
        <w:t>5.</w:t>
      </w:r>
      <w:r w:rsidR="004907CC" w:rsidRPr="00DE666B">
        <w:rPr>
          <w:b/>
          <w:bCs/>
          <w:lang w:val="en-US"/>
        </w:rPr>
        <w:t>530A</w:t>
      </w:r>
      <w:r w:rsidR="006D2B5D" w:rsidRPr="00DE666B">
        <w:rPr>
          <w:lang w:val="en-US"/>
        </w:rPr>
        <w:t xml:space="preserve">, </w:t>
      </w:r>
      <w:r w:rsidR="006D2B5D" w:rsidRPr="00DE666B">
        <w:rPr>
          <w:b/>
          <w:bCs/>
          <w:lang w:val="en-US"/>
        </w:rPr>
        <w:t>5.</w:t>
      </w:r>
      <w:r w:rsidR="004907CC" w:rsidRPr="00DE666B">
        <w:rPr>
          <w:b/>
          <w:bCs/>
          <w:lang w:val="en-US"/>
        </w:rPr>
        <w:t>530D</w:t>
      </w:r>
      <w:r w:rsidR="00DF6F07" w:rsidRPr="004907CC">
        <w:rPr>
          <w:lang w:val="en-US"/>
        </w:rPr>
        <w:t>,</w:t>
      </w:r>
      <w:r w:rsidR="00DF6F07" w:rsidRPr="00076B99">
        <w:rPr>
          <w:b/>
          <w:bCs/>
          <w:lang w:val="en-US"/>
        </w:rPr>
        <w:t xml:space="preserve"> </w:t>
      </w:r>
      <w:r w:rsidR="00A17B5A" w:rsidRPr="00076B99">
        <w:rPr>
          <w:b/>
          <w:bCs/>
          <w:lang w:val="en-US"/>
        </w:rPr>
        <w:t>A.9.8</w:t>
      </w:r>
      <w:r w:rsidR="00A17B5A" w:rsidRPr="00750FB1">
        <w:rPr>
          <w:lang w:val="en-US"/>
        </w:rPr>
        <w:t>,</w:t>
      </w:r>
      <w:r w:rsidR="00A17B5A" w:rsidRPr="00076B99">
        <w:rPr>
          <w:b/>
          <w:bCs/>
          <w:lang w:val="en-US"/>
        </w:rPr>
        <w:t xml:space="preserve"> A.11.7</w:t>
      </w:r>
      <w:r w:rsidR="00A17B5A" w:rsidRPr="00750FB1">
        <w:rPr>
          <w:lang w:val="en-US"/>
        </w:rPr>
        <w:t>,</w:t>
      </w:r>
      <w:r w:rsidR="00A17B5A" w:rsidRPr="00076B99">
        <w:rPr>
          <w:b/>
          <w:bCs/>
          <w:lang w:val="en-US"/>
        </w:rPr>
        <w:t xml:space="preserve"> 11.37</w:t>
      </w:r>
      <w:r w:rsidR="00A17B5A" w:rsidRPr="00750FB1">
        <w:rPr>
          <w:lang w:val="en-US"/>
        </w:rPr>
        <w:t>,</w:t>
      </w:r>
      <w:r w:rsidR="00A17B5A" w:rsidRPr="00076B99">
        <w:rPr>
          <w:b/>
          <w:bCs/>
          <w:lang w:val="en-US"/>
        </w:rPr>
        <w:t xml:space="preserve"> 11.37.2</w:t>
      </w:r>
      <w:r w:rsidR="00DF6F07" w:rsidRPr="00750FB1">
        <w:rPr>
          <w:lang w:val="en-US"/>
        </w:rPr>
        <w:t>,</w:t>
      </w:r>
      <w:r w:rsidR="00792259">
        <w:rPr>
          <w:b/>
          <w:bCs/>
          <w:lang w:val="en-US"/>
        </w:rPr>
        <w:t xml:space="preserve"> </w:t>
      </w:r>
      <w:r w:rsidR="00DF6F07" w:rsidRPr="00076B99">
        <w:rPr>
          <w:b/>
          <w:bCs/>
          <w:lang w:val="en-US"/>
        </w:rPr>
        <w:t>21</w:t>
      </w:r>
      <w:r w:rsidR="000D356D">
        <w:rPr>
          <w:b/>
          <w:bCs/>
          <w:lang w:val="en-US"/>
        </w:rPr>
        <w:t>.</w:t>
      </w:r>
      <w:r w:rsidR="00DF6F07" w:rsidRPr="00076B99">
        <w:rPr>
          <w:b/>
          <w:bCs/>
          <w:lang w:val="en-US"/>
        </w:rPr>
        <w:t>2</w:t>
      </w:r>
      <w:r w:rsidR="00DF6F07" w:rsidRPr="00750FB1">
        <w:rPr>
          <w:lang w:val="en-US"/>
        </w:rPr>
        <w:t>,</w:t>
      </w:r>
      <w:r w:rsidR="00792259">
        <w:rPr>
          <w:b/>
          <w:bCs/>
          <w:lang w:val="en-US"/>
        </w:rPr>
        <w:t xml:space="preserve"> </w:t>
      </w:r>
      <w:r w:rsidR="00DF6F07" w:rsidRPr="00076B99">
        <w:rPr>
          <w:b/>
          <w:bCs/>
          <w:lang w:val="en-US"/>
        </w:rPr>
        <w:t>21.2.1</w:t>
      </w:r>
      <w:r w:rsidR="00DF6F07" w:rsidRPr="00750FB1">
        <w:rPr>
          <w:lang w:val="en-US"/>
        </w:rPr>
        <w:t>,</w:t>
      </w:r>
      <w:r w:rsidR="00DF6F07" w:rsidRPr="00076B99">
        <w:rPr>
          <w:b/>
          <w:bCs/>
          <w:lang w:val="en-US"/>
        </w:rPr>
        <w:t xml:space="preserve"> Table 21-4 (Rev.WRC-12)</w:t>
      </w:r>
      <w:r w:rsidR="00DF6F07" w:rsidRPr="00750FB1">
        <w:rPr>
          <w:lang w:val="en-US"/>
        </w:rPr>
        <w:t>,</w:t>
      </w:r>
      <w:r w:rsidR="00DF6F07" w:rsidRPr="00076B99">
        <w:rPr>
          <w:b/>
          <w:bCs/>
          <w:lang w:val="en-US"/>
        </w:rPr>
        <w:t xml:space="preserve"> </w:t>
      </w:r>
      <w:r w:rsidR="006932B4" w:rsidRPr="006932B4">
        <w:rPr>
          <w:lang w:val="en-US"/>
        </w:rPr>
        <w:t>paragraphs</w:t>
      </w:r>
      <w:r w:rsidR="000D356D">
        <w:rPr>
          <w:b/>
          <w:bCs/>
          <w:lang w:val="en-US"/>
        </w:rPr>
        <w:t xml:space="preserve"> </w:t>
      </w:r>
      <w:r w:rsidR="006932B4" w:rsidRPr="006932B4">
        <w:rPr>
          <w:lang w:val="en-US"/>
        </w:rPr>
        <w:t>6bis, 8 and 9 of</w:t>
      </w:r>
      <w:r w:rsidR="00DF6F07" w:rsidRPr="00076B99">
        <w:rPr>
          <w:b/>
          <w:bCs/>
          <w:lang w:val="en-US"/>
        </w:rPr>
        <w:t xml:space="preserve"> </w:t>
      </w:r>
      <w:r w:rsidR="00DF6F07" w:rsidRPr="00076B99">
        <w:rPr>
          <w:lang w:val="en-US"/>
        </w:rPr>
        <w:t>Table 5-1 of Appendix</w:t>
      </w:r>
      <w:r w:rsidR="00750FB1">
        <w:rPr>
          <w:b/>
          <w:bCs/>
          <w:lang w:val="en-US"/>
        </w:rPr>
        <w:t xml:space="preserve"> 5</w:t>
      </w:r>
      <w:r w:rsidR="00750FB1" w:rsidRPr="00750FB1">
        <w:rPr>
          <w:lang w:val="en-US"/>
        </w:rPr>
        <w:t>,</w:t>
      </w:r>
      <w:r w:rsidRPr="00076B99">
        <w:rPr>
          <w:lang w:val="en-US"/>
        </w:rPr>
        <w:t xml:space="preserve"> and in Resolution </w:t>
      </w:r>
      <w:r w:rsidR="00DF6F07" w:rsidRPr="00076B99">
        <w:rPr>
          <w:b/>
          <w:bCs/>
          <w:lang w:val="en-US"/>
        </w:rPr>
        <w:t>755</w:t>
      </w:r>
      <w:r w:rsidR="004064FD">
        <w:rPr>
          <w:lang w:val="en-US"/>
        </w:rPr>
        <w:t xml:space="preserve">, </w:t>
      </w:r>
      <w:r w:rsidR="00DF6F07" w:rsidRPr="00076B99">
        <w:rPr>
          <w:lang w:val="en-US"/>
        </w:rPr>
        <w:t>Resolution </w:t>
      </w:r>
      <w:r w:rsidR="00DF6F07" w:rsidRPr="00076B99">
        <w:rPr>
          <w:b/>
          <w:bCs/>
          <w:lang w:val="en-US"/>
        </w:rPr>
        <w:t>553</w:t>
      </w:r>
      <w:r w:rsidR="00DF6F07" w:rsidRPr="00076B99">
        <w:rPr>
          <w:lang w:val="en-US"/>
        </w:rPr>
        <w:t>, Resolution </w:t>
      </w:r>
      <w:r w:rsidR="00DF6F07" w:rsidRPr="00076B99">
        <w:rPr>
          <w:b/>
          <w:bCs/>
          <w:lang w:val="en-US"/>
        </w:rPr>
        <w:t>554</w:t>
      </w:r>
      <w:r w:rsidR="00DF6F07" w:rsidRPr="00076B99">
        <w:rPr>
          <w:lang w:val="en-US"/>
        </w:rPr>
        <w:t xml:space="preserve"> and Resolution </w:t>
      </w:r>
      <w:r w:rsidR="00DF6F07" w:rsidRPr="00076B99">
        <w:rPr>
          <w:b/>
          <w:bCs/>
          <w:lang w:val="en-US"/>
        </w:rPr>
        <w:t>555</w:t>
      </w:r>
      <w:r w:rsidRPr="00076B99">
        <w:rPr>
          <w:lang w:val="en-US"/>
        </w:rPr>
        <w:t>.</w:t>
      </w:r>
      <w:r w:rsidR="00DF6F07" w:rsidRPr="00076B99">
        <w:rPr>
          <w:lang w:val="en-US"/>
        </w:rPr>
        <w:t xml:space="preserve"> </w:t>
      </w:r>
      <w:r w:rsidR="008173B6">
        <w:rPr>
          <w:lang w:val="en-US"/>
        </w:rPr>
        <w:t xml:space="preserve">It </w:t>
      </w:r>
      <w:r w:rsidR="008E46B2">
        <w:rPr>
          <w:lang w:val="en-US"/>
        </w:rPr>
        <w:t>should</w:t>
      </w:r>
      <w:r w:rsidR="00792259">
        <w:rPr>
          <w:lang w:val="en-US"/>
        </w:rPr>
        <w:t xml:space="preserve"> </w:t>
      </w:r>
      <w:r w:rsidR="008173B6">
        <w:rPr>
          <w:lang w:val="en-US"/>
        </w:rPr>
        <w:t xml:space="preserve">be noted that </w:t>
      </w:r>
      <w:r w:rsidR="00792259">
        <w:rPr>
          <w:lang w:val="en-US"/>
        </w:rPr>
        <w:t>pursuant to</w:t>
      </w:r>
      <w:r w:rsidR="00FB10F1">
        <w:rPr>
          <w:lang w:val="en-US"/>
        </w:rPr>
        <w:t xml:space="preserve"> the abrogation of</w:t>
      </w:r>
      <w:r w:rsidR="004064FD">
        <w:rPr>
          <w:lang w:val="en-US"/>
        </w:rPr>
        <w:t xml:space="preserve"> </w:t>
      </w:r>
      <w:r w:rsidR="00FB10F1">
        <w:rPr>
          <w:lang w:val="en-US"/>
        </w:rPr>
        <w:t xml:space="preserve">Resolution </w:t>
      </w:r>
      <w:r w:rsidR="007450C8" w:rsidRPr="009F19ED">
        <w:rPr>
          <w:b/>
          <w:bCs/>
          <w:lang w:val="en-US"/>
        </w:rPr>
        <w:t>525 (Rev.WRC-07)</w:t>
      </w:r>
      <w:r w:rsidR="00DB6A59">
        <w:rPr>
          <w:lang w:val="en-US"/>
        </w:rPr>
        <w:t xml:space="preserve"> and </w:t>
      </w:r>
      <w:r w:rsidR="008173B6">
        <w:rPr>
          <w:lang w:val="en-US"/>
        </w:rPr>
        <w:t xml:space="preserve">suppression of </w:t>
      </w:r>
      <w:r w:rsidR="00DB6A59">
        <w:rPr>
          <w:lang w:val="en-US"/>
        </w:rPr>
        <w:t xml:space="preserve">No. </w:t>
      </w:r>
      <w:r w:rsidR="007450C8" w:rsidRPr="009F19ED">
        <w:rPr>
          <w:b/>
          <w:bCs/>
          <w:lang w:val="en-US"/>
        </w:rPr>
        <w:t>5.530</w:t>
      </w:r>
      <w:r w:rsidR="00500674">
        <w:rPr>
          <w:lang w:val="en-US"/>
        </w:rPr>
        <w:t>,</w:t>
      </w:r>
      <w:r w:rsidR="00FB10F1">
        <w:rPr>
          <w:lang w:val="en-US"/>
        </w:rPr>
        <w:t xml:space="preserve"> the</w:t>
      </w:r>
      <w:r w:rsidR="00DB6A59">
        <w:rPr>
          <w:lang w:val="en-US"/>
        </w:rPr>
        <w:t xml:space="preserve"> non-interference</w:t>
      </w:r>
      <w:r w:rsidR="00FB10F1">
        <w:rPr>
          <w:lang w:val="en-US"/>
        </w:rPr>
        <w:t xml:space="preserve"> non-protection status of the fixed and mobile service</w:t>
      </w:r>
      <w:r w:rsidR="00500674">
        <w:rPr>
          <w:lang w:val="en-US"/>
        </w:rPr>
        <w:t>s in Regions 1 and 3</w:t>
      </w:r>
      <w:r w:rsidR="00FB10F1">
        <w:rPr>
          <w:lang w:val="en-US"/>
        </w:rPr>
        <w:t xml:space="preserve"> </w:t>
      </w:r>
      <w:r w:rsidR="008E46B2">
        <w:rPr>
          <w:lang w:val="en-US"/>
        </w:rPr>
        <w:t xml:space="preserve">with respect to the broadcasting-satellite service </w:t>
      </w:r>
      <w:r w:rsidR="00FB10F1">
        <w:rPr>
          <w:lang w:val="en-US"/>
        </w:rPr>
        <w:t xml:space="preserve">was replaced by </w:t>
      </w:r>
      <w:r w:rsidR="00500674">
        <w:rPr>
          <w:lang w:val="en-US"/>
        </w:rPr>
        <w:t xml:space="preserve">the </w:t>
      </w:r>
      <w:r w:rsidR="0024493E">
        <w:rPr>
          <w:lang w:val="en-US"/>
        </w:rPr>
        <w:t xml:space="preserve">compliance with a </w:t>
      </w:r>
      <w:r w:rsidR="00792259">
        <w:rPr>
          <w:lang w:val="en-US"/>
        </w:rPr>
        <w:t>power flux-density</w:t>
      </w:r>
      <w:r w:rsidR="00500674">
        <w:rPr>
          <w:lang w:val="en-US"/>
        </w:rPr>
        <w:t xml:space="preserve"> limit </w:t>
      </w:r>
      <w:r w:rsidR="00792259">
        <w:rPr>
          <w:lang w:val="en-US"/>
        </w:rPr>
        <w:t>specified in</w:t>
      </w:r>
      <w:r w:rsidR="00500674">
        <w:rPr>
          <w:lang w:val="en-US"/>
        </w:rPr>
        <w:t xml:space="preserve"> No. </w:t>
      </w:r>
      <w:r w:rsidR="00500674" w:rsidRPr="00DE666B">
        <w:rPr>
          <w:b/>
          <w:bCs/>
          <w:lang w:val="en-US"/>
        </w:rPr>
        <w:t>5.530A</w:t>
      </w:r>
      <w:r w:rsidR="00626783">
        <w:rPr>
          <w:lang w:val="en-US"/>
        </w:rPr>
        <w:t>;</w:t>
      </w:r>
    </w:p>
    <w:p w:rsidR="001F1D0D" w:rsidRDefault="00A66E40" w:rsidP="00EB2BC9">
      <w:pPr>
        <w:keepLines/>
        <w:numPr>
          <w:ilvl w:val="0"/>
          <w:numId w:val="2"/>
        </w:numPr>
        <w:tabs>
          <w:tab w:val="clear" w:pos="794"/>
          <w:tab w:val="clear" w:pos="1191"/>
          <w:tab w:val="clear" w:pos="1588"/>
          <w:tab w:val="clear" w:pos="1985"/>
          <w:tab w:val="left" w:pos="0"/>
        </w:tabs>
        <w:overflowPunct/>
        <w:autoSpaceDE/>
        <w:autoSpaceDN/>
        <w:adjustRightInd/>
        <w:spacing w:before="240"/>
        <w:ind w:left="709" w:hanging="709"/>
        <w:textAlignment w:val="auto"/>
        <w:rPr>
          <w:lang w:val="en-US"/>
        </w:rPr>
      </w:pPr>
      <w:r>
        <w:rPr>
          <w:lang w:val="en-US"/>
        </w:rPr>
        <w:t xml:space="preserve">new due diligence information to be submitted for </w:t>
      </w:r>
      <w:r>
        <w:rPr>
          <w:rFonts w:eastAsia="MS Mincho"/>
          <w:lang w:eastAsia="ja-JP"/>
        </w:rPr>
        <w:t xml:space="preserve">all </w:t>
      </w:r>
      <w:r w:rsidRPr="00076B99">
        <w:rPr>
          <w:rFonts w:eastAsia="MS Mincho"/>
          <w:lang w:eastAsia="ja-JP"/>
        </w:rPr>
        <w:t xml:space="preserve">geostationary-satellite networks in the BSS in the </w:t>
      </w:r>
      <w:r w:rsidR="00960B85">
        <w:rPr>
          <w:rFonts w:eastAsia="MS Mincho"/>
          <w:lang w:eastAsia="ja-JP"/>
        </w:rPr>
        <w:t xml:space="preserve">band </w:t>
      </w:r>
      <w:r w:rsidRPr="00076B99">
        <w:rPr>
          <w:rFonts w:eastAsia="MS Mincho"/>
          <w:lang w:eastAsia="ja-JP"/>
        </w:rPr>
        <w:t>21.4-22 GHz</w:t>
      </w:r>
      <w:r>
        <w:rPr>
          <w:rFonts w:eastAsia="MS Mincho"/>
          <w:lang w:eastAsia="ja-JP"/>
        </w:rPr>
        <w:t xml:space="preserve"> as stipulated in Nos. </w:t>
      </w:r>
      <w:r w:rsidRPr="00076B99">
        <w:rPr>
          <w:b/>
          <w:bCs/>
          <w:lang w:val="en-US"/>
        </w:rPr>
        <w:t>A.9.4</w:t>
      </w:r>
      <w:r w:rsidRPr="00750FB1">
        <w:rPr>
          <w:lang w:val="en-US"/>
        </w:rPr>
        <w:t>,</w:t>
      </w:r>
      <w:r>
        <w:rPr>
          <w:b/>
          <w:bCs/>
          <w:lang w:val="en-US"/>
        </w:rPr>
        <w:t xml:space="preserve"> A.11.2</w:t>
      </w:r>
      <w:r w:rsidRPr="00750FB1">
        <w:rPr>
          <w:lang w:val="en-US"/>
        </w:rPr>
        <w:t>,</w:t>
      </w:r>
      <w:r>
        <w:rPr>
          <w:b/>
          <w:bCs/>
          <w:lang w:val="en-US"/>
        </w:rPr>
        <w:t xml:space="preserve"> 11.</w:t>
      </w:r>
      <w:bookmarkStart w:id="4" w:name="_GoBack"/>
      <w:bookmarkEnd w:id="4"/>
      <w:r w:rsidRPr="00076B99">
        <w:rPr>
          <w:b/>
          <w:bCs/>
          <w:lang w:val="en-US"/>
        </w:rPr>
        <w:t xml:space="preserve">44.1 </w:t>
      </w:r>
      <w:r w:rsidRPr="00076B99">
        <w:rPr>
          <w:lang w:val="en-US"/>
        </w:rPr>
        <w:t xml:space="preserve">and </w:t>
      </w:r>
      <w:r w:rsidRPr="00076B99">
        <w:rPr>
          <w:b/>
          <w:bCs/>
          <w:lang w:val="en-US"/>
        </w:rPr>
        <w:t>11.48</w:t>
      </w:r>
      <w:r>
        <w:rPr>
          <w:lang w:val="en-US"/>
        </w:rPr>
        <w:t xml:space="preserve"> and in </w:t>
      </w:r>
      <w:r w:rsidR="006932B4" w:rsidRPr="006932B4">
        <w:rPr>
          <w:lang w:val="en-US"/>
        </w:rPr>
        <w:t xml:space="preserve">Resolution </w:t>
      </w:r>
      <w:r w:rsidR="006932B4" w:rsidRPr="006932B4">
        <w:rPr>
          <w:b/>
          <w:bCs/>
          <w:lang w:val="en-US"/>
        </w:rPr>
        <w:t>552</w:t>
      </w:r>
      <w:r w:rsidR="001E6C74" w:rsidRPr="001E6C74">
        <w:rPr>
          <w:lang w:val="en-US"/>
          <w:rPrChange w:id="5" w:author="Gimenez" w:date="2012-07-12T10:47:00Z">
            <w:rPr>
              <w:b/>
              <w:bCs/>
              <w:lang w:val="en-US"/>
            </w:rPr>
          </w:rPrChange>
        </w:rPr>
        <w:t>;</w:t>
      </w:r>
    </w:p>
    <w:p w:rsidR="00156F75" w:rsidRPr="00076B99" w:rsidRDefault="00156F75" w:rsidP="009B344F">
      <w:pPr>
        <w:numPr>
          <w:ilvl w:val="0"/>
          <w:numId w:val="2"/>
        </w:numPr>
        <w:tabs>
          <w:tab w:val="clear" w:pos="794"/>
          <w:tab w:val="clear" w:pos="1191"/>
          <w:tab w:val="clear" w:pos="1588"/>
          <w:tab w:val="clear" w:pos="1985"/>
          <w:tab w:val="left" w:pos="0"/>
        </w:tabs>
        <w:overflowPunct/>
        <w:autoSpaceDE/>
        <w:autoSpaceDN/>
        <w:adjustRightInd/>
        <w:ind w:left="709" w:hanging="709"/>
        <w:textAlignment w:val="auto"/>
        <w:rPr>
          <w:lang w:val="en-US"/>
        </w:rPr>
      </w:pPr>
      <w:r w:rsidRPr="00076B99">
        <w:rPr>
          <w:lang w:val="en-US"/>
        </w:rPr>
        <w:t xml:space="preserve">modified allocation in the band </w:t>
      </w:r>
      <w:r w:rsidR="00D62227" w:rsidRPr="00076B99">
        <w:rPr>
          <w:lang w:val="en-US"/>
        </w:rPr>
        <w:t>24.65</w:t>
      </w:r>
      <w:r w:rsidR="00E617D4" w:rsidRPr="00076B99">
        <w:rPr>
          <w:lang w:val="en-US"/>
        </w:rPr>
        <w:t xml:space="preserve">-24.75 </w:t>
      </w:r>
      <w:r w:rsidR="00D62227" w:rsidRPr="00076B99">
        <w:rPr>
          <w:lang w:val="en-US"/>
        </w:rPr>
        <w:t>MHz</w:t>
      </w:r>
      <w:r w:rsidR="006B18FF">
        <w:rPr>
          <w:lang w:val="en-US"/>
        </w:rPr>
        <w:t>,</w:t>
      </w:r>
      <w:r w:rsidR="00D62227" w:rsidRPr="00076B99">
        <w:rPr>
          <w:lang w:val="en-US"/>
        </w:rPr>
        <w:t xml:space="preserve"> </w:t>
      </w:r>
      <w:r w:rsidRPr="00076B99">
        <w:rPr>
          <w:lang w:val="en-US"/>
        </w:rPr>
        <w:t>which consists</w:t>
      </w:r>
      <w:r w:rsidR="00E617D4" w:rsidRPr="00076B99">
        <w:rPr>
          <w:lang w:val="en-US"/>
        </w:rPr>
        <w:t xml:space="preserve"> of </w:t>
      </w:r>
      <w:r w:rsidR="004A5FA8">
        <w:rPr>
          <w:lang w:val="en-US"/>
        </w:rPr>
        <w:t xml:space="preserve">the </w:t>
      </w:r>
      <w:r w:rsidR="00E617D4" w:rsidRPr="00076B99">
        <w:rPr>
          <w:lang w:val="en-US"/>
        </w:rPr>
        <w:t>introduction of primary allocation for FSS (Earth-to-</w:t>
      </w:r>
      <w:r w:rsidR="005338DA">
        <w:rPr>
          <w:lang w:val="en-US"/>
        </w:rPr>
        <w:t>s</w:t>
      </w:r>
      <w:r w:rsidR="00E617D4" w:rsidRPr="00076B99">
        <w:rPr>
          <w:lang w:val="en-US"/>
        </w:rPr>
        <w:t>pace) (</w:t>
      </w:r>
      <w:r w:rsidRPr="00076B99">
        <w:rPr>
          <w:lang w:val="en-US"/>
        </w:rPr>
        <w:t>allocation in this band to Region</w:t>
      </w:r>
      <w:r w:rsidR="00D62227" w:rsidRPr="00076B99">
        <w:rPr>
          <w:lang w:val="en-US"/>
        </w:rPr>
        <w:t>s 1</w:t>
      </w:r>
      <w:r w:rsidR="005338DA">
        <w:rPr>
          <w:lang w:val="en-US"/>
        </w:rPr>
        <w:t xml:space="preserve"> </w:t>
      </w:r>
      <w:r w:rsidR="00D62227" w:rsidRPr="00076B99">
        <w:rPr>
          <w:lang w:val="en-US"/>
        </w:rPr>
        <w:t>and</w:t>
      </w:r>
      <w:r w:rsidRPr="00076B99">
        <w:rPr>
          <w:lang w:val="en-US"/>
        </w:rPr>
        <w:t xml:space="preserve"> 3 only</w:t>
      </w:r>
      <w:r w:rsidR="00D62227" w:rsidRPr="00076B99">
        <w:rPr>
          <w:lang w:val="en-US"/>
        </w:rPr>
        <w:t>) and modified allocation in the band and 24.75-25.25 MHz</w:t>
      </w:r>
      <w:r w:rsidRPr="00076B99">
        <w:rPr>
          <w:lang w:val="en-US"/>
        </w:rPr>
        <w:t xml:space="preserve">, </w:t>
      </w:r>
      <w:r w:rsidR="00D62227" w:rsidRPr="00076B99">
        <w:rPr>
          <w:lang w:val="en-US"/>
        </w:rPr>
        <w:t>which consists of introduction of primary allocation for FSS (Earth-to-</w:t>
      </w:r>
      <w:r w:rsidR="005338DA">
        <w:rPr>
          <w:lang w:val="en-US"/>
        </w:rPr>
        <w:t>s</w:t>
      </w:r>
      <w:r w:rsidR="00D62227" w:rsidRPr="00076B99">
        <w:rPr>
          <w:lang w:val="en-US"/>
        </w:rPr>
        <w:t>pace) (allocation in this band to Region 1</w:t>
      </w:r>
      <w:r w:rsidR="005338DA">
        <w:rPr>
          <w:lang w:val="en-US"/>
        </w:rPr>
        <w:t xml:space="preserve"> </w:t>
      </w:r>
      <w:r w:rsidR="00D62227" w:rsidRPr="00076B99">
        <w:rPr>
          <w:lang w:val="en-US"/>
        </w:rPr>
        <w:t>only) and in clarifying the conditions for use of th</w:t>
      </w:r>
      <w:r w:rsidR="005338DA">
        <w:rPr>
          <w:lang w:val="en-US"/>
        </w:rPr>
        <w:t>ese</w:t>
      </w:r>
      <w:r w:rsidR="00D62227" w:rsidRPr="00076B99">
        <w:rPr>
          <w:lang w:val="en-US"/>
        </w:rPr>
        <w:t xml:space="preserve"> band</w:t>
      </w:r>
      <w:r w:rsidR="005338DA">
        <w:rPr>
          <w:lang w:val="en-US"/>
        </w:rPr>
        <w:t>s</w:t>
      </w:r>
      <w:r w:rsidR="00D62227" w:rsidRPr="00076B99">
        <w:rPr>
          <w:lang w:val="en-US"/>
        </w:rPr>
        <w:t xml:space="preserve"> by the FSS in Region</w:t>
      </w:r>
      <w:r w:rsidR="005338DA">
        <w:rPr>
          <w:lang w:val="en-US"/>
        </w:rPr>
        <w:t>s 1 and</w:t>
      </w:r>
      <w:r w:rsidR="00D62227" w:rsidRPr="00076B99">
        <w:rPr>
          <w:lang w:val="en-US"/>
        </w:rPr>
        <w:t xml:space="preserve"> 3</w:t>
      </w:r>
      <w:r w:rsidR="005338DA">
        <w:rPr>
          <w:lang w:val="en-US"/>
        </w:rPr>
        <w:t xml:space="preserve"> </w:t>
      </w:r>
      <w:r w:rsidR="009B655E">
        <w:rPr>
          <w:lang w:val="en-US"/>
        </w:rPr>
        <w:t>as</w:t>
      </w:r>
      <w:r w:rsidRPr="00076B99">
        <w:rPr>
          <w:lang w:val="en-US"/>
        </w:rPr>
        <w:t xml:space="preserve"> set forth in Nos. </w:t>
      </w:r>
      <w:r w:rsidRPr="004907CC">
        <w:rPr>
          <w:b/>
          <w:bCs/>
          <w:lang w:val="en-US"/>
        </w:rPr>
        <w:t>5.</w:t>
      </w:r>
      <w:r w:rsidR="004907CC" w:rsidRPr="004907CC">
        <w:rPr>
          <w:b/>
          <w:bCs/>
          <w:lang w:val="en-US"/>
        </w:rPr>
        <w:t>532B</w:t>
      </w:r>
      <w:r w:rsidR="006B18FF">
        <w:rPr>
          <w:b/>
          <w:bCs/>
          <w:lang w:val="en-US"/>
        </w:rPr>
        <w:t xml:space="preserve"> </w:t>
      </w:r>
      <w:r w:rsidR="00530A55" w:rsidRPr="00076B99">
        <w:rPr>
          <w:lang w:val="en-US"/>
        </w:rPr>
        <w:t>and</w:t>
      </w:r>
      <w:r w:rsidR="00D519A4">
        <w:rPr>
          <w:lang w:val="en-US"/>
        </w:rPr>
        <w:t xml:space="preserve"> </w:t>
      </w:r>
      <w:r w:rsidR="00530A55" w:rsidRPr="00076B99">
        <w:rPr>
          <w:lang w:val="en-US"/>
        </w:rPr>
        <w:t>Table 7c of Annex 7 of Appendix</w:t>
      </w:r>
      <w:r w:rsidR="00530A55" w:rsidRPr="00076B99">
        <w:rPr>
          <w:b/>
          <w:bCs/>
          <w:lang w:val="en-US"/>
        </w:rPr>
        <w:t xml:space="preserve"> 7 (Rev.WRC-12)</w:t>
      </w:r>
      <w:r w:rsidR="009B655E">
        <w:rPr>
          <w:b/>
          <w:bCs/>
          <w:lang w:val="en-US"/>
        </w:rPr>
        <w:t xml:space="preserve"> </w:t>
      </w:r>
      <w:r w:rsidR="00537355" w:rsidRPr="00076B99">
        <w:rPr>
          <w:lang w:val="en-US"/>
        </w:rPr>
        <w:t>(i.e. clarifying the minimum antenna size to ensure sharing with the fixed and mobile services);</w:t>
      </w:r>
    </w:p>
    <w:p w:rsidR="00156F75" w:rsidRDefault="00156F75" w:rsidP="009B344F">
      <w:pPr>
        <w:numPr>
          <w:ilvl w:val="0"/>
          <w:numId w:val="2"/>
        </w:numPr>
        <w:tabs>
          <w:tab w:val="clear" w:pos="794"/>
          <w:tab w:val="clear" w:pos="1191"/>
          <w:tab w:val="clear" w:pos="1588"/>
          <w:tab w:val="clear" w:pos="1985"/>
          <w:tab w:val="left" w:pos="0"/>
        </w:tabs>
        <w:overflowPunct/>
        <w:autoSpaceDE/>
        <w:autoSpaceDN/>
        <w:adjustRightInd/>
        <w:ind w:left="709" w:hanging="709"/>
        <w:textAlignment w:val="auto"/>
        <w:rPr>
          <w:lang w:val="en-US"/>
        </w:rPr>
      </w:pPr>
      <w:r w:rsidRPr="00076B99">
        <w:rPr>
          <w:lang w:val="en-US"/>
        </w:rPr>
        <w:t xml:space="preserve">modified allocation in the band </w:t>
      </w:r>
      <w:r w:rsidR="00537355" w:rsidRPr="00076B99">
        <w:rPr>
          <w:lang w:val="en-US"/>
        </w:rPr>
        <w:t>22.55- 23.15 G</w:t>
      </w:r>
      <w:r w:rsidRPr="00076B99">
        <w:rPr>
          <w:lang w:val="en-US"/>
        </w:rPr>
        <w:t>Hz, which consists</w:t>
      </w:r>
      <w:r w:rsidR="00537355" w:rsidRPr="00076B99">
        <w:rPr>
          <w:lang w:val="en-US"/>
        </w:rPr>
        <w:t xml:space="preserve"> of </w:t>
      </w:r>
      <w:r w:rsidR="004A5FA8">
        <w:rPr>
          <w:lang w:val="en-US"/>
        </w:rPr>
        <w:t xml:space="preserve">the </w:t>
      </w:r>
      <w:r w:rsidR="00537355" w:rsidRPr="00076B99">
        <w:rPr>
          <w:lang w:val="en-US"/>
        </w:rPr>
        <w:t xml:space="preserve">introduction of primary </w:t>
      </w:r>
      <w:r w:rsidRPr="00076B99">
        <w:rPr>
          <w:lang w:val="en-US"/>
        </w:rPr>
        <w:t xml:space="preserve">allocation </w:t>
      </w:r>
      <w:r w:rsidR="006B18FF">
        <w:rPr>
          <w:lang w:val="en-US"/>
        </w:rPr>
        <w:t xml:space="preserve">to </w:t>
      </w:r>
      <w:r w:rsidR="005338DA">
        <w:rPr>
          <w:lang w:val="en-US"/>
        </w:rPr>
        <w:t xml:space="preserve">the </w:t>
      </w:r>
      <w:r w:rsidR="006B18FF">
        <w:rPr>
          <w:lang w:val="en-US"/>
        </w:rPr>
        <w:t xml:space="preserve">space research service </w:t>
      </w:r>
      <w:r w:rsidRPr="00076B99">
        <w:rPr>
          <w:lang w:val="en-US"/>
        </w:rPr>
        <w:t xml:space="preserve">in this band, under the conditions set forth in No. </w:t>
      </w:r>
      <w:r w:rsidRPr="004907CC">
        <w:rPr>
          <w:b/>
          <w:bCs/>
          <w:lang w:val="en-US"/>
        </w:rPr>
        <w:t>5.</w:t>
      </w:r>
      <w:r w:rsidR="004907CC" w:rsidRPr="004907CC">
        <w:rPr>
          <w:b/>
          <w:bCs/>
          <w:lang w:val="en-US"/>
        </w:rPr>
        <w:t>532A</w:t>
      </w:r>
      <w:r w:rsidR="006B18FF">
        <w:rPr>
          <w:b/>
          <w:bCs/>
          <w:lang w:val="en-US"/>
        </w:rPr>
        <w:t xml:space="preserve"> </w:t>
      </w:r>
      <w:r w:rsidR="00980BD1" w:rsidRPr="00076B99">
        <w:rPr>
          <w:lang w:val="en-US"/>
        </w:rPr>
        <w:t xml:space="preserve">and </w:t>
      </w:r>
      <w:r w:rsidR="00980BD1" w:rsidRPr="00076B99">
        <w:rPr>
          <w:b/>
          <w:bCs/>
          <w:lang w:val="en-US"/>
        </w:rPr>
        <w:t>Table 21-3</w:t>
      </w:r>
      <w:r w:rsidRPr="00076B99">
        <w:rPr>
          <w:lang w:val="en-US"/>
        </w:rPr>
        <w:t xml:space="preserve"> (i.e. </w:t>
      </w:r>
      <w:r w:rsidR="00537355" w:rsidRPr="00076B99">
        <w:rPr>
          <w:lang w:val="en-US"/>
        </w:rPr>
        <w:t>clarifying the conditions of sharing with the fixed and mobile services)</w:t>
      </w:r>
      <w:r w:rsidR="00750FB1">
        <w:rPr>
          <w:lang w:val="en-US"/>
        </w:rPr>
        <w:t>.</w:t>
      </w:r>
    </w:p>
    <w:p w:rsidR="00BB5DD2" w:rsidRDefault="00452A61" w:rsidP="009B344F">
      <w:pPr>
        <w:tabs>
          <w:tab w:val="clear" w:pos="794"/>
          <w:tab w:val="clear" w:pos="1191"/>
          <w:tab w:val="clear" w:pos="1588"/>
          <w:tab w:val="clear" w:pos="1985"/>
        </w:tabs>
        <w:overflowPunct/>
        <w:spacing w:before="240"/>
        <w:textAlignment w:val="auto"/>
        <w:rPr>
          <w:lang w:val="en-US"/>
        </w:rPr>
      </w:pPr>
      <w:r w:rsidRPr="00076B99">
        <w:rPr>
          <w:lang w:val="en-US"/>
        </w:rPr>
        <w:t>3</w:t>
      </w:r>
      <w:r w:rsidR="00626783">
        <w:rPr>
          <w:lang w:val="en-US"/>
        </w:rPr>
        <w:tab/>
      </w:r>
      <w:r w:rsidR="00F953EC" w:rsidRPr="00076B99">
        <w:rPr>
          <w:lang w:val="en-US"/>
        </w:rPr>
        <w:t>The Conference decided that, as of 18 February 2012, the following provisions of RR shall be abrogated: Nos.</w:t>
      </w:r>
      <w:r w:rsidR="004A5FA8">
        <w:rPr>
          <w:lang w:val="en-US"/>
        </w:rPr>
        <w:t xml:space="preserve"> </w:t>
      </w:r>
      <w:r w:rsidR="00F953EC" w:rsidRPr="00076B99">
        <w:rPr>
          <w:b/>
          <w:bCs/>
          <w:lang w:val="en-US"/>
        </w:rPr>
        <w:t>5.397</w:t>
      </w:r>
      <w:r w:rsidR="00F953EC" w:rsidRPr="00750FB1">
        <w:rPr>
          <w:lang w:val="en-US"/>
        </w:rPr>
        <w:t>,</w:t>
      </w:r>
      <w:r w:rsidR="00F953EC" w:rsidRPr="00076B99">
        <w:rPr>
          <w:b/>
          <w:bCs/>
          <w:lang w:val="en-US"/>
        </w:rPr>
        <w:t xml:space="preserve"> 5.400 </w:t>
      </w:r>
      <w:r w:rsidR="00F953EC" w:rsidRPr="00076B99">
        <w:rPr>
          <w:lang w:val="en-US"/>
        </w:rPr>
        <w:t>and</w:t>
      </w:r>
      <w:r w:rsidR="00F953EC" w:rsidRPr="00076B99">
        <w:rPr>
          <w:b/>
          <w:bCs/>
          <w:lang w:val="en-US"/>
        </w:rPr>
        <w:t xml:space="preserve"> 5.530</w:t>
      </w:r>
      <w:r w:rsidR="001E6C74" w:rsidRPr="001E6C74">
        <w:rPr>
          <w:lang w:val="en-US"/>
          <w:rPrChange w:id="6" w:author="Gimenez" w:date="2012-07-12T10:49:00Z">
            <w:rPr>
              <w:b/>
              <w:bCs/>
              <w:lang w:val="en-US"/>
            </w:rPr>
          </w:rPrChange>
        </w:rPr>
        <w:t>.</w:t>
      </w:r>
    </w:p>
    <w:p w:rsidR="00BB5DD2" w:rsidRPr="00083412" w:rsidRDefault="00BB5DD2" w:rsidP="00377468">
      <w:pPr>
        <w:tabs>
          <w:tab w:val="clear" w:pos="794"/>
          <w:tab w:val="clear" w:pos="1191"/>
          <w:tab w:val="clear" w:pos="1588"/>
          <w:tab w:val="clear" w:pos="1985"/>
        </w:tabs>
        <w:overflowPunct/>
        <w:spacing w:before="240"/>
        <w:textAlignment w:val="auto"/>
        <w:rPr>
          <w:szCs w:val="24"/>
          <w:lang w:val="en-US"/>
        </w:rPr>
      </w:pPr>
      <w:r w:rsidRPr="004064FD">
        <w:rPr>
          <w:szCs w:val="24"/>
          <w:lang w:val="en-US"/>
        </w:rPr>
        <w:t>4</w:t>
      </w:r>
      <w:r w:rsidRPr="004064FD">
        <w:rPr>
          <w:szCs w:val="24"/>
          <w:lang w:val="en-US"/>
        </w:rPr>
        <w:tab/>
        <w:t xml:space="preserve">The Conference also decided </w:t>
      </w:r>
      <w:r w:rsidRPr="004064FD">
        <w:rPr>
          <w:rFonts w:eastAsiaTheme="minorEastAsia"/>
          <w:szCs w:val="24"/>
          <w:lang w:val="en-US" w:eastAsia="zh-CN"/>
        </w:rPr>
        <w:t>to allocate the frequency band 694-790 MHz in Region 1 to the mobile, except aeronautical mobile, service on a co-primary basis with the other services to which this band is allocated on a primary basis and to identify it for IMT. This decision is effective immediately after WRC-1</w:t>
      </w:r>
      <w:r w:rsidR="00377468">
        <w:rPr>
          <w:rFonts w:eastAsiaTheme="minorEastAsia"/>
          <w:szCs w:val="24"/>
          <w:lang w:val="en-US" w:eastAsia="zh-CN"/>
        </w:rPr>
        <w:t>5</w:t>
      </w:r>
      <w:r w:rsidRPr="004064FD">
        <w:rPr>
          <w:rFonts w:eastAsiaTheme="minorEastAsia"/>
          <w:szCs w:val="24"/>
          <w:lang w:val="en-US" w:eastAsia="zh-CN"/>
        </w:rPr>
        <w:t xml:space="preserve"> and is subject to the provisions of Resolution 232 (WRC-12) (see also Resolution 224 (WRC-12))</w:t>
      </w:r>
      <w:r>
        <w:rPr>
          <w:rFonts w:eastAsiaTheme="minorEastAsia"/>
          <w:szCs w:val="24"/>
          <w:lang w:val="en-US" w:eastAsia="zh-CN"/>
        </w:rPr>
        <w:t>.</w:t>
      </w:r>
    </w:p>
    <w:p w:rsidR="00626783" w:rsidRDefault="00BB5DD2" w:rsidP="00BB5DD2">
      <w:pPr>
        <w:tabs>
          <w:tab w:val="clear" w:pos="794"/>
          <w:tab w:val="clear" w:pos="1191"/>
          <w:tab w:val="clear" w:pos="1588"/>
          <w:tab w:val="clear" w:pos="1985"/>
        </w:tabs>
        <w:overflowPunct/>
        <w:spacing w:before="240"/>
        <w:textAlignment w:val="auto"/>
        <w:rPr>
          <w:lang w:val="en-US"/>
        </w:rPr>
      </w:pPr>
      <w:r>
        <w:rPr>
          <w:lang w:val="en-US"/>
        </w:rPr>
        <w:t>5</w:t>
      </w:r>
      <w:r w:rsidR="00156F75" w:rsidRPr="00076B99">
        <w:rPr>
          <w:lang w:val="en-US"/>
        </w:rPr>
        <w:tab/>
        <w:t xml:space="preserve">The Conference introduced </w:t>
      </w:r>
      <w:r w:rsidR="00A17B5A" w:rsidRPr="00076B99">
        <w:rPr>
          <w:lang w:val="en-US"/>
        </w:rPr>
        <w:t xml:space="preserve">few </w:t>
      </w:r>
      <w:r w:rsidR="00156F75" w:rsidRPr="00076B99">
        <w:rPr>
          <w:lang w:val="en-US"/>
        </w:rPr>
        <w:t xml:space="preserve">changes to the regulatory </w:t>
      </w:r>
      <w:r w:rsidR="00E61478" w:rsidRPr="00076B99">
        <w:rPr>
          <w:lang w:val="en-US"/>
        </w:rPr>
        <w:t>provision Nos.</w:t>
      </w:r>
      <w:r w:rsidR="00750FB1">
        <w:rPr>
          <w:lang w:val="en-US"/>
        </w:rPr>
        <w:t xml:space="preserve"> </w:t>
      </w:r>
      <w:r w:rsidR="00E61478" w:rsidRPr="00076B99">
        <w:rPr>
          <w:b/>
          <w:bCs/>
          <w:lang w:val="en-US"/>
        </w:rPr>
        <w:t xml:space="preserve">11.44.1 </w:t>
      </w:r>
      <w:r w:rsidR="00E61478" w:rsidRPr="00076B99">
        <w:rPr>
          <w:lang w:val="en-US"/>
        </w:rPr>
        <w:t xml:space="preserve">and </w:t>
      </w:r>
      <w:r w:rsidR="00E61478" w:rsidRPr="00076B99">
        <w:rPr>
          <w:b/>
          <w:bCs/>
          <w:lang w:val="en-US"/>
        </w:rPr>
        <w:t xml:space="preserve">11.48 </w:t>
      </w:r>
      <w:r w:rsidR="00156F75" w:rsidRPr="00076B99">
        <w:rPr>
          <w:lang w:val="en-US"/>
        </w:rPr>
        <w:t>that entered into force on 1</w:t>
      </w:r>
      <w:r w:rsidR="00A17B5A" w:rsidRPr="00076B99">
        <w:rPr>
          <w:lang w:val="en-US"/>
        </w:rPr>
        <w:t>8</w:t>
      </w:r>
      <w:r w:rsidR="00156F75" w:rsidRPr="00076B99">
        <w:rPr>
          <w:lang w:val="en-US"/>
        </w:rPr>
        <w:t xml:space="preserve"> </w:t>
      </w:r>
      <w:r w:rsidR="00A17B5A" w:rsidRPr="00076B99">
        <w:rPr>
          <w:lang w:val="en-US"/>
        </w:rPr>
        <w:t xml:space="preserve">February </w:t>
      </w:r>
      <w:r w:rsidR="00156F75" w:rsidRPr="00076B99">
        <w:rPr>
          <w:lang w:val="en-US"/>
        </w:rPr>
        <w:t>20</w:t>
      </w:r>
      <w:r w:rsidR="00A17B5A" w:rsidRPr="00076B99">
        <w:rPr>
          <w:lang w:val="en-US"/>
        </w:rPr>
        <w:t>12</w:t>
      </w:r>
      <w:r w:rsidR="001A3E55">
        <w:rPr>
          <w:lang w:val="en-US"/>
        </w:rPr>
        <w:t xml:space="preserve"> </w:t>
      </w:r>
      <w:r w:rsidR="001A3E55" w:rsidRPr="00BB5DD2">
        <w:rPr>
          <w:lang w:val="en-US"/>
        </w:rPr>
        <w:t>related</w:t>
      </w:r>
      <w:r w:rsidR="001A3E55">
        <w:rPr>
          <w:lang w:val="en-US"/>
        </w:rPr>
        <w:t xml:space="preserve"> to suppression of special sections for which notification or due diligence information is not submitted within the regulatory time limit specified in the Radio Regulations</w:t>
      </w:r>
      <w:r w:rsidR="006A4D69">
        <w:rPr>
          <w:lang w:val="en-US"/>
        </w:rPr>
        <w:t>.</w:t>
      </w:r>
    </w:p>
    <w:p w:rsidR="00156F75" w:rsidRPr="00076B99" w:rsidRDefault="00BB5DD2" w:rsidP="00BB5DD2">
      <w:pPr>
        <w:tabs>
          <w:tab w:val="clear" w:pos="794"/>
          <w:tab w:val="clear" w:pos="1191"/>
          <w:tab w:val="clear" w:pos="1588"/>
          <w:tab w:val="clear" w:pos="1985"/>
          <w:tab w:val="left" w:pos="0"/>
        </w:tabs>
        <w:spacing w:before="240"/>
        <w:rPr>
          <w:lang w:val="en-US"/>
        </w:rPr>
      </w:pPr>
      <w:r>
        <w:rPr>
          <w:lang w:val="en-US"/>
        </w:rPr>
        <w:t>6</w:t>
      </w:r>
      <w:r w:rsidR="00156F75" w:rsidRPr="00076B99">
        <w:rPr>
          <w:lang w:val="en-US"/>
        </w:rPr>
        <w:tab/>
        <w:t>WRC-</w:t>
      </w:r>
      <w:r w:rsidR="0010144B" w:rsidRPr="00076B99">
        <w:rPr>
          <w:lang w:val="en-US"/>
        </w:rPr>
        <w:t>12</w:t>
      </w:r>
      <w:r w:rsidR="00156F75" w:rsidRPr="00076B99">
        <w:rPr>
          <w:lang w:val="en-US"/>
        </w:rPr>
        <w:t xml:space="preserve"> revised several Resolutions and Recommendations from previous conferences and adopted several new Resolutions and Recommendations. As a general rule, new and revised Resolutions and Recommendations enter into force at the time of signing the Final Acts of a conference. With respect to the Resolutions and Recommendations, which became effective on 1</w:t>
      </w:r>
      <w:r w:rsidR="0010144B" w:rsidRPr="00076B99">
        <w:rPr>
          <w:lang w:val="en-US"/>
        </w:rPr>
        <w:t>8</w:t>
      </w:r>
      <w:r w:rsidR="00156F75" w:rsidRPr="00076B99">
        <w:rPr>
          <w:lang w:val="en-US"/>
        </w:rPr>
        <w:t> </w:t>
      </w:r>
      <w:r w:rsidR="0010144B" w:rsidRPr="00076B99">
        <w:rPr>
          <w:lang w:val="en-US"/>
        </w:rPr>
        <w:t xml:space="preserve">February </w:t>
      </w:r>
      <w:r w:rsidR="00156F75" w:rsidRPr="00076B99">
        <w:rPr>
          <w:lang w:val="en-US"/>
        </w:rPr>
        <w:t>20</w:t>
      </w:r>
      <w:r w:rsidR="0010144B" w:rsidRPr="00076B99">
        <w:rPr>
          <w:lang w:val="en-US"/>
        </w:rPr>
        <w:t>12</w:t>
      </w:r>
      <w:r w:rsidR="00156F75" w:rsidRPr="00076B99">
        <w:rPr>
          <w:lang w:val="en-US"/>
        </w:rPr>
        <w:t>, the following need</w:t>
      </w:r>
      <w:r w:rsidR="00A66E40">
        <w:rPr>
          <w:lang w:val="en-US"/>
        </w:rPr>
        <w:t>s</w:t>
      </w:r>
      <w:r w:rsidR="00156F75" w:rsidRPr="00076B99">
        <w:rPr>
          <w:lang w:val="en-US"/>
        </w:rPr>
        <w:t xml:space="preserve"> special mention:</w:t>
      </w:r>
    </w:p>
    <w:p w:rsidR="001F1D0D" w:rsidRDefault="00BB5DD2" w:rsidP="0077214B">
      <w:pPr>
        <w:spacing w:before="240"/>
        <w:rPr>
          <w:rFonts w:ascii="TimesNewRoman" w:hAnsi="TimesNewRoman" w:cs="TimesNewRoman"/>
          <w:szCs w:val="24"/>
          <w:lang w:eastAsia="en-CA"/>
        </w:rPr>
      </w:pPr>
      <w:r>
        <w:rPr>
          <w:lang w:val="en-US"/>
        </w:rPr>
        <w:t>6</w:t>
      </w:r>
      <w:r w:rsidR="00156F75" w:rsidRPr="00076B99">
        <w:rPr>
          <w:lang w:val="en-US"/>
        </w:rPr>
        <w:t>.1</w:t>
      </w:r>
      <w:r w:rsidR="00156F75" w:rsidRPr="00076B99">
        <w:rPr>
          <w:lang w:val="en-US"/>
        </w:rPr>
        <w:tab/>
      </w:r>
      <w:r w:rsidR="00156F75" w:rsidRPr="00076B99">
        <w:rPr>
          <w:i/>
          <w:iCs/>
          <w:lang w:val="en-US"/>
        </w:rPr>
        <w:t xml:space="preserve">Resolution </w:t>
      </w:r>
      <w:r w:rsidR="006932B4" w:rsidRPr="006932B4">
        <w:rPr>
          <w:b/>
          <w:bCs/>
          <w:i/>
          <w:iCs/>
          <w:lang w:val="en-US"/>
        </w:rPr>
        <w:t>55 (Rev.WRC-12)</w:t>
      </w:r>
      <w:r w:rsidR="00156F75" w:rsidRPr="00076B99">
        <w:rPr>
          <w:i/>
          <w:iCs/>
          <w:lang w:val="en-US"/>
        </w:rPr>
        <w:t xml:space="preserve"> dealing with electronic submission of notice forms for satellite networks, earth stations and radio astronomy stations:</w:t>
      </w:r>
      <w:r w:rsidR="00156F75" w:rsidRPr="00076B99">
        <w:rPr>
          <w:rFonts w:cs="Arial"/>
          <w:szCs w:val="24"/>
        </w:rPr>
        <w:t xml:space="preserve"> in addition to all notices for satellite networks</w:t>
      </w:r>
      <w:r w:rsidR="00FE3DF6">
        <w:rPr>
          <w:rFonts w:cs="Arial"/>
          <w:szCs w:val="24"/>
        </w:rPr>
        <w:t xml:space="preserve"> and </w:t>
      </w:r>
      <w:r w:rsidR="005F16A8" w:rsidRPr="00076B99">
        <w:t>comments/objections submitted to the Bureau in accordance with Nos. </w:t>
      </w:r>
      <w:r w:rsidR="005F16A8" w:rsidRPr="00076B99">
        <w:rPr>
          <w:b/>
        </w:rPr>
        <w:t>9.3</w:t>
      </w:r>
      <w:r w:rsidR="005F16A8" w:rsidRPr="00076B99">
        <w:t xml:space="preserve"> and </w:t>
      </w:r>
      <w:r w:rsidR="005F16A8" w:rsidRPr="00076B99">
        <w:rPr>
          <w:b/>
        </w:rPr>
        <w:t>9.52</w:t>
      </w:r>
      <w:r w:rsidR="005F16A8" w:rsidRPr="00076B99">
        <w:t xml:space="preserve"> with respect to Nos. </w:t>
      </w:r>
      <w:r w:rsidR="005F16A8" w:rsidRPr="00076B99">
        <w:rPr>
          <w:b/>
          <w:bCs/>
        </w:rPr>
        <w:t>9.11</w:t>
      </w:r>
      <w:r w:rsidR="005F16A8" w:rsidRPr="00076B99">
        <w:t xml:space="preserve"> to </w:t>
      </w:r>
      <w:r w:rsidR="005F16A8" w:rsidRPr="00076B99">
        <w:rPr>
          <w:b/>
          <w:bCs/>
        </w:rPr>
        <w:t>9.14</w:t>
      </w:r>
      <w:r w:rsidR="005F16A8" w:rsidRPr="00076B99">
        <w:t xml:space="preserve"> and </w:t>
      </w:r>
      <w:r w:rsidR="005F16A8" w:rsidRPr="00076B99">
        <w:rPr>
          <w:b/>
          <w:bCs/>
        </w:rPr>
        <w:t>9.21</w:t>
      </w:r>
      <w:r w:rsidR="005F16A8" w:rsidRPr="00076B99">
        <w:t xml:space="preserve"> of Article </w:t>
      </w:r>
      <w:r w:rsidR="005F16A8" w:rsidRPr="00076B99">
        <w:rPr>
          <w:b/>
        </w:rPr>
        <w:t>9</w:t>
      </w:r>
      <w:r w:rsidR="005F16A8" w:rsidRPr="00076B99">
        <w:t>, or in accordance with §§ 4.1.7, 4.1.9, 4.1.10, 4.2.10, 4.2.13 or 4.2.14 of Appendices </w:t>
      </w:r>
      <w:r w:rsidR="005F16A8" w:rsidRPr="00076B99">
        <w:rPr>
          <w:b/>
        </w:rPr>
        <w:t>30</w:t>
      </w:r>
      <w:r w:rsidR="005F16A8" w:rsidRPr="00076B99">
        <w:t xml:space="preserve"> and </w:t>
      </w:r>
      <w:r w:rsidR="005F16A8" w:rsidRPr="00076B99">
        <w:rPr>
          <w:b/>
        </w:rPr>
        <w:t>30A</w:t>
      </w:r>
      <w:r w:rsidR="005F16A8" w:rsidRPr="00076B99">
        <w:t xml:space="preserve"> with respect to modification to the Region 2 </w:t>
      </w:r>
      <w:r w:rsidR="005F16A8" w:rsidRPr="00076B99">
        <w:lastRenderedPageBreak/>
        <w:t xml:space="preserve">Plan or to additional uses in Regions 1 and 3 under Article 4 and use of the </w:t>
      </w:r>
      <w:proofErr w:type="spellStart"/>
      <w:r w:rsidR="005F16A8" w:rsidRPr="00076B99">
        <w:t>guardbands</w:t>
      </w:r>
      <w:proofErr w:type="spellEnd"/>
      <w:r w:rsidR="005F16A8" w:rsidRPr="00076B99">
        <w:t xml:space="preserve"> under Article 2A of those Appendices, </w:t>
      </w:r>
      <w:r w:rsidR="005F16A8" w:rsidRPr="00076B99">
        <w:rPr>
          <w:rFonts w:ascii="TimesNewRoman" w:hAnsi="TimesNewRoman" w:cs="TimesNewRoman"/>
          <w:szCs w:val="24"/>
          <w:lang w:eastAsia="en-CA"/>
        </w:rPr>
        <w:t>as from 18 February 2012, all requests for inclusion or exclusion submitted to the Bureau under No. </w:t>
      </w:r>
      <w:r w:rsidR="005F16A8" w:rsidRPr="00076B99">
        <w:rPr>
          <w:rFonts w:ascii="TimesNewRoman" w:hAnsi="TimesNewRoman" w:cs="TimesNewRoman"/>
          <w:b/>
          <w:szCs w:val="24"/>
          <w:lang w:eastAsia="en-CA"/>
        </w:rPr>
        <w:t>9.41</w:t>
      </w:r>
      <w:r w:rsidR="005F16A8" w:rsidRPr="00076B99">
        <w:rPr>
          <w:rFonts w:ascii="TimesNewRoman" w:hAnsi="TimesNewRoman" w:cs="TimesNewRoman"/>
          <w:szCs w:val="24"/>
          <w:lang w:eastAsia="en-CA"/>
        </w:rPr>
        <w:t xml:space="preserve"> of Article </w:t>
      </w:r>
      <w:r w:rsidR="005F16A8" w:rsidRPr="00076B99">
        <w:rPr>
          <w:rFonts w:ascii="TimesNewRoman" w:hAnsi="TimesNewRoman" w:cs="TimesNewRoman"/>
          <w:b/>
          <w:szCs w:val="24"/>
          <w:lang w:eastAsia="en-CA"/>
        </w:rPr>
        <w:t>9</w:t>
      </w:r>
      <w:r w:rsidR="005F16A8" w:rsidRPr="00076B99">
        <w:rPr>
          <w:rFonts w:ascii="TimesNewRoman" w:hAnsi="TimesNewRoman" w:cs="TimesNewRoman"/>
          <w:szCs w:val="24"/>
          <w:lang w:eastAsia="en-CA"/>
        </w:rPr>
        <w:t xml:space="preserve"> shall </w:t>
      </w:r>
      <w:r w:rsidR="00D903AA">
        <w:rPr>
          <w:rFonts w:ascii="TimesNewRoman" w:hAnsi="TimesNewRoman" w:cs="TimesNewRoman"/>
          <w:szCs w:val="24"/>
          <w:lang w:eastAsia="en-CA"/>
        </w:rPr>
        <w:t xml:space="preserve">also </w:t>
      </w:r>
      <w:r w:rsidR="005F16A8" w:rsidRPr="00076B99">
        <w:rPr>
          <w:rFonts w:ascii="TimesNewRoman" w:hAnsi="TimesNewRoman" w:cs="TimesNewRoman"/>
          <w:szCs w:val="24"/>
          <w:lang w:eastAsia="en-CA"/>
        </w:rPr>
        <w:t>be submitted in electronic format compatible with the BR electronic notice form capture software;</w:t>
      </w:r>
    </w:p>
    <w:p w:rsidR="00182958" w:rsidRDefault="00BB5DD2" w:rsidP="00BB5DD2">
      <w:pPr>
        <w:spacing w:before="240"/>
        <w:rPr>
          <w:lang w:val="en-US"/>
        </w:rPr>
      </w:pPr>
      <w:r>
        <w:rPr>
          <w:rFonts w:ascii="TimesNewRoman" w:hAnsi="TimesNewRoman" w:cs="TimesNewRoman"/>
          <w:szCs w:val="24"/>
          <w:lang w:eastAsia="en-CA"/>
        </w:rPr>
        <w:t>6</w:t>
      </w:r>
      <w:r w:rsidR="00182958">
        <w:rPr>
          <w:rFonts w:ascii="TimesNewRoman" w:hAnsi="TimesNewRoman" w:cs="TimesNewRoman"/>
          <w:szCs w:val="24"/>
          <w:lang w:eastAsia="en-CA"/>
        </w:rPr>
        <w:t>.2</w:t>
      </w:r>
      <w:r w:rsidR="00182958">
        <w:rPr>
          <w:rFonts w:ascii="TimesNewRoman" w:hAnsi="TimesNewRoman" w:cs="TimesNewRoman"/>
          <w:szCs w:val="24"/>
          <w:lang w:eastAsia="en-CA"/>
        </w:rPr>
        <w:tab/>
      </w:r>
      <w:r w:rsidR="007450C8" w:rsidRPr="004064FD">
        <w:rPr>
          <w:i/>
          <w:iCs/>
        </w:rPr>
        <w:t xml:space="preserve">Resolution </w:t>
      </w:r>
      <w:r w:rsidR="007450C8" w:rsidRPr="004064FD">
        <w:rPr>
          <w:b/>
          <w:bCs/>
          <w:i/>
          <w:iCs/>
        </w:rPr>
        <w:t xml:space="preserve">150 </w:t>
      </w:r>
      <w:r w:rsidR="00E125C3" w:rsidRPr="005D2A66">
        <w:rPr>
          <w:b/>
          <w:bCs/>
          <w:i/>
          <w:iCs/>
        </w:rPr>
        <w:t>(WRC-12)</w:t>
      </w:r>
      <w:r w:rsidR="00E125C3">
        <w:rPr>
          <w:b/>
          <w:bCs/>
          <w:i/>
          <w:iCs/>
        </w:rPr>
        <w:t xml:space="preserve"> </w:t>
      </w:r>
      <w:r w:rsidR="007450C8" w:rsidRPr="004064FD">
        <w:rPr>
          <w:i/>
          <w:iCs/>
        </w:rPr>
        <w:t xml:space="preserve">dealing with </w:t>
      </w:r>
      <w:r w:rsidR="00182958">
        <w:rPr>
          <w:i/>
          <w:iCs/>
        </w:rPr>
        <w:t>the use of the bands 6</w:t>
      </w:r>
      <w:r w:rsidR="009B655E">
        <w:rPr>
          <w:i/>
          <w:iCs/>
        </w:rPr>
        <w:t xml:space="preserve"> </w:t>
      </w:r>
      <w:r w:rsidR="00182958">
        <w:rPr>
          <w:i/>
          <w:iCs/>
        </w:rPr>
        <w:t>440</w:t>
      </w:r>
      <w:r w:rsidR="00626783">
        <w:rPr>
          <w:i/>
          <w:iCs/>
        </w:rPr>
        <w:t>-</w:t>
      </w:r>
      <w:r w:rsidR="00182958">
        <w:rPr>
          <w:i/>
          <w:iCs/>
        </w:rPr>
        <w:t>6</w:t>
      </w:r>
      <w:r w:rsidR="009B655E">
        <w:rPr>
          <w:i/>
          <w:iCs/>
        </w:rPr>
        <w:t xml:space="preserve"> </w:t>
      </w:r>
      <w:r w:rsidR="00182958">
        <w:rPr>
          <w:i/>
          <w:iCs/>
        </w:rPr>
        <w:t xml:space="preserve">520 </w:t>
      </w:r>
      <w:r w:rsidR="009B655E">
        <w:rPr>
          <w:i/>
          <w:iCs/>
        </w:rPr>
        <w:t>MHz a</w:t>
      </w:r>
      <w:r w:rsidR="00182958">
        <w:rPr>
          <w:i/>
          <w:iCs/>
        </w:rPr>
        <w:t>nd</w:t>
      </w:r>
      <w:r w:rsidR="0077214B">
        <w:rPr>
          <w:i/>
          <w:iCs/>
        </w:rPr>
        <w:br/>
      </w:r>
      <w:r w:rsidR="00182958">
        <w:rPr>
          <w:i/>
          <w:iCs/>
        </w:rPr>
        <w:t>6</w:t>
      </w:r>
      <w:r w:rsidR="009B655E">
        <w:rPr>
          <w:i/>
          <w:iCs/>
        </w:rPr>
        <w:t xml:space="preserve"> </w:t>
      </w:r>
      <w:r w:rsidR="00182958">
        <w:rPr>
          <w:i/>
          <w:iCs/>
        </w:rPr>
        <w:t>560</w:t>
      </w:r>
      <w:r w:rsidR="00626783">
        <w:rPr>
          <w:i/>
          <w:iCs/>
        </w:rPr>
        <w:t>-</w:t>
      </w:r>
      <w:r w:rsidR="00182958">
        <w:rPr>
          <w:i/>
          <w:iCs/>
        </w:rPr>
        <w:t>6</w:t>
      </w:r>
      <w:r w:rsidR="009B655E">
        <w:rPr>
          <w:i/>
          <w:iCs/>
        </w:rPr>
        <w:t xml:space="preserve"> </w:t>
      </w:r>
      <w:r w:rsidR="00182958">
        <w:rPr>
          <w:i/>
          <w:iCs/>
        </w:rPr>
        <w:t xml:space="preserve">640 MHZ by </w:t>
      </w:r>
      <w:r w:rsidR="00182958" w:rsidRPr="005D2A66">
        <w:rPr>
          <w:i/>
          <w:iCs/>
        </w:rPr>
        <w:t>gateways</w:t>
      </w:r>
      <w:r w:rsidR="00182958" w:rsidRPr="00182958">
        <w:rPr>
          <w:i/>
          <w:iCs/>
        </w:rPr>
        <w:t xml:space="preserve"> </w:t>
      </w:r>
      <w:r w:rsidR="00182958">
        <w:rPr>
          <w:i/>
          <w:iCs/>
        </w:rPr>
        <w:t xml:space="preserve">links for </w:t>
      </w:r>
      <w:r w:rsidR="007450C8" w:rsidRPr="004064FD">
        <w:rPr>
          <w:i/>
          <w:iCs/>
        </w:rPr>
        <w:t>HAPS</w:t>
      </w:r>
      <w:r w:rsidR="00182958">
        <w:t xml:space="preserve">: WRC-12 </w:t>
      </w:r>
      <w:r w:rsidR="009B655E">
        <w:t>imposed</w:t>
      </w:r>
      <w:r w:rsidR="00182958">
        <w:t xml:space="preserve"> a number of limitations on</w:t>
      </w:r>
      <w:r w:rsidR="0077214B">
        <w:br/>
      </w:r>
      <w:r w:rsidR="00182958">
        <w:t xml:space="preserve">these systems, </w:t>
      </w:r>
      <w:r w:rsidR="009B655E">
        <w:t xml:space="preserve">it </w:t>
      </w:r>
      <w:r w:rsidR="00182958">
        <w:t xml:space="preserve">made their notification </w:t>
      </w:r>
      <w:r w:rsidR="009B655E">
        <w:t>and</w:t>
      </w:r>
      <w:r w:rsidR="00182958">
        <w:t xml:space="preserve"> recording in the MIFR mandatory and invited administrations and the BR to identify </w:t>
      </w:r>
      <w:r w:rsidR="009B655E">
        <w:t>the</w:t>
      </w:r>
      <w:r w:rsidR="00182958">
        <w:t xml:space="preserve"> data items</w:t>
      </w:r>
      <w:r w:rsidR="009B655E">
        <w:t xml:space="preserve"> required </w:t>
      </w:r>
      <w:r w:rsidR="00182958">
        <w:t xml:space="preserve">for notification and examinations of frequency assignments to HAPS. </w:t>
      </w:r>
      <w:r w:rsidR="00182958" w:rsidRPr="002C5EC4">
        <w:rPr>
          <w:lang w:val="en-US"/>
        </w:rPr>
        <w:t xml:space="preserve">The </w:t>
      </w:r>
      <w:r w:rsidR="00182958">
        <w:rPr>
          <w:lang w:val="en-US"/>
        </w:rPr>
        <w:t xml:space="preserve">Bureau wishes to inform the membership that </w:t>
      </w:r>
      <w:r w:rsidR="002C53C4">
        <w:rPr>
          <w:lang w:val="en-US"/>
        </w:rPr>
        <w:t>the</w:t>
      </w:r>
      <w:r w:rsidR="00182958">
        <w:rPr>
          <w:lang w:val="en-US"/>
        </w:rPr>
        <w:t xml:space="preserve"> list of </w:t>
      </w:r>
      <w:r w:rsidR="002C53C4">
        <w:rPr>
          <w:lang w:val="en-US"/>
        </w:rPr>
        <w:t xml:space="preserve">the </w:t>
      </w:r>
      <w:r w:rsidR="00182958">
        <w:rPr>
          <w:lang w:val="en-US"/>
        </w:rPr>
        <w:t>relevant data items</w:t>
      </w:r>
      <w:r w:rsidR="002C53C4">
        <w:rPr>
          <w:lang w:val="en-US"/>
        </w:rPr>
        <w:t xml:space="preserve"> </w:t>
      </w:r>
      <w:r w:rsidR="008E46B2">
        <w:rPr>
          <w:lang w:val="en-US"/>
        </w:rPr>
        <w:t xml:space="preserve">needed for notification </w:t>
      </w:r>
      <w:r w:rsidR="002C53C4">
        <w:rPr>
          <w:lang w:val="en-US"/>
        </w:rPr>
        <w:t xml:space="preserve">is currently under review in the BR. Once this activity is completed, the results will be </w:t>
      </w:r>
      <w:r w:rsidR="00182958">
        <w:rPr>
          <w:lang w:val="en-US"/>
        </w:rPr>
        <w:t>coordinated with the administrations concerned</w:t>
      </w:r>
      <w:r w:rsidR="008D5DE2">
        <w:rPr>
          <w:lang w:val="en-US"/>
        </w:rPr>
        <w:t>,</w:t>
      </w:r>
      <w:r w:rsidR="001038A2">
        <w:rPr>
          <w:lang w:val="en-US"/>
        </w:rPr>
        <w:t xml:space="preserve"> as</w:t>
      </w:r>
      <w:r w:rsidR="008E46B2">
        <w:rPr>
          <w:lang w:val="en-US"/>
        </w:rPr>
        <w:t xml:space="preserve"> required by this Resolution</w:t>
      </w:r>
      <w:r w:rsidR="008D5DE2">
        <w:rPr>
          <w:lang w:val="en-US"/>
        </w:rPr>
        <w:t>;</w:t>
      </w:r>
    </w:p>
    <w:p w:rsidR="008D5DE2" w:rsidRDefault="00BB5DD2" w:rsidP="00BB5DD2">
      <w:pPr>
        <w:spacing w:before="240"/>
        <w:rPr>
          <w:i/>
          <w:iCs/>
        </w:rPr>
      </w:pPr>
      <w:r>
        <w:rPr>
          <w:lang w:val="en-US"/>
        </w:rPr>
        <w:t>6</w:t>
      </w:r>
      <w:r w:rsidR="008D5DE2">
        <w:rPr>
          <w:lang w:val="en-US"/>
        </w:rPr>
        <w:t>.3</w:t>
      </w:r>
      <w:r w:rsidR="008D5DE2">
        <w:rPr>
          <w:lang w:val="en-US"/>
        </w:rPr>
        <w:tab/>
      </w:r>
      <w:r w:rsidR="007450C8" w:rsidRPr="004064FD">
        <w:rPr>
          <w:i/>
          <w:iCs/>
        </w:rPr>
        <w:t xml:space="preserve">Resolution </w:t>
      </w:r>
      <w:r w:rsidR="007450C8" w:rsidRPr="004064FD">
        <w:rPr>
          <w:b/>
          <w:bCs/>
          <w:i/>
          <w:iCs/>
        </w:rPr>
        <w:t>417 (Rev.WRC-12)</w:t>
      </w:r>
      <w:r w:rsidR="007450C8" w:rsidRPr="004064FD">
        <w:rPr>
          <w:i/>
          <w:iCs/>
        </w:rPr>
        <w:t xml:space="preserve"> dealing with </w:t>
      </w:r>
      <w:r w:rsidR="00626783">
        <w:rPr>
          <w:i/>
          <w:iCs/>
        </w:rPr>
        <w:t xml:space="preserve">the </w:t>
      </w:r>
      <w:r w:rsidR="001E6C74" w:rsidRPr="001E6C74">
        <w:rPr>
          <w:i/>
          <w:iCs/>
          <w:rPrChange w:id="7" w:author="Vassiliev, Nikolai" w:date="2012-07-01T15:15:00Z">
            <w:rPr/>
          </w:rPrChange>
        </w:rPr>
        <w:t>use of the band 960</w:t>
      </w:r>
      <w:r w:rsidR="00626783">
        <w:rPr>
          <w:i/>
          <w:iCs/>
        </w:rPr>
        <w:t>-</w:t>
      </w:r>
      <w:r w:rsidR="007450C8" w:rsidRPr="004064FD">
        <w:rPr>
          <w:i/>
          <w:iCs/>
        </w:rPr>
        <w:t>1</w:t>
      </w:r>
      <w:r w:rsidR="00C10B58">
        <w:rPr>
          <w:i/>
          <w:iCs/>
        </w:rPr>
        <w:t xml:space="preserve"> </w:t>
      </w:r>
      <w:r w:rsidR="007450C8" w:rsidRPr="004064FD">
        <w:rPr>
          <w:i/>
          <w:iCs/>
        </w:rPr>
        <w:t>164 MHz</w:t>
      </w:r>
      <w:r w:rsidR="008D5DE2">
        <w:rPr>
          <w:i/>
          <w:iCs/>
        </w:rPr>
        <w:t xml:space="preserve"> by aeronautical mobile (R)</w:t>
      </w:r>
      <w:r w:rsidR="00A94E72">
        <w:rPr>
          <w:i/>
          <w:iCs/>
        </w:rPr>
        <w:t xml:space="preserve"> service</w:t>
      </w:r>
      <w:r w:rsidR="008D5DE2">
        <w:t xml:space="preserve">: WRC-12 introduced </w:t>
      </w:r>
      <w:r w:rsidR="008E46B2">
        <w:t xml:space="preserve">several </w:t>
      </w:r>
      <w:r w:rsidR="008D5DE2">
        <w:t xml:space="preserve">new conditions for the use of </w:t>
      </w:r>
      <w:r w:rsidR="008E46B2">
        <w:t xml:space="preserve">the </w:t>
      </w:r>
      <w:r w:rsidR="007450C8" w:rsidRPr="004064FD">
        <w:t>aeronautical mobile (R) service</w:t>
      </w:r>
      <w:r w:rsidR="00A94E72">
        <w:t>. These conditions</w:t>
      </w:r>
      <w:r w:rsidR="007450C8" w:rsidRPr="004064FD">
        <w:t xml:space="preserve"> </w:t>
      </w:r>
      <w:r w:rsidR="008D5DE2" w:rsidRPr="00A94E72">
        <w:t>includ</w:t>
      </w:r>
      <w:r w:rsidR="00A94E72">
        <w:t>e</w:t>
      </w:r>
      <w:r w:rsidR="008D5DE2">
        <w:t xml:space="preserve"> </w:t>
      </w:r>
      <w:r w:rsidR="00A94E72">
        <w:t xml:space="preserve">the requirement </w:t>
      </w:r>
      <w:r w:rsidR="008E46B2">
        <w:t>of</w:t>
      </w:r>
      <w:r w:rsidR="00A94E72">
        <w:t xml:space="preserve"> coordinat</w:t>
      </w:r>
      <w:r w:rsidR="008E46B2">
        <w:t>ion</w:t>
      </w:r>
      <w:r w:rsidR="008D5DE2">
        <w:t xml:space="preserve"> with ARNS systems of </w:t>
      </w:r>
      <w:r w:rsidR="00A94E72">
        <w:t>the</w:t>
      </w:r>
      <w:r w:rsidR="008D5DE2">
        <w:t xml:space="preserve"> </w:t>
      </w:r>
      <w:r w:rsidR="00A94E72">
        <w:t xml:space="preserve">countries listed in </w:t>
      </w:r>
      <w:r w:rsidR="007450C8" w:rsidRPr="004064FD">
        <w:rPr>
          <w:i/>
          <w:iCs/>
        </w:rPr>
        <w:t>resolves 2</w:t>
      </w:r>
      <w:r w:rsidR="008D5DE2">
        <w:t xml:space="preserve"> and new power limits </w:t>
      </w:r>
      <w:r w:rsidR="008E46B2">
        <w:t>contained in</w:t>
      </w:r>
      <w:r w:rsidR="00A94E72">
        <w:t xml:space="preserve"> </w:t>
      </w:r>
      <w:r w:rsidR="00A94E72" w:rsidRPr="005D2A66">
        <w:rPr>
          <w:i/>
          <w:iCs/>
        </w:rPr>
        <w:t>resolves 6</w:t>
      </w:r>
      <w:r w:rsidR="00A94E72">
        <w:rPr>
          <w:i/>
          <w:iCs/>
        </w:rPr>
        <w:t xml:space="preserve"> </w:t>
      </w:r>
      <w:r w:rsidR="008E46B2">
        <w:t>in order t</w:t>
      </w:r>
      <w:r w:rsidR="008D5DE2">
        <w:t>o protect RNSS systems operat</w:t>
      </w:r>
      <w:r w:rsidR="00A94E72">
        <w:t xml:space="preserve">ing in the adjacent </w:t>
      </w:r>
      <w:r w:rsidR="00C10B58">
        <w:t xml:space="preserve">upper </w:t>
      </w:r>
      <w:r w:rsidR="00A94E72">
        <w:t>band</w:t>
      </w:r>
      <w:r w:rsidR="008D5DE2">
        <w:t xml:space="preserve">. These new requirements will apply from 1 January 2013 since No. </w:t>
      </w:r>
      <w:r w:rsidR="007450C8" w:rsidRPr="004064FD">
        <w:rPr>
          <w:b/>
          <w:bCs/>
        </w:rPr>
        <w:t>5.327A</w:t>
      </w:r>
      <w:r w:rsidR="00A94E72">
        <w:t>,</w:t>
      </w:r>
      <w:r w:rsidR="008D5DE2">
        <w:t xml:space="preserve"> that makes this Resolution mandatory</w:t>
      </w:r>
      <w:r w:rsidR="00A94E72">
        <w:t xml:space="preserve"> for application,</w:t>
      </w:r>
      <w:r w:rsidR="008D5DE2">
        <w:t xml:space="preserve"> enters into force on that date. </w:t>
      </w:r>
      <w:r w:rsidR="00E125C3">
        <w:t>T</w:t>
      </w:r>
      <w:r w:rsidR="008D5DE2">
        <w:t>he attention of administrations is drawn</w:t>
      </w:r>
      <w:r w:rsidR="00B154CA">
        <w:t xml:space="preserve"> to the fact that the coordination pursuant to </w:t>
      </w:r>
      <w:r w:rsidR="007450C8" w:rsidRPr="004064FD">
        <w:rPr>
          <w:i/>
          <w:iCs/>
        </w:rPr>
        <w:t>resolves 2</w:t>
      </w:r>
      <w:r w:rsidR="00B154CA">
        <w:t xml:space="preserve"> </w:t>
      </w:r>
      <w:r w:rsidR="00A94E72">
        <w:t>should</w:t>
      </w:r>
      <w:r w:rsidR="00B154CA">
        <w:t xml:space="preserve"> be effected </w:t>
      </w:r>
      <w:r w:rsidR="00C10B58">
        <w:t xml:space="preserve">by administrations </w:t>
      </w:r>
      <w:r w:rsidR="00B154CA">
        <w:t xml:space="preserve">on a bilateral basis without involvement of the Bureau. </w:t>
      </w:r>
      <w:r w:rsidR="00A94E72">
        <w:t>With respect to</w:t>
      </w:r>
      <w:r w:rsidR="00B154CA">
        <w:t xml:space="preserve"> the power limits contained in </w:t>
      </w:r>
      <w:r w:rsidR="007450C8" w:rsidRPr="004064FD">
        <w:rPr>
          <w:i/>
          <w:iCs/>
        </w:rPr>
        <w:t>resolves</w:t>
      </w:r>
      <w:r w:rsidR="00B154CA">
        <w:t xml:space="preserve"> 6 of this Resolution, </w:t>
      </w:r>
      <w:r w:rsidR="00B154CA" w:rsidRPr="00FF37B7">
        <w:t xml:space="preserve">the Bureau </w:t>
      </w:r>
      <w:r w:rsidR="00B154CA">
        <w:t>will check the limits only for the band 960</w:t>
      </w:r>
      <w:r w:rsidR="00626783">
        <w:t>-</w:t>
      </w:r>
      <w:r w:rsidR="00B154CA">
        <w:t>1</w:t>
      </w:r>
      <w:r w:rsidR="0077214B">
        <w:t xml:space="preserve"> </w:t>
      </w:r>
      <w:r w:rsidR="00B154CA">
        <w:t>164 MHz and not fo</w:t>
      </w:r>
      <w:r w:rsidR="00A94E72">
        <w:t>r</w:t>
      </w:r>
      <w:r w:rsidR="00B154CA">
        <w:t xml:space="preserve"> the band 1164</w:t>
      </w:r>
      <w:r w:rsidR="00530ECC">
        <w:t>-</w:t>
      </w:r>
      <w:r w:rsidR="00B154CA">
        <w:t xml:space="preserve">1215 MHz since the </w:t>
      </w:r>
      <w:r w:rsidR="00E125C3">
        <w:t>out-of-band emissions into the frequency band 1</w:t>
      </w:r>
      <w:r w:rsidR="0077214B">
        <w:t xml:space="preserve"> </w:t>
      </w:r>
      <w:r w:rsidR="00E125C3">
        <w:t>164</w:t>
      </w:r>
      <w:r w:rsidR="00626783">
        <w:t>-</w:t>
      </w:r>
      <w:r w:rsidR="00E125C3">
        <w:t>1</w:t>
      </w:r>
      <w:r w:rsidR="0077214B">
        <w:t xml:space="preserve"> </w:t>
      </w:r>
      <w:r w:rsidR="00E125C3">
        <w:t xml:space="preserve">215 MHz are not notified to the BR </w:t>
      </w:r>
      <w:r w:rsidR="00C10B58">
        <w:t>due to the absence of corresponding data items in</w:t>
      </w:r>
      <w:r w:rsidR="00E125C3">
        <w:t xml:space="preserve"> Appendix </w:t>
      </w:r>
      <w:r w:rsidR="007450C8" w:rsidRPr="004064FD">
        <w:rPr>
          <w:b/>
          <w:bCs/>
        </w:rPr>
        <w:t>4</w:t>
      </w:r>
      <w:r w:rsidR="00A94E72">
        <w:t>;</w:t>
      </w:r>
    </w:p>
    <w:p w:rsidR="00156F75" w:rsidRPr="00C46271" w:rsidRDefault="00BB5DD2" w:rsidP="009B344F">
      <w:pPr>
        <w:tabs>
          <w:tab w:val="clear" w:pos="794"/>
          <w:tab w:val="clear" w:pos="1191"/>
          <w:tab w:val="clear" w:pos="1588"/>
          <w:tab w:val="clear" w:pos="1985"/>
          <w:tab w:val="left" w:pos="0"/>
        </w:tabs>
        <w:spacing w:before="240"/>
        <w:rPr>
          <w:b/>
          <w:bCs/>
          <w:lang w:val="en-US"/>
        </w:rPr>
      </w:pPr>
      <w:r>
        <w:t>6</w:t>
      </w:r>
      <w:r w:rsidR="00156F75" w:rsidRPr="00DE666B">
        <w:rPr>
          <w:lang w:val="en-US"/>
        </w:rPr>
        <w:t>.</w:t>
      </w:r>
      <w:r w:rsidR="00E125C3">
        <w:rPr>
          <w:lang w:val="en-US"/>
        </w:rPr>
        <w:t>4</w:t>
      </w:r>
      <w:r w:rsidR="00156F75" w:rsidRPr="00591BD6">
        <w:rPr>
          <w:b/>
          <w:bCs/>
          <w:lang w:val="en-US"/>
        </w:rPr>
        <w:tab/>
      </w:r>
      <w:r w:rsidR="00156F75" w:rsidRPr="00591BD6">
        <w:rPr>
          <w:i/>
          <w:iCs/>
          <w:lang w:val="en-US"/>
        </w:rPr>
        <w:t xml:space="preserve">Resolution </w:t>
      </w:r>
      <w:r w:rsidR="007450C8" w:rsidRPr="004064FD">
        <w:rPr>
          <w:b/>
          <w:bCs/>
          <w:i/>
          <w:iCs/>
          <w:lang w:val="en-US"/>
        </w:rPr>
        <w:t>755 (WRC-12)</w:t>
      </w:r>
      <w:r w:rsidR="00156F75" w:rsidRPr="00591BD6">
        <w:rPr>
          <w:i/>
          <w:iCs/>
          <w:lang w:val="en-US"/>
        </w:rPr>
        <w:t xml:space="preserve">, dealing with </w:t>
      </w:r>
      <w:r w:rsidR="003527B0" w:rsidRPr="00591BD6">
        <w:rPr>
          <w:i/>
          <w:iCs/>
          <w:lang w:val="en-US"/>
        </w:rPr>
        <w:t>power flux</w:t>
      </w:r>
      <w:r w:rsidR="0054795E">
        <w:rPr>
          <w:i/>
          <w:iCs/>
          <w:lang w:val="en-US"/>
        </w:rPr>
        <w:t>-</w:t>
      </w:r>
      <w:r w:rsidR="003527B0" w:rsidRPr="00591BD6">
        <w:rPr>
          <w:i/>
          <w:iCs/>
          <w:lang w:val="en-US"/>
        </w:rPr>
        <w:t>density limits for the transmitting stations in the band 21.</w:t>
      </w:r>
      <w:r w:rsidR="00573511" w:rsidRPr="00591BD6">
        <w:rPr>
          <w:i/>
          <w:iCs/>
          <w:lang w:val="en-US"/>
        </w:rPr>
        <w:t>4</w:t>
      </w:r>
      <w:r w:rsidR="003527B0" w:rsidRPr="00591BD6">
        <w:rPr>
          <w:i/>
          <w:iCs/>
          <w:lang w:val="en-US"/>
        </w:rPr>
        <w:t>-22</w:t>
      </w:r>
      <w:r w:rsidR="00334B1D" w:rsidRPr="00591BD6">
        <w:rPr>
          <w:i/>
          <w:iCs/>
          <w:lang w:val="en-US"/>
        </w:rPr>
        <w:t xml:space="preserve"> </w:t>
      </w:r>
      <w:r w:rsidR="003527B0" w:rsidRPr="00591BD6">
        <w:rPr>
          <w:i/>
          <w:iCs/>
          <w:lang w:val="en-US"/>
        </w:rPr>
        <w:t>GHz</w:t>
      </w:r>
      <w:r w:rsidR="003527B0" w:rsidRPr="004064FD">
        <w:rPr>
          <w:i/>
          <w:iCs/>
          <w:lang w:val="en-US"/>
        </w:rPr>
        <w:t>:</w:t>
      </w:r>
      <w:r w:rsidR="003527B0" w:rsidRPr="00591BD6">
        <w:rPr>
          <w:b/>
          <w:bCs/>
          <w:i/>
          <w:iCs/>
          <w:lang w:val="en-US"/>
        </w:rPr>
        <w:t xml:space="preserve"> </w:t>
      </w:r>
      <w:r w:rsidR="0054795E">
        <w:rPr>
          <w:lang w:val="en-US"/>
        </w:rPr>
        <w:t>t</w:t>
      </w:r>
      <w:r w:rsidR="00334B1D" w:rsidRPr="00591BD6">
        <w:rPr>
          <w:lang w:val="en-US"/>
        </w:rPr>
        <w:t xml:space="preserve">he </w:t>
      </w:r>
      <w:r w:rsidR="00AF1981">
        <w:rPr>
          <w:lang w:val="en-US"/>
        </w:rPr>
        <w:t>attention</w:t>
      </w:r>
      <w:r w:rsidR="00AF1981" w:rsidRPr="00591BD6">
        <w:rPr>
          <w:lang w:val="en-US"/>
        </w:rPr>
        <w:t xml:space="preserve"> </w:t>
      </w:r>
      <w:r w:rsidR="00573511" w:rsidRPr="00591BD6">
        <w:rPr>
          <w:lang w:val="en-US"/>
        </w:rPr>
        <w:t>o</w:t>
      </w:r>
      <w:r w:rsidR="00334B1D" w:rsidRPr="00591BD6">
        <w:rPr>
          <w:lang w:val="en-US"/>
        </w:rPr>
        <w:t xml:space="preserve">f </w:t>
      </w:r>
      <w:r w:rsidR="0054795E">
        <w:rPr>
          <w:lang w:val="en-US"/>
        </w:rPr>
        <w:t>a</w:t>
      </w:r>
      <w:r w:rsidR="00076B99" w:rsidRPr="00591BD6">
        <w:rPr>
          <w:lang w:val="en-US"/>
        </w:rPr>
        <w:t xml:space="preserve">dministrations </w:t>
      </w:r>
      <w:r w:rsidR="007A38C2" w:rsidRPr="00591BD6">
        <w:rPr>
          <w:lang w:val="en-US"/>
        </w:rPr>
        <w:t>has been</w:t>
      </w:r>
      <w:r w:rsidR="00334B1D" w:rsidRPr="00591BD6">
        <w:rPr>
          <w:lang w:val="en-US"/>
        </w:rPr>
        <w:t xml:space="preserve"> </w:t>
      </w:r>
      <w:r w:rsidR="00AF1981">
        <w:rPr>
          <w:lang w:val="en-US"/>
        </w:rPr>
        <w:t>drawn</w:t>
      </w:r>
      <w:r w:rsidR="00AF1981" w:rsidRPr="00591BD6">
        <w:rPr>
          <w:lang w:val="en-US"/>
        </w:rPr>
        <w:t xml:space="preserve"> </w:t>
      </w:r>
      <w:r w:rsidR="00334B1D" w:rsidRPr="00591BD6">
        <w:rPr>
          <w:lang w:val="en-US"/>
        </w:rPr>
        <w:t xml:space="preserve">to </w:t>
      </w:r>
      <w:r w:rsidR="00573511" w:rsidRPr="00591BD6">
        <w:rPr>
          <w:lang w:val="en-US"/>
        </w:rPr>
        <w:t xml:space="preserve">the decisions of the Conference in Resolution </w:t>
      </w:r>
      <w:r w:rsidR="007450C8" w:rsidRPr="004064FD">
        <w:rPr>
          <w:b/>
          <w:bCs/>
          <w:lang w:val="en-US"/>
        </w:rPr>
        <w:t>755 (WRC-12)</w:t>
      </w:r>
      <w:r w:rsidR="007A38C2" w:rsidRPr="00591BD6">
        <w:rPr>
          <w:lang w:val="en-US"/>
        </w:rPr>
        <w:t xml:space="preserve"> with Circular Letter CR/334 of 18 May 2012, in particular </w:t>
      </w:r>
      <w:r w:rsidR="007A38C2" w:rsidRPr="00591BD6">
        <w:rPr>
          <w:rFonts w:asciiTheme="majorBidi" w:hAnsiTheme="majorBidi" w:cstheme="majorBidi"/>
          <w:szCs w:val="24"/>
          <w:lang w:val="en-US"/>
        </w:rPr>
        <w:t xml:space="preserve">the pfd limits specified </w:t>
      </w:r>
      <w:r w:rsidR="00591BD6">
        <w:rPr>
          <w:rFonts w:asciiTheme="majorBidi" w:hAnsiTheme="majorBidi" w:cstheme="majorBidi"/>
          <w:szCs w:val="24"/>
          <w:lang w:val="en-US"/>
        </w:rPr>
        <w:t>in Table 21-4 of A</w:t>
      </w:r>
      <w:r w:rsidR="00591BD6" w:rsidRPr="00591BD6">
        <w:rPr>
          <w:rFonts w:asciiTheme="majorBidi" w:hAnsiTheme="majorBidi" w:cstheme="majorBidi"/>
          <w:szCs w:val="24"/>
          <w:lang w:val="en-US"/>
        </w:rPr>
        <w:t>r</w:t>
      </w:r>
      <w:r w:rsidR="00591BD6">
        <w:rPr>
          <w:rFonts w:asciiTheme="majorBidi" w:hAnsiTheme="majorBidi" w:cstheme="majorBidi"/>
          <w:szCs w:val="24"/>
          <w:lang w:val="en-US"/>
        </w:rPr>
        <w:t xml:space="preserve">ticle </w:t>
      </w:r>
      <w:r w:rsidR="007450C8" w:rsidRPr="004064FD">
        <w:rPr>
          <w:rFonts w:asciiTheme="majorBidi" w:hAnsiTheme="majorBidi" w:cstheme="majorBidi"/>
          <w:b/>
          <w:bCs/>
          <w:szCs w:val="24"/>
          <w:lang w:val="en-US"/>
        </w:rPr>
        <w:t>21</w:t>
      </w:r>
      <w:r w:rsidR="00591BD6" w:rsidRPr="00591BD6">
        <w:rPr>
          <w:rFonts w:asciiTheme="majorBidi" w:hAnsiTheme="majorBidi" w:cstheme="majorBidi"/>
          <w:szCs w:val="24"/>
          <w:lang w:val="en-US"/>
        </w:rPr>
        <w:t xml:space="preserve"> to be applied to frequency assignments</w:t>
      </w:r>
      <w:r w:rsidR="00591BD6">
        <w:rPr>
          <w:rFonts w:asciiTheme="majorBidi" w:hAnsiTheme="majorBidi" w:cstheme="majorBidi"/>
          <w:szCs w:val="24"/>
          <w:lang w:val="en-US"/>
        </w:rPr>
        <w:t xml:space="preserve"> </w:t>
      </w:r>
      <w:r w:rsidR="00591BD6" w:rsidRPr="00591BD6">
        <w:rPr>
          <w:rFonts w:asciiTheme="majorBidi" w:hAnsiTheme="majorBidi" w:cstheme="majorBidi"/>
          <w:szCs w:val="24"/>
          <w:lang w:val="en-US"/>
        </w:rPr>
        <w:t>in the BSS in Regio</w:t>
      </w:r>
      <w:r w:rsidR="00591BD6">
        <w:rPr>
          <w:rFonts w:asciiTheme="majorBidi" w:hAnsiTheme="majorBidi" w:cstheme="majorBidi"/>
          <w:szCs w:val="24"/>
          <w:lang w:val="en-US"/>
        </w:rPr>
        <w:t>n</w:t>
      </w:r>
      <w:r w:rsidR="00591BD6" w:rsidRPr="00591BD6">
        <w:rPr>
          <w:rFonts w:asciiTheme="majorBidi" w:hAnsiTheme="majorBidi" w:cstheme="majorBidi"/>
          <w:szCs w:val="24"/>
          <w:lang w:val="en-US"/>
        </w:rPr>
        <w:t>s 1 and 3</w:t>
      </w:r>
      <w:r w:rsidR="0054795E">
        <w:rPr>
          <w:rFonts w:asciiTheme="majorBidi" w:hAnsiTheme="majorBidi" w:cstheme="majorBidi"/>
          <w:szCs w:val="24"/>
          <w:lang w:val="en-US"/>
        </w:rPr>
        <w:t xml:space="preserve">. In addition, the pfd limit given in </w:t>
      </w:r>
      <w:r w:rsidR="0054795E">
        <w:rPr>
          <w:lang w:val="en-US"/>
        </w:rPr>
        <w:t xml:space="preserve">No. </w:t>
      </w:r>
      <w:r w:rsidR="0054795E" w:rsidRPr="00DE666B">
        <w:rPr>
          <w:b/>
          <w:bCs/>
          <w:lang w:val="en-US"/>
        </w:rPr>
        <w:t>5.530A</w:t>
      </w:r>
      <w:r w:rsidR="0054795E">
        <w:rPr>
          <w:b/>
          <w:bCs/>
          <w:lang w:val="en-US"/>
        </w:rPr>
        <w:t xml:space="preserve"> </w:t>
      </w:r>
      <w:r w:rsidR="00062FB1">
        <w:rPr>
          <w:lang w:val="en-US"/>
        </w:rPr>
        <w:t>is</w:t>
      </w:r>
      <w:r w:rsidR="00D42E11">
        <w:rPr>
          <w:lang w:val="en-US"/>
        </w:rPr>
        <w:t xml:space="preserve"> to be applied to </w:t>
      </w:r>
      <w:r w:rsidR="008173B6">
        <w:rPr>
          <w:lang w:val="en-US"/>
        </w:rPr>
        <w:t>all new</w:t>
      </w:r>
      <w:r w:rsidR="00D42E11">
        <w:rPr>
          <w:lang w:val="en-US"/>
        </w:rPr>
        <w:t xml:space="preserve"> </w:t>
      </w:r>
      <w:r w:rsidR="00062FB1">
        <w:rPr>
          <w:lang w:val="en-US"/>
        </w:rPr>
        <w:t xml:space="preserve">fixed and mobile service stations notified </w:t>
      </w:r>
      <w:r w:rsidR="0024493E">
        <w:rPr>
          <w:lang w:val="en-US"/>
        </w:rPr>
        <w:t>as of</w:t>
      </w:r>
      <w:r w:rsidR="00062FB1">
        <w:rPr>
          <w:lang w:val="en-US"/>
        </w:rPr>
        <w:t xml:space="preserve"> 18</w:t>
      </w:r>
      <w:r w:rsidR="007964F5">
        <w:rPr>
          <w:lang w:val="en-US"/>
        </w:rPr>
        <w:t xml:space="preserve"> February 2012. The assignments to </w:t>
      </w:r>
      <w:r w:rsidR="00062FB1">
        <w:rPr>
          <w:lang w:val="en-US"/>
        </w:rPr>
        <w:t xml:space="preserve">stations in </w:t>
      </w:r>
      <w:r w:rsidR="007964F5">
        <w:rPr>
          <w:lang w:val="en-US"/>
        </w:rPr>
        <w:t>the fixed and mobile</w:t>
      </w:r>
      <w:r w:rsidR="00062FB1">
        <w:rPr>
          <w:lang w:val="en-US"/>
        </w:rPr>
        <w:t xml:space="preserve"> services</w:t>
      </w:r>
      <w:r w:rsidR="008E46B2">
        <w:rPr>
          <w:lang w:val="en-US"/>
        </w:rPr>
        <w:t xml:space="preserve">, which are already recorded in the Master Register, </w:t>
      </w:r>
      <w:r w:rsidR="00062FB1">
        <w:rPr>
          <w:lang w:val="en-US"/>
        </w:rPr>
        <w:t>shall comply with this limit by 31 December 2015 or the first day of the next WRC, whichever is earlier</w:t>
      </w:r>
      <w:r w:rsidR="00E321FF">
        <w:rPr>
          <w:lang w:val="en-US"/>
        </w:rPr>
        <w:t xml:space="preserve">. </w:t>
      </w:r>
      <w:r w:rsidR="00E321FF">
        <w:t>The Bureau has individually drawn the attention of th</w:t>
      </w:r>
      <w:r w:rsidR="008173B6">
        <w:t>e</w:t>
      </w:r>
      <w:r w:rsidR="00E321FF">
        <w:t xml:space="preserve"> administrations</w:t>
      </w:r>
      <w:r w:rsidR="008173B6">
        <w:t xml:space="preserve"> </w:t>
      </w:r>
      <w:r w:rsidR="00E321FF">
        <w:t>hav</w:t>
      </w:r>
      <w:r w:rsidR="008173B6">
        <w:t>ing</w:t>
      </w:r>
      <w:r w:rsidR="00E321FF">
        <w:t xml:space="preserve"> </w:t>
      </w:r>
      <w:r w:rsidR="008173B6">
        <w:t xml:space="preserve">their frequency </w:t>
      </w:r>
      <w:r w:rsidR="00E321FF">
        <w:t xml:space="preserve">assignments recorded </w:t>
      </w:r>
      <w:r w:rsidR="008173B6">
        <w:t>in the MIFR</w:t>
      </w:r>
      <w:r w:rsidR="00E321FF">
        <w:t xml:space="preserve"> to this</w:t>
      </w:r>
      <w:r w:rsidR="00062FB1">
        <w:rPr>
          <w:lang w:val="en-US"/>
        </w:rPr>
        <w:t xml:space="preserve"> </w:t>
      </w:r>
      <w:r w:rsidR="00E321FF">
        <w:rPr>
          <w:lang w:val="en-US"/>
        </w:rPr>
        <w:t>requirement of compliance</w:t>
      </w:r>
      <w:r w:rsidR="00591BD6">
        <w:rPr>
          <w:lang w:val="en-US"/>
        </w:rPr>
        <w:t>;</w:t>
      </w:r>
      <w:r w:rsidR="007A38C2" w:rsidRPr="00591BD6">
        <w:rPr>
          <w:rFonts w:asciiTheme="majorBidi" w:hAnsiTheme="majorBidi" w:cstheme="majorBidi"/>
          <w:szCs w:val="24"/>
          <w:lang w:val="en-US"/>
        </w:rPr>
        <w:t xml:space="preserve">  </w:t>
      </w:r>
    </w:p>
    <w:p w:rsidR="001F2D14" w:rsidRPr="00076B99" w:rsidRDefault="00BB5DD2" w:rsidP="00D519A4">
      <w:pPr>
        <w:spacing w:before="240"/>
      </w:pPr>
      <w:r>
        <w:rPr>
          <w:lang w:val="en-US"/>
        </w:rPr>
        <w:t>6</w:t>
      </w:r>
      <w:r w:rsidR="003527B0" w:rsidRPr="00076B99">
        <w:rPr>
          <w:lang w:val="en-US"/>
        </w:rPr>
        <w:t>.</w:t>
      </w:r>
      <w:r w:rsidR="00E125C3">
        <w:rPr>
          <w:lang w:val="en-US"/>
        </w:rPr>
        <w:t>5</w:t>
      </w:r>
      <w:r w:rsidR="003527B0" w:rsidRPr="00076B99">
        <w:rPr>
          <w:lang w:val="en-US"/>
        </w:rPr>
        <w:tab/>
      </w:r>
      <w:r w:rsidR="003527B0" w:rsidRPr="00076B99">
        <w:rPr>
          <w:i/>
          <w:iCs/>
          <w:lang w:val="en-US"/>
        </w:rPr>
        <w:t xml:space="preserve">Resolution </w:t>
      </w:r>
      <w:r w:rsidR="006932B4" w:rsidRPr="006932B4">
        <w:rPr>
          <w:b/>
          <w:bCs/>
          <w:i/>
          <w:iCs/>
          <w:lang w:val="en-US"/>
        </w:rPr>
        <w:t>552</w:t>
      </w:r>
      <w:r w:rsidR="009A3D7D" w:rsidRPr="000629E2">
        <w:rPr>
          <w:i/>
          <w:iCs/>
          <w:lang w:val="en-US"/>
        </w:rPr>
        <w:t xml:space="preserve"> </w:t>
      </w:r>
      <w:r w:rsidR="006932B4" w:rsidRPr="006932B4">
        <w:rPr>
          <w:b/>
          <w:bCs/>
          <w:i/>
          <w:iCs/>
          <w:lang w:val="en-US"/>
        </w:rPr>
        <w:t>(WRC-12)</w:t>
      </w:r>
      <w:r w:rsidR="003527B0" w:rsidRPr="00076B99">
        <w:rPr>
          <w:i/>
          <w:iCs/>
          <w:lang w:val="en-US"/>
        </w:rPr>
        <w:t xml:space="preserve">, dealing with </w:t>
      </w:r>
      <w:r w:rsidR="00DA5299" w:rsidRPr="00076B99">
        <w:rPr>
          <w:i/>
          <w:iCs/>
          <w:lang w:val="en-US"/>
        </w:rPr>
        <w:t xml:space="preserve">long-term access to and development in the band 21.4-22 GHz in </w:t>
      </w:r>
      <w:r w:rsidR="00E321FF">
        <w:rPr>
          <w:i/>
          <w:iCs/>
          <w:lang w:val="en-US"/>
        </w:rPr>
        <w:t>R</w:t>
      </w:r>
      <w:r w:rsidR="00DA5299" w:rsidRPr="00076B99">
        <w:rPr>
          <w:i/>
          <w:iCs/>
          <w:lang w:val="en-US"/>
        </w:rPr>
        <w:t xml:space="preserve">egions 1 and 3: </w:t>
      </w:r>
      <w:r w:rsidR="001F2D14" w:rsidRPr="00076B99">
        <w:rPr>
          <w:lang w:val="en-US"/>
        </w:rPr>
        <w:t>pursuant to</w:t>
      </w:r>
      <w:r w:rsidR="00C46271">
        <w:rPr>
          <w:lang w:val="en-US"/>
        </w:rPr>
        <w:t xml:space="preserve"> its</w:t>
      </w:r>
      <w:r w:rsidR="001F2D14" w:rsidRPr="00076B99">
        <w:rPr>
          <w:lang w:val="en-US"/>
        </w:rPr>
        <w:t xml:space="preserve"> </w:t>
      </w:r>
      <w:r w:rsidR="001F2D14" w:rsidRPr="00076B99">
        <w:rPr>
          <w:i/>
          <w:iCs/>
          <w:lang w:val="en-US"/>
        </w:rPr>
        <w:t xml:space="preserve">resolves 1,2 </w:t>
      </w:r>
      <w:r w:rsidR="001F2D14" w:rsidRPr="00076B99">
        <w:rPr>
          <w:lang w:val="en-US"/>
        </w:rPr>
        <w:t>and</w:t>
      </w:r>
      <w:r w:rsidR="001F2D14" w:rsidRPr="00076B99">
        <w:rPr>
          <w:i/>
          <w:iCs/>
          <w:lang w:val="en-US"/>
        </w:rPr>
        <w:t xml:space="preserve"> 3</w:t>
      </w:r>
      <w:r w:rsidR="001F2D14" w:rsidRPr="00076B99">
        <w:rPr>
          <w:lang w:val="en-US"/>
        </w:rPr>
        <w:t xml:space="preserve">, as from 18 February 2012, </w:t>
      </w:r>
      <w:r w:rsidR="001F2D14" w:rsidRPr="00076B99">
        <w:rPr>
          <w:rFonts w:eastAsia="MS Mincho"/>
          <w:lang w:eastAsia="ja-JP"/>
        </w:rPr>
        <w:t>this Resolution </w:t>
      </w:r>
      <w:r w:rsidR="009A3D7D">
        <w:rPr>
          <w:rFonts w:eastAsia="MS Mincho"/>
          <w:lang w:eastAsia="ja-JP"/>
        </w:rPr>
        <w:t xml:space="preserve">shall </w:t>
      </w:r>
      <w:r w:rsidR="001F2D14" w:rsidRPr="00076B99">
        <w:rPr>
          <w:rFonts w:eastAsia="MS Mincho"/>
          <w:lang w:eastAsia="ja-JP"/>
        </w:rPr>
        <w:t>appl</w:t>
      </w:r>
      <w:r w:rsidR="009A3D7D">
        <w:rPr>
          <w:rFonts w:eastAsia="MS Mincho"/>
          <w:lang w:eastAsia="ja-JP"/>
        </w:rPr>
        <w:t>y</w:t>
      </w:r>
      <w:r w:rsidR="001F2D14" w:rsidRPr="00076B99">
        <w:rPr>
          <w:rFonts w:eastAsia="MS Mincho"/>
          <w:lang w:eastAsia="ja-JP"/>
        </w:rPr>
        <w:t xml:space="preserve"> to </w:t>
      </w:r>
      <w:r w:rsidR="009A3D7D">
        <w:rPr>
          <w:rFonts w:eastAsia="MS Mincho"/>
          <w:lang w:eastAsia="ja-JP"/>
        </w:rPr>
        <w:t xml:space="preserve">all </w:t>
      </w:r>
      <w:r w:rsidR="001F2D14" w:rsidRPr="00076B99">
        <w:rPr>
          <w:rFonts w:eastAsia="MS Mincho"/>
          <w:lang w:eastAsia="ja-JP"/>
        </w:rPr>
        <w:t>geostationary-satellite networks in the BSS in the 21.4-22 GHz band</w:t>
      </w:r>
      <w:r w:rsidR="001F2D14" w:rsidRPr="00076B99">
        <w:t xml:space="preserve">; </w:t>
      </w:r>
      <w:r w:rsidR="004064FD">
        <w:t>in particular,</w:t>
      </w:r>
    </w:p>
    <w:p w:rsidR="001F2D14" w:rsidRPr="00076B99" w:rsidRDefault="001F2D14">
      <w:r w:rsidRPr="00076B99">
        <w:t>-</w:t>
      </w:r>
      <w:r w:rsidRPr="00076B99">
        <w:tab/>
        <w:t xml:space="preserve">for </w:t>
      </w:r>
      <w:r w:rsidR="00B42021">
        <w:t xml:space="preserve">relevant </w:t>
      </w:r>
      <w:r w:rsidRPr="00076B99">
        <w:t>frequency assignments to satellite networks for which confirmation of the date of bringing into use under the provisions of Article </w:t>
      </w:r>
      <w:r w:rsidRPr="00076B99">
        <w:rPr>
          <w:b/>
          <w:bCs/>
        </w:rPr>
        <w:t>11</w:t>
      </w:r>
      <w:r w:rsidRPr="00076B99">
        <w:t xml:space="preserve"> was not received by the Bureau before 18 February 2012 or which were suspended under No. </w:t>
      </w:r>
      <w:r w:rsidRPr="00076B99">
        <w:rPr>
          <w:b/>
          <w:bCs/>
        </w:rPr>
        <w:t>11.49</w:t>
      </w:r>
      <w:r w:rsidRPr="00076B99">
        <w:t xml:space="preserve"> at that date, the procedure contained in Annex 1 to this Resolution shall be applied at the time of first bringing into use or when resuming use after</w:t>
      </w:r>
      <w:r w:rsidR="004064FD">
        <w:t xml:space="preserve"> a suspension, as appropriate;</w:t>
      </w:r>
    </w:p>
    <w:p w:rsidR="00E53528" w:rsidRPr="00076B99" w:rsidRDefault="001F2D14" w:rsidP="00C81D9D">
      <w:r w:rsidRPr="00076B99">
        <w:t>-</w:t>
      </w:r>
      <w:r w:rsidRPr="00076B99">
        <w:tab/>
        <w:t xml:space="preserve">for </w:t>
      </w:r>
      <w:r w:rsidR="00B42021">
        <w:t xml:space="preserve">relevant </w:t>
      </w:r>
      <w:r w:rsidRPr="00076B99">
        <w:t>frequency assignments to satellite networks for which the confirmation of the date of bringing into use under the provisions of Article </w:t>
      </w:r>
      <w:r w:rsidRPr="00076B99">
        <w:rPr>
          <w:b/>
          <w:bCs/>
        </w:rPr>
        <w:t>11</w:t>
      </w:r>
      <w:r w:rsidRPr="00076B99">
        <w:t xml:space="preserve"> was received by the Bureau before 18 February 2012, the provisions of §§ 5 to 8 of Annex 1 to this Resolution and the procedure </w:t>
      </w:r>
      <w:r w:rsidRPr="00076B99">
        <w:lastRenderedPageBreak/>
        <w:t>contained in Annex 3 to this Resolution shall be applied, as appropriate</w:t>
      </w:r>
      <w:r w:rsidR="007479B2">
        <w:t xml:space="preserve">. </w:t>
      </w:r>
      <w:r w:rsidR="00E53528" w:rsidRPr="00076B99">
        <w:t xml:space="preserve">Annex 3 contains transitional measures to be applied if the </w:t>
      </w:r>
      <w:r w:rsidR="00E65DC6" w:rsidRPr="00076B99">
        <w:t>notifying administration shall not submit to the Bureau, on or before 17 August 2012, the complete information relevant to the operational situation as of 18 February 2012, in accordance with Annex 2 to this Resolution.</w:t>
      </w:r>
      <w:r w:rsidR="00E53528" w:rsidRPr="00076B99">
        <w:t xml:space="preserve"> </w:t>
      </w:r>
      <w:r w:rsidR="007479B2">
        <w:t>The Bureau has individually drawn the attention of the concerned administrations to</w:t>
      </w:r>
      <w:r w:rsidR="00FA00BE">
        <w:t xml:space="preserve"> the required information to be submitted to the Bureau by 17 August 2012.</w:t>
      </w:r>
    </w:p>
    <w:p w:rsidR="00947E87" w:rsidRPr="00F33901" w:rsidRDefault="00BB5DD2" w:rsidP="00D519A4">
      <w:pPr>
        <w:pStyle w:val="Call"/>
        <w:keepNext w:val="0"/>
        <w:keepLines w:val="0"/>
        <w:tabs>
          <w:tab w:val="clear" w:pos="1134"/>
          <w:tab w:val="left" w:pos="851"/>
        </w:tabs>
        <w:spacing w:before="240"/>
        <w:ind w:left="0"/>
        <w:rPr>
          <w:rFonts w:ascii="TimesNewRoman" w:hAnsi="TimesNewRoman" w:cs="TimesNewRoman"/>
          <w:szCs w:val="24"/>
        </w:rPr>
      </w:pPr>
      <w:r>
        <w:rPr>
          <w:i w:val="0"/>
          <w:iCs/>
          <w:lang w:val="en-US"/>
        </w:rPr>
        <w:t>6</w:t>
      </w:r>
      <w:r w:rsidR="00E53528" w:rsidRPr="00DE666B">
        <w:rPr>
          <w:i w:val="0"/>
          <w:iCs/>
          <w:lang w:val="en-US"/>
        </w:rPr>
        <w:t>.</w:t>
      </w:r>
      <w:r w:rsidR="00E125C3">
        <w:rPr>
          <w:i w:val="0"/>
          <w:iCs/>
          <w:lang w:val="en-US"/>
        </w:rPr>
        <w:t>6</w:t>
      </w:r>
      <w:r w:rsidR="003527B0" w:rsidRPr="00076B99">
        <w:rPr>
          <w:lang w:val="en-US"/>
        </w:rPr>
        <w:tab/>
      </w:r>
      <w:r w:rsidR="003527B0" w:rsidRPr="00076B99">
        <w:rPr>
          <w:iCs/>
          <w:lang w:val="en-US"/>
        </w:rPr>
        <w:t xml:space="preserve">Resolution </w:t>
      </w:r>
      <w:r w:rsidR="0089780E">
        <w:rPr>
          <w:b/>
          <w:bCs/>
          <w:iCs/>
          <w:lang w:val="en-US"/>
        </w:rPr>
        <w:t>553</w:t>
      </w:r>
      <w:r w:rsidR="006932B4" w:rsidRPr="006932B4">
        <w:rPr>
          <w:b/>
          <w:bCs/>
          <w:iCs/>
          <w:lang w:val="en-US"/>
        </w:rPr>
        <w:t xml:space="preserve"> (WRC-12)</w:t>
      </w:r>
      <w:r w:rsidR="003527B0" w:rsidRPr="00076B99">
        <w:rPr>
          <w:iCs/>
          <w:lang w:val="en-US"/>
        </w:rPr>
        <w:t xml:space="preserve">, </w:t>
      </w:r>
      <w:r w:rsidR="009B270F" w:rsidRPr="00076B99">
        <w:rPr>
          <w:iCs/>
          <w:lang w:val="en-US"/>
        </w:rPr>
        <w:t>additional regulatory measures for broadcasting-satellite networks in the band 21.4-22GHz in Regions 1 and 3 for the enhancement of equitable access to this band</w:t>
      </w:r>
      <w:r w:rsidR="003527B0" w:rsidRPr="00076B99">
        <w:rPr>
          <w:lang w:val="en-US"/>
        </w:rPr>
        <w:t xml:space="preserve">: </w:t>
      </w:r>
      <w:r w:rsidR="009B270F" w:rsidRPr="00076B99">
        <w:rPr>
          <w:lang w:val="en-US"/>
        </w:rPr>
        <w:t xml:space="preserve"> </w:t>
      </w:r>
      <w:r w:rsidR="00947E87" w:rsidRPr="00947E87">
        <w:rPr>
          <w:i w:val="0"/>
          <w:iCs/>
          <w:lang w:val="en-US"/>
        </w:rPr>
        <w:t xml:space="preserve">pursuant to </w:t>
      </w:r>
      <w:r w:rsidR="00947E87" w:rsidRPr="00F33901">
        <w:t>resolves</w:t>
      </w:r>
      <w:r w:rsidR="00947E87">
        <w:rPr>
          <w:i w:val="0"/>
          <w:iCs/>
        </w:rPr>
        <w:t xml:space="preserve"> of </w:t>
      </w:r>
      <w:r w:rsidR="000629E2">
        <w:rPr>
          <w:i w:val="0"/>
          <w:iCs/>
        </w:rPr>
        <w:t xml:space="preserve">the </w:t>
      </w:r>
      <w:r w:rsidR="00947E87">
        <w:rPr>
          <w:i w:val="0"/>
          <w:iCs/>
        </w:rPr>
        <w:t xml:space="preserve">Resolution </w:t>
      </w:r>
      <w:r w:rsidR="00947E87" w:rsidRPr="00947E87">
        <w:rPr>
          <w:rFonts w:ascii="TimesNewRoman" w:hAnsi="TimesNewRoman" w:cs="TimesNewRoman"/>
          <w:i w:val="0"/>
          <w:iCs/>
          <w:szCs w:val="24"/>
        </w:rPr>
        <w:t>as of 18 February 2012, the</w:t>
      </w:r>
      <w:r w:rsidR="00947E87" w:rsidRPr="00947E87">
        <w:rPr>
          <w:i w:val="0"/>
          <w:iCs/>
        </w:rPr>
        <w:t xml:space="preserve"> </w:t>
      </w:r>
      <w:r w:rsidR="009275C2">
        <w:rPr>
          <w:i w:val="0"/>
          <w:iCs/>
        </w:rPr>
        <w:t xml:space="preserve">Special Procedure </w:t>
      </w:r>
      <w:r w:rsidR="00947E87" w:rsidRPr="00947E87">
        <w:rPr>
          <w:i w:val="0"/>
          <w:iCs/>
        </w:rPr>
        <w:t xml:space="preserve">outlined in the Attachment to this Resolution for processing of coordination requests for </w:t>
      </w:r>
      <w:r w:rsidR="00947E87" w:rsidRPr="00947E87">
        <w:rPr>
          <w:rFonts w:ascii="TimesNewRoman" w:hAnsi="TimesNewRoman" w:cs="TimesNewRoman"/>
          <w:i w:val="0"/>
          <w:iCs/>
          <w:szCs w:val="24"/>
        </w:rPr>
        <w:t xml:space="preserve">BSS </w:t>
      </w:r>
      <w:r w:rsidR="00947E87" w:rsidRPr="00947E87">
        <w:rPr>
          <w:i w:val="0"/>
          <w:iCs/>
        </w:rPr>
        <w:t xml:space="preserve">frequency assignments </w:t>
      </w:r>
      <w:r w:rsidR="00947E87" w:rsidRPr="00947E87">
        <w:rPr>
          <w:rFonts w:ascii="TimesNewRoman" w:hAnsi="TimesNewRoman" w:cs="TimesNewRoman"/>
          <w:i w:val="0"/>
          <w:iCs/>
          <w:szCs w:val="24"/>
        </w:rPr>
        <w:t>in Regions 1 and 3 in the 21.4-22 GHz band shall be applied in respect of submissions of administrations meeting the specified requirements in the Attachment</w:t>
      </w:r>
      <w:r w:rsidR="002F0DC5">
        <w:rPr>
          <w:rFonts w:ascii="TimesNewRoman" w:hAnsi="TimesNewRoman" w:cs="TimesNewRoman"/>
          <w:i w:val="0"/>
          <w:iCs/>
          <w:szCs w:val="24"/>
        </w:rPr>
        <w:t xml:space="preserve"> to the Resolution</w:t>
      </w:r>
      <w:r w:rsidR="00947E87" w:rsidRPr="00F33901">
        <w:rPr>
          <w:rFonts w:ascii="TimesNewRoman" w:hAnsi="TimesNewRoman" w:cs="TimesNewRoman"/>
          <w:szCs w:val="24"/>
        </w:rPr>
        <w:t>.</w:t>
      </w:r>
    </w:p>
    <w:p w:rsidR="009B270F" w:rsidRDefault="00947E87" w:rsidP="004064FD">
      <w:pPr>
        <w:tabs>
          <w:tab w:val="clear" w:pos="794"/>
          <w:tab w:val="clear" w:pos="1191"/>
          <w:tab w:val="clear" w:pos="1588"/>
          <w:tab w:val="clear" w:pos="1985"/>
          <w:tab w:val="left" w:pos="0"/>
        </w:tabs>
        <w:rPr>
          <w:lang w:val="en-US"/>
        </w:rPr>
      </w:pPr>
      <w:r>
        <w:rPr>
          <w:lang w:val="en-US"/>
        </w:rPr>
        <w:t xml:space="preserve">Accordingly the </w:t>
      </w:r>
      <w:r w:rsidR="009275C2">
        <w:rPr>
          <w:lang w:val="en-US"/>
        </w:rPr>
        <w:t>S</w:t>
      </w:r>
      <w:r w:rsidR="009B270F" w:rsidRPr="00076B99">
        <w:rPr>
          <w:lang w:val="en-US"/>
        </w:rPr>
        <w:t xml:space="preserve">pecial </w:t>
      </w:r>
      <w:r w:rsidR="009275C2">
        <w:rPr>
          <w:lang w:val="en-US"/>
        </w:rPr>
        <w:t>P</w:t>
      </w:r>
      <w:r w:rsidR="009B270F" w:rsidRPr="00076B99">
        <w:rPr>
          <w:lang w:val="en-US"/>
        </w:rPr>
        <w:t>rocedure</w:t>
      </w:r>
      <w:r w:rsidR="009275C2">
        <w:rPr>
          <w:lang w:val="en-US"/>
        </w:rPr>
        <w:t xml:space="preserve"> </w:t>
      </w:r>
      <w:r>
        <w:rPr>
          <w:lang w:val="en-US"/>
        </w:rPr>
        <w:t xml:space="preserve">can only be applied once (except as described in §3 of this </w:t>
      </w:r>
      <w:r w:rsidR="00E125C3">
        <w:rPr>
          <w:lang w:val="en-US"/>
        </w:rPr>
        <w:t>R</w:t>
      </w:r>
      <w:r>
        <w:rPr>
          <w:lang w:val="en-US"/>
        </w:rPr>
        <w:t xml:space="preserve">esolution) by an administration or an administration acting on behalf of a group of administrations when none of those administrations have a network in the MIFR, notified under Article </w:t>
      </w:r>
      <w:r w:rsidRPr="00DE666B">
        <w:rPr>
          <w:b/>
          <w:bCs/>
          <w:lang w:val="en-US"/>
        </w:rPr>
        <w:t>11</w:t>
      </w:r>
      <w:r>
        <w:rPr>
          <w:lang w:val="en-US"/>
        </w:rPr>
        <w:t xml:space="preserve"> or successfully examined under No.</w:t>
      </w:r>
      <w:r w:rsidRPr="00DE666B">
        <w:rPr>
          <w:b/>
          <w:bCs/>
          <w:lang w:val="en-US"/>
        </w:rPr>
        <w:t>9.34</w:t>
      </w:r>
      <w:r>
        <w:rPr>
          <w:lang w:val="en-US"/>
        </w:rPr>
        <w:t xml:space="preserve"> and published under No.</w:t>
      </w:r>
      <w:r w:rsidRPr="00DE666B">
        <w:rPr>
          <w:b/>
          <w:bCs/>
          <w:lang w:val="en-US"/>
        </w:rPr>
        <w:t>9.38</w:t>
      </w:r>
      <w:r>
        <w:rPr>
          <w:lang w:val="en-US"/>
        </w:rPr>
        <w:t xml:space="preserve"> for the band 21.4-22 GHz. The Attachment</w:t>
      </w:r>
      <w:r w:rsidR="002F0DC5">
        <w:rPr>
          <w:lang w:val="en-US"/>
        </w:rPr>
        <w:t xml:space="preserve"> to the Resolution</w:t>
      </w:r>
      <w:r>
        <w:rPr>
          <w:lang w:val="en-US"/>
        </w:rPr>
        <w:t xml:space="preserve"> further describes how to seek the assistance of the Bureau and submit the special request,</w:t>
      </w:r>
      <w:r w:rsidRPr="00947E87">
        <w:rPr>
          <w:lang w:val="en-US"/>
        </w:rPr>
        <w:t xml:space="preserve"> </w:t>
      </w:r>
      <w:r>
        <w:rPr>
          <w:lang w:val="en-US"/>
        </w:rPr>
        <w:t xml:space="preserve">the characteristics to be used by the networks, criteria to be used in identifying the affected networks/administration, and how the </w:t>
      </w:r>
      <w:r w:rsidR="009275C2">
        <w:rPr>
          <w:lang w:val="en-US"/>
        </w:rPr>
        <w:t xml:space="preserve">Special Procedure </w:t>
      </w:r>
      <w:r>
        <w:rPr>
          <w:lang w:val="en-US"/>
        </w:rPr>
        <w:t xml:space="preserve">case will be treated </w:t>
      </w:r>
      <w:r w:rsidR="005E39A2">
        <w:rPr>
          <w:lang w:val="en-US"/>
        </w:rPr>
        <w:t xml:space="preserve">by the Bureau </w:t>
      </w:r>
      <w:r>
        <w:rPr>
          <w:lang w:val="en-US"/>
        </w:rPr>
        <w:t>ahead of submissions not yet processed under No.</w:t>
      </w:r>
      <w:r w:rsidRPr="00DE666B">
        <w:rPr>
          <w:b/>
          <w:bCs/>
          <w:lang w:val="en-US"/>
        </w:rPr>
        <w:t>9.3</w:t>
      </w:r>
      <w:r w:rsidRPr="003A6C12">
        <w:rPr>
          <w:b/>
          <w:bCs/>
          <w:lang w:val="en-US"/>
        </w:rPr>
        <w:t>4</w:t>
      </w:r>
      <w:r>
        <w:rPr>
          <w:lang w:val="en-US"/>
        </w:rPr>
        <w:t>.</w:t>
      </w:r>
    </w:p>
    <w:p w:rsidR="009275C2" w:rsidRPr="00076B99" w:rsidRDefault="00A7787C" w:rsidP="004064FD">
      <w:pPr>
        <w:tabs>
          <w:tab w:val="clear" w:pos="794"/>
          <w:tab w:val="clear" w:pos="1191"/>
          <w:tab w:val="clear" w:pos="1588"/>
          <w:tab w:val="clear" w:pos="1985"/>
          <w:tab w:val="left" w:pos="0"/>
        </w:tabs>
        <w:rPr>
          <w:lang w:val="en-US"/>
        </w:rPr>
      </w:pPr>
      <w:r>
        <w:rPr>
          <w:lang w:val="en-US"/>
        </w:rPr>
        <w:t>As a result,</w:t>
      </w:r>
      <w:r w:rsidR="009275C2">
        <w:rPr>
          <w:lang w:val="en-US"/>
        </w:rPr>
        <w:t xml:space="preserve"> the Bureau </w:t>
      </w:r>
      <w:r w:rsidR="006C2680">
        <w:rPr>
          <w:lang w:val="en-US"/>
        </w:rPr>
        <w:t>shall</w:t>
      </w:r>
      <w:r w:rsidR="009275C2">
        <w:rPr>
          <w:lang w:val="en-US"/>
        </w:rPr>
        <w:t xml:space="preserve"> apply the procedures of this Resolution</w:t>
      </w:r>
      <w:r w:rsidR="003A6C12">
        <w:rPr>
          <w:lang w:val="en-US"/>
        </w:rPr>
        <w:t>,</w:t>
      </w:r>
      <w:r w:rsidR="009275C2">
        <w:rPr>
          <w:lang w:val="en-US"/>
        </w:rPr>
        <w:t xml:space="preserve"> </w:t>
      </w:r>
      <w:r w:rsidR="006C2680">
        <w:rPr>
          <w:lang w:val="en-US"/>
        </w:rPr>
        <w:t xml:space="preserve">in conjunction with </w:t>
      </w:r>
      <w:r w:rsidR="009275C2">
        <w:rPr>
          <w:lang w:val="en-US"/>
        </w:rPr>
        <w:t xml:space="preserve">that of Resolution 554, to all </w:t>
      </w:r>
      <w:r w:rsidR="0069563A">
        <w:rPr>
          <w:lang w:val="en-US"/>
        </w:rPr>
        <w:t xml:space="preserve">coordination </w:t>
      </w:r>
      <w:r w:rsidR="009275C2">
        <w:rPr>
          <w:lang w:val="en-US"/>
        </w:rPr>
        <w:t xml:space="preserve">cases </w:t>
      </w:r>
      <w:r w:rsidR="0069563A">
        <w:rPr>
          <w:lang w:val="en-US"/>
        </w:rPr>
        <w:t>in the band 21.4-22</w:t>
      </w:r>
      <w:r>
        <w:rPr>
          <w:lang w:val="en-US"/>
        </w:rPr>
        <w:t xml:space="preserve"> </w:t>
      </w:r>
      <w:r w:rsidR="0069563A">
        <w:rPr>
          <w:lang w:val="en-US"/>
        </w:rPr>
        <w:t xml:space="preserve">GHz pending with any date of receipt that has not been </w:t>
      </w:r>
      <w:r w:rsidR="003A6C12">
        <w:rPr>
          <w:lang w:val="en-US"/>
        </w:rPr>
        <w:t xml:space="preserve">yet </w:t>
      </w:r>
      <w:r w:rsidR="0069563A">
        <w:rPr>
          <w:lang w:val="en-US"/>
        </w:rPr>
        <w:t>examined under No.</w:t>
      </w:r>
      <w:r w:rsidR="0069563A" w:rsidRPr="003A6C12">
        <w:rPr>
          <w:b/>
          <w:bCs/>
          <w:lang w:val="en-US"/>
        </w:rPr>
        <w:t>9.34</w:t>
      </w:r>
      <w:r w:rsidR="0069563A">
        <w:rPr>
          <w:lang w:val="en-US"/>
        </w:rPr>
        <w:t xml:space="preserve"> on the date of </w:t>
      </w:r>
      <w:r w:rsidR="009275C2">
        <w:rPr>
          <w:lang w:val="en-US"/>
        </w:rPr>
        <w:t xml:space="preserve">receipt of </w:t>
      </w:r>
      <w:r w:rsidR="0069563A">
        <w:rPr>
          <w:lang w:val="en-US"/>
        </w:rPr>
        <w:t xml:space="preserve">complete coordination request for </w:t>
      </w:r>
      <w:r w:rsidR="009275C2">
        <w:rPr>
          <w:lang w:val="en-US"/>
        </w:rPr>
        <w:t>a Special Procedure case</w:t>
      </w:r>
      <w:r w:rsidR="0069563A">
        <w:rPr>
          <w:lang w:val="en-US"/>
        </w:rPr>
        <w:t>, under Resolution 553</w:t>
      </w:r>
      <w:r>
        <w:rPr>
          <w:lang w:val="en-US"/>
        </w:rPr>
        <w:t>,</w:t>
      </w:r>
      <w:r w:rsidRPr="00A7787C">
        <w:rPr>
          <w:lang w:val="en-US"/>
        </w:rPr>
        <w:t xml:space="preserve"> </w:t>
      </w:r>
      <w:r>
        <w:rPr>
          <w:lang w:val="en-US"/>
        </w:rPr>
        <w:t xml:space="preserve">as </w:t>
      </w:r>
      <w:r w:rsidR="009C43DE">
        <w:rPr>
          <w:lang w:val="en-US"/>
        </w:rPr>
        <w:t xml:space="preserve">confirmed by </w:t>
      </w:r>
      <w:r>
        <w:rPr>
          <w:lang w:val="en-US"/>
        </w:rPr>
        <w:t xml:space="preserve">the Conference </w:t>
      </w:r>
      <w:r w:rsidR="009C43DE">
        <w:rPr>
          <w:lang w:val="en-US"/>
        </w:rPr>
        <w:t>at</w:t>
      </w:r>
      <w:r>
        <w:rPr>
          <w:lang w:val="en-US"/>
        </w:rPr>
        <w:t xml:space="preserve"> its 13</w:t>
      </w:r>
      <w:r w:rsidRPr="006C3702">
        <w:rPr>
          <w:vertAlign w:val="superscript"/>
          <w:lang w:val="en-US"/>
        </w:rPr>
        <w:t>th</w:t>
      </w:r>
      <w:r>
        <w:rPr>
          <w:lang w:val="en-US"/>
        </w:rPr>
        <w:t xml:space="preserve"> Plenary Meeting</w:t>
      </w:r>
      <w:r w:rsidR="0069563A">
        <w:rPr>
          <w:lang w:val="en-US"/>
        </w:rPr>
        <w:t xml:space="preserve">. </w:t>
      </w:r>
      <w:r w:rsidR="00FB3FC2">
        <w:rPr>
          <w:lang w:val="en-US"/>
        </w:rPr>
        <w:t xml:space="preserve">Once a Special Procedure case is received </w:t>
      </w:r>
      <w:r w:rsidR="002C65A5">
        <w:rPr>
          <w:lang w:val="en-US"/>
        </w:rPr>
        <w:t xml:space="preserve">by </w:t>
      </w:r>
      <w:r w:rsidR="00FB3FC2">
        <w:rPr>
          <w:lang w:val="en-US"/>
        </w:rPr>
        <w:t>the Bureau</w:t>
      </w:r>
      <w:r w:rsidR="002C65A5">
        <w:rPr>
          <w:lang w:val="en-US"/>
        </w:rPr>
        <w:t>, in order to treat it with priority access</w:t>
      </w:r>
      <w:r w:rsidR="00FB3FC2">
        <w:rPr>
          <w:lang w:val="en-US"/>
        </w:rPr>
        <w:t xml:space="preserve">, all those </w:t>
      </w:r>
      <w:r w:rsidR="002C65A5">
        <w:rPr>
          <w:lang w:val="en-US"/>
        </w:rPr>
        <w:t xml:space="preserve">coordination requests </w:t>
      </w:r>
      <w:r w:rsidR="00FB3FC2">
        <w:rPr>
          <w:lang w:val="en-US"/>
        </w:rPr>
        <w:t xml:space="preserve">not yet examined that </w:t>
      </w:r>
      <w:r w:rsidR="002C65A5">
        <w:rPr>
          <w:lang w:val="en-US"/>
        </w:rPr>
        <w:t xml:space="preserve">include BSS frequency assignments </w:t>
      </w:r>
      <w:r w:rsidR="00FB3FC2">
        <w:rPr>
          <w:lang w:val="en-US"/>
        </w:rPr>
        <w:t xml:space="preserve">in the band 21.4-22 GHz would be </w:t>
      </w:r>
      <w:r w:rsidR="0069563A">
        <w:rPr>
          <w:lang w:val="en-US"/>
        </w:rPr>
        <w:t xml:space="preserve">split </w:t>
      </w:r>
      <w:r w:rsidR="00FB3FC2">
        <w:rPr>
          <w:lang w:val="en-US"/>
        </w:rPr>
        <w:t>into two</w:t>
      </w:r>
      <w:r w:rsidR="002C65A5">
        <w:rPr>
          <w:lang w:val="en-US"/>
        </w:rPr>
        <w:t xml:space="preserve"> satellite </w:t>
      </w:r>
      <w:r w:rsidR="00FB3FC2">
        <w:rPr>
          <w:lang w:val="en-US"/>
        </w:rPr>
        <w:t>network</w:t>
      </w:r>
      <w:r w:rsidR="002C65A5">
        <w:rPr>
          <w:lang w:val="en-US"/>
        </w:rPr>
        <w:t xml:space="preserve"> filings</w:t>
      </w:r>
      <w:r w:rsidR="00FB3FC2">
        <w:rPr>
          <w:lang w:val="en-US"/>
        </w:rPr>
        <w:t xml:space="preserve"> and a separate </w:t>
      </w:r>
      <w:r w:rsidR="009C43DE">
        <w:rPr>
          <w:lang w:val="en-US"/>
        </w:rPr>
        <w:t>notice</w:t>
      </w:r>
      <w:r w:rsidR="002C65A5">
        <w:rPr>
          <w:lang w:val="en-US"/>
        </w:rPr>
        <w:t xml:space="preserve"> </w:t>
      </w:r>
      <w:r>
        <w:rPr>
          <w:lang w:val="en-US"/>
        </w:rPr>
        <w:t xml:space="preserve">series </w:t>
      </w:r>
      <w:r w:rsidR="00FB3FC2">
        <w:rPr>
          <w:lang w:val="en-US"/>
        </w:rPr>
        <w:t xml:space="preserve">will be maintained for </w:t>
      </w:r>
      <w:r w:rsidR="003A6C12">
        <w:rPr>
          <w:lang w:val="en-US"/>
        </w:rPr>
        <w:t xml:space="preserve">such </w:t>
      </w:r>
      <w:r w:rsidR="00FB3FC2">
        <w:rPr>
          <w:lang w:val="en-US"/>
        </w:rPr>
        <w:t>coordination requests of BSS in the band</w:t>
      </w:r>
      <w:r w:rsidR="004064FD">
        <w:rPr>
          <w:lang w:val="en-US"/>
        </w:rPr>
        <w:t xml:space="preserve"> </w:t>
      </w:r>
      <w:r w:rsidR="00FB3FC2">
        <w:rPr>
          <w:lang w:val="en-US"/>
        </w:rPr>
        <w:t>21.4-22 GHz</w:t>
      </w:r>
      <w:r w:rsidR="009C43DE">
        <w:rPr>
          <w:lang w:val="en-US"/>
        </w:rPr>
        <w:t xml:space="preserve"> that will incur a separate cost recovery charge</w:t>
      </w:r>
      <w:r w:rsidR="00FB3FC2">
        <w:rPr>
          <w:lang w:val="en-US"/>
        </w:rPr>
        <w:t>. As a consequence</w:t>
      </w:r>
      <w:r w:rsidR="003A6C12">
        <w:rPr>
          <w:lang w:val="en-US"/>
        </w:rPr>
        <w:t>,</w:t>
      </w:r>
      <w:r w:rsidR="00FB3FC2">
        <w:rPr>
          <w:lang w:val="en-US"/>
        </w:rPr>
        <w:t xml:space="preserve"> administration</w:t>
      </w:r>
      <w:r w:rsidR="003A6C12">
        <w:rPr>
          <w:lang w:val="en-US"/>
        </w:rPr>
        <w:t xml:space="preserve">s would be required to </w:t>
      </w:r>
      <w:r w:rsidR="00FB3FC2">
        <w:rPr>
          <w:lang w:val="en-US"/>
        </w:rPr>
        <w:t xml:space="preserve">submit </w:t>
      </w:r>
      <w:r w:rsidR="003A6C12">
        <w:rPr>
          <w:lang w:val="en-US"/>
        </w:rPr>
        <w:t xml:space="preserve">separate satellite network filings </w:t>
      </w:r>
      <w:r w:rsidR="00FB3FC2">
        <w:rPr>
          <w:lang w:val="en-US"/>
        </w:rPr>
        <w:t xml:space="preserve">for BSS in the band 21.4-22 GHz </w:t>
      </w:r>
      <w:r w:rsidR="003A6C12">
        <w:rPr>
          <w:lang w:val="en-US"/>
        </w:rPr>
        <w:t xml:space="preserve">and </w:t>
      </w:r>
      <w:r w:rsidR="00FB3FC2">
        <w:rPr>
          <w:lang w:val="en-US"/>
        </w:rPr>
        <w:t>corresponding feeder link</w:t>
      </w:r>
      <w:r w:rsidR="003A6C12">
        <w:rPr>
          <w:lang w:val="en-US"/>
        </w:rPr>
        <w:t>s</w:t>
      </w:r>
      <w:r w:rsidR="00FB3FC2">
        <w:rPr>
          <w:lang w:val="en-US"/>
        </w:rPr>
        <w:t>; otherwise the Bureau will split the filing appropriately.</w:t>
      </w:r>
    </w:p>
    <w:p w:rsidR="001F1D0D" w:rsidRDefault="00BB5DD2" w:rsidP="0077214B">
      <w:pPr>
        <w:tabs>
          <w:tab w:val="clear" w:pos="794"/>
          <w:tab w:val="clear" w:pos="1191"/>
          <w:tab w:val="clear" w:pos="1588"/>
          <w:tab w:val="clear" w:pos="1985"/>
          <w:tab w:val="left" w:pos="0"/>
        </w:tabs>
        <w:spacing w:before="240"/>
        <w:rPr>
          <w:lang w:val="en-US"/>
        </w:rPr>
      </w:pPr>
      <w:r>
        <w:rPr>
          <w:lang w:val="en-US"/>
        </w:rPr>
        <w:t>6</w:t>
      </w:r>
      <w:r w:rsidR="009B270F" w:rsidRPr="00DE666B">
        <w:rPr>
          <w:lang w:val="en-US"/>
        </w:rPr>
        <w:t>.</w:t>
      </w:r>
      <w:r w:rsidR="00E125C3">
        <w:rPr>
          <w:lang w:val="en-US"/>
        </w:rPr>
        <w:t>7</w:t>
      </w:r>
      <w:r w:rsidR="003527B0" w:rsidRPr="00076B99">
        <w:rPr>
          <w:lang w:val="en-US"/>
        </w:rPr>
        <w:tab/>
      </w:r>
      <w:r w:rsidR="003527B0" w:rsidRPr="00076B99">
        <w:rPr>
          <w:i/>
          <w:iCs/>
          <w:lang w:val="en-US"/>
        </w:rPr>
        <w:t xml:space="preserve">Resolution </w:t>
      </w:r>
      <w:r w:rsidR="0089780E">
        <w:rPr>
          <w:b/>
          <w:bCs/>
          <w:i/>
          <w:iCs/>
          <w:lang w:val="en-US"/>
        </w:rPr>
        <w:t>554</w:t>
      </w:r>
      <w:r w:rsidR="006932B4">
        <w:rPr>
          <w:b/>
          <w:bCs/>
          <w:i/>
          <w:iCs/>
          <w:lang w:val="en-US"/>
        </w:rPr>
        <w:t xml:space="preserve"> </w:t>
      </w:r>
      <w:r w:rsidR="006932B4" w:rsidRPr="006932B4">
        <w:rPr>
          <w:b/>
          <w:bCs/>
          <w:i/>
          <w:iCs/>
          <w:lang w:val="en-US"/>
        </w:rPr>
        <w:t>(WRC-12)</w:t>
      </w:r>
      <w:r w:rsidR="003527B0" w:rsidRPr="00076B99">
        <w:rPr>
          <w:i/>
          <w:iCs/>
          <w:lang w:val="en-US"/>
        </w:rPr>
        <w:t xml:space="preserve">, dealing with </w:t>
      </w:r>
      <w:r w:rsidR="00B54DF5">
        <w:rPr>
          <w:i/>
          <w:iCs/>
          <w:lang w:val="en-US"/>
        </w:rPr>
        <w:t>application of pfd masks</w:t>
      </w:r>
      <w:r w:rsidR="00B54DF5" w:rsidRPr="00B54DF5">
        <w:rPr>
          <w:iCs/>
          <w:lang w:val="en-US"/>
        </w:rPr>
        <w:t xml:space="preserve"> </w:t>
      </w:r>
      <w:r w:rsidR="006932B4" w:rsidRPr="006932B4">
        <w:rPr>
          <w:i/>
          <w:iCs/>
          <w:lang w:val="en-US"/>
        </w:rPr>
        <w:t>for broadcasting-satellite networks in the band 21.4-22</w:t>
      </w:r>
      <w:r w:rsidR="00D633B8">
        <w:rPr>
          <w:i/>
          <w:iCs/>
          <w:lang w:val="en-US"/>
        </w:rPr>
        <w:t xml:space="preserve"> </w:t>
      </w:r>
      <w:r w:rsidR="006932B4" w:rsidRPr="006932B4">
        <w:rPr>
          <w:i/>
          <w:iCs/>
          <w:lang w:val="en-US"/>
        </w:rPr>
        <w:t>GHz in Regions 1 and 3</w:t>
      </w:r>
      <w:r w:rsidR="003527B0" w:rsidRPr="00076B99">
        <w:rPr>
          <w:lang w:val="en-US"/>
        </w:rPr>
        <w:t xml:space="preserve">: </w:t>
      </w:r>
      <w:r w:rsidR="001366B9" w:rsidRPr="00076B99">
        <w:rPr>
          <w:lang w:val="en-US"/>
        </w:rPr>
        <w:t xml:space="preserve">pursuant to </w:t>
      </w:r>
      <w:r w:rsidR="001366B9" w:rsidRPr="00076B99">
        <w:rPr>
          <w:i/>
          <w:iCs/>
          <w:lang w:val="en-US"/>
        </w:rPr>
        <w:t>resolves 1</w:t>
      </w:r>
      <w:r w:rsidR="004870E8">
        <w:rPr>
          <w:i/>
          <w:iCs/>
          <w:lang w:val="en-US"/>
        </w:rPr>
        <w:t xml:space="preserve"> </w:t>
      </w:r>
      <w:r w:rsidR="009D4B95">
        <w:rPr>
          <w:lang w:val="en-US"/>
        </w:rPr>
        <w:t xml:space="preserve">of </w:t>
      </w:r>
      <w:r w:rsidR="001366B9" w:rsidRPr="00076B99">
        <w:rPr>
          <w:lang w:val="en-US"/>
        </w:rPr>
        <w:t xml:space="preserve">this </w:t>
      </w:r>
      <w:r w:rsidR="00D633B8">
        <w:rPr>
          <w:lang w:val="en-US"/>
        </w:rPr>
        <w:t>R</w:t>
      </w:r>
      <w:r w:rsidR="001366B9" w:rsidRPr="00076B99">
        <w:rPr>
          <w:lang w:val="en-US"/>
        </w:rPr>
        <w:t xml:space="preserve">esolution, as from 18 February 2012, </w:t>
      </w:r>
      <w:r w:rsidR="004620EC" w:rsidRPr="00076B99">
        <w:rPr>
          <w:lang w:val="en-US"/>
        </w:rPr>
        <w:t xml:space="preserve">WRC-12 has introduced new </w:t>
      </w:r>
      <w:r w:rsidR="004D102A">
        <w:rPr>
          <w:lang w:val="en-US"/>
        </w:rPr>
        <w:t xml:space="preserve">threshold pfd value </w:t>
      </w:r>
      <w:r w:rsidR="009D4B95">
        <w:rPr>
          <w:lang w:val="en-US"/>
        </w:rPr>
        <w:t xml:space="preserve">in addition to the new </w:t>
      </w:r>
      <w:r w:rsidR="004620EC" w:rsidRPr="00076B99">
        <w:rPr>
          <w:lang w:val="en-US"/>
        </w:rPr>
        <w:t>coordinat</w:t>
      </w:r>
      <w:r w:rsidR="004D102A">
        <w:rPr>
          <w:lang w:val="en-US"/>
        </w:rPr>
        <w:t xml:space="preserve">ion arc of +/-12 degrees </w:t>
      </w:r>
      <w:r w:rsidR="009D4B95">
        <w:rPr>
          <w:lang w:val="en-US"/>
        </w:rPr>
        <w:t xml:space="preserve">to </w:t>
      </w:r>
      <w:r w:rsidR="00D633B8">
        <w:rPr>
          <w:lang w:val="en-US"/>
        </w:rPr>
        <w:t xml:space="preserve">identify the </w:t>
      </w:r>
      <w:r w:rsidR="009D4B95">
        <w:rPr>
          <w:lang w:val="en-US"/>
        </w:rPr>
        <w:t xml:space="preserve">administrations and satellite networks with which </w:t>
      </w:r>
      <w:r w:rsidR="009D4B95" w:rsidRPr="00076B99">
        <w:rPr>
          <w:lang w:val="en-US"/>
        </w:rPr>
        <w:t xml:space="preserve">coordination </w:t>
      </w:r>
      <w:r w:rsidR="009D4B95">
        <w:rPr>
          <w:lang w:val="en-US"/>
        </w:rPr>
        <w:t>is required under provision No.</w:t>
      </w:r>
      <w:r w:rsidR="009D4B95" w:rsidRPr="00DE666B">
        <w:rPr>
          <w:b/>
          <w:bCs/>
          <w:lang w:val="en-US"/>
        </w:rPr>
        <w:t>9.7</w:t>
      </w:r>
      <w:r w:rsidR="002F0DC5" w:rsidRPr="004064FD">
        <w:rPr>
          <w:lang w:val="en-US"/>
        </w:rPr>
        <w:t>,</w:t>
      </w:r>
      <w:r w:rsidR="002F0DC5">
        <w:rPr>
          <w:b/>
          <w:bCs/>
          <w:lang w:val="en-US"/>
        </w:rPr>
        <w:t xml:space="preserve"> </w:t>
      </w:r>
      <w:r w:rsidR="002F0DC5">
        <w:rPr>
          <w:lang w:val="en-US"/>
        </w:rPr>
        <w:t>for the BSS networks</w:t>
      </w:r>
      <w:r w:rsidR="002F0DC5" w:rsidRPr="002F0DC5">
        <w:rPr>
          <w:lang w:val="en-US"/>
        </w:rPr>
        <w:t xml:space="preserve"> </w:t>
      </w:r>
      <w:r w:rsidR="002F0DC5">
        <w:rPr>
          <w:lang w:val="en-US"/>
        </w:rPr>
        <w:t>in Region 1 and Region 3, in the band 21.4-22</w:t>
      </w:r>
      <w:r w:rsidR="00D633B8">
        <w:rPr>
          <w:lang w:val="en-US"/>
        </w:rPr>
        <w:t xml:space="preserve"> </w:t>
      </w:r>
      <w:r w:rsidR="002F0DC5">
        <w:rPr>
          <w:lang w:val="en-US"/>
        </w:rPr>
        <w:t>GHz</w:t>
      </w:r>
      <w:r w:rsidR="009D4B95">
        <w:rPr>
          <w:lang w:val="en-US"/>
        </w:rPr>
        <w:t xml:space="preserve">. Further, </w:t>
      </w:r>
      <w:r w:rsidR="009D4B95">
        <w:rPr>
          <w:i/>
          <w:iCs/>
          <w:lang w:val="en-US"/>
        </w:rPr>
        <w:t>resolves 2</w:t>
      </w:r>
      <w:r w:rsidR="009D4B95">
        <w:rPr>
          <w:lang w:val="en-US"/>
        </w:rPr>
        <w:t xml:space="preserve"> of the </w:t>
      </w:r>
      <w:r w:rsidR="00D633B8">
        <w:rPr>
          <w:lang w:val="en-US"/>
        </w:rPr>
        <w:t>R</w:t>
      </w:r>
      <w:r w:rsidR="009D4B95">
        <w:rPr>
          <w:lang w:val="en-US"/>
        </w:rPr>
        <w:t>esolution requires “when the Bureau, under No.</w:t>
      </w:r>
      <w:r w:rsidR="009D4B95" w:rsidRPr="00DE666B">
        <w:rPr>
          <w:b/>
          <w:bCs/>
          <w:lang w:val="en-US"/>
        </w:rPr>
        <w:t>11.32</w:t>
      </w:r>
      <w:r w:rsidR="009D4B95">
        <w:rPr>
          <w:lang w:val="en-US"/>
        </w:rPr>
        <w:t>, conducts its examination of notifications of satellite networks in respect of compliance with the coordination procedures, it shall base its findings on the coordination requirements set by No.</w:t>
      </w:r>
      <w:r w:rsidR="009D4B95" w:rsidRPr="00DE666B">
        <w:rPr>
          <w:b/>
          <w:bCs/>
          <w:lang w:val="en-US"/>
        </w:rPr>
        <w:t>9.7</w:t>
      </w:r>
      <w:r w:rsidR="009D4B95">
        <w:rPr>
          <w:lang w:val="en-US"/>
        </w:rPr>
        <w:t xml:space="preserve"> in Table 5-1 of Appendix 5 as revised by WRC-12 for those networks received under No.</w:t>
      </w:r>
      <w:r w:rsidR="009D4B95" w:rsidRPr="00DE666B">
        <w:rPr>
          <w:b/>
          <w:bCs/>
          <w:lang w:val="en-US"/>
        </w:rPr>
        <w:t>9.30</w:t>
      </w:r>
      <w:r w:rsidR="009D4B95">
        <w:rPr>
          <w:lang w:val="en-US"/>
        </w:rPr>
        <w:t xml:space="preserve"> before 18 February 2012”. </w:t>
      </w:r>
    </w:p>
    <w:p w:rsidR="004620EC" w:rsidRPr="00076B99" w:rsidRDefault="00BB5DD2" w:rsidP="00D519A4">
      <w:pPr>
        <w:tabs>
          <w:tab w:val="clear" w:pos="794"/>
          <w:tab w:val="clear" w:pos="1191"/>
          <w:tab w:val="clear" w:pos="1588"/>
          <w:tab w:val="clear" w:pos="1985"/>
          <w:tab w:val="left" w:pos="0"/>
        </w:tabs>
        <w:spacing w:before="240"/>
        <w:rPr>
          <w:lang w:val="en-US"/>
        </w:rPr>
      </w:pPr>
      <w:r>
        <w:rPr>
          <w:lang w:val="en-US"/>
        </w:rPr>
        <w:t>6</w:t>
      </w:r>
      <w:r w:rsidR="009B270F" w:rsidRPr="00DE666B">
        <w:rPr>
          <w:lang w:val="en-US"/>
        </w:rPr>
        <w:t>.</w:t>
      </w:r>
      <w:r w:rsidR="00E125C3">
        <w:rPr>
          <w:lang w:val="en-US"/>
        </w:rPr>
        <w:t>8</w:t>
      </w:r>
      <w:r w:rsidR="003527B0" w:rsidRPr="00DE666B">
        <w:rPr>
          <w:lang w:val="en-US"/>
        </w:rPr>
        <w:tab/>
      </w:r>
      <w:r w:rsidR="003527B0" w:rsidRPr="00DE666B">
        <w:rPr>
          <w:i/>
          <w:iCs/>
          <w:lang w:val="en-US"/>
        </w:rPr>
        <w:t xml:space="preserve">Resolution </w:t>
      </w:r>
      <w:r w:rsidR="006932B4" w:rsidRPr="006932B4">
        <w:rPr>
          <w:b/>
          <w:bCs/>
          <w:i/>
          <w:iCs/>
          <w:lang w:val="en-US"/>
        </w:rPr>
        <w:t>555</w:t>
      </w:r>
      <w:r w:rsidR="00E125C3" w:rsidRPr="006932B4">
        <w:rPr>
          <w:b/>
          <w:bCs/>
          <w:i/>
          <w:iCs/>
          <w:lang w:val="en-US"/>
        </w:rPr>
        <w:t xml:space="preserve"> </w:t>
      </w:r>
      <w:r w:rsidR="006932B4" w:rsidRPr="006932B4">
        <w:rPr>
          <w:b/>
          <w:bCs/>
          <w:i/>
          <w:iCs/>
          <w:lang w:val="en-US"/>
        </w:rPr>
        <w:t>(WRC-12),</w:t>
      </w:r>
      <w:r w:rsidR="003527B0" w:rsidRPr="00DE666B">
        <w:rPr>
          <w:i/>
          <w:iCs/>
          <w:lang w:val="en-US"/>
        </w:rPr>
        <w:t xml:space="preserve"> dealing with due diligence in applying the principles embodied in the Constitution</w:t>
      </w:r>
      <w:r w:rsidR="003527B0" w:rsidRPr="00DE666B">
        <w:rPr>
          <w:lang w:val="en-US"/>
        </w:rPr>
        <w:t xml:space="preserve">: </w:t>
      </w:r>
      <w:r w:rsidR="00D633B8">
        <w:rPr>
          <w:lang w:val="en-US"/>
        </w:rPr>
        <w:t>t</w:t>
      </w:r>
      <w:r w:rsidR="00F30B4D" w:rsidRPr="00DE666B">
        <w:rPr>
          <w:lang w:val="en-US"/>
        </w:rPr>
        <w:t xml:space="preserve">he notice of </w:t>
      </w:r>
      <w:r w:rsidR="00D633B8">
        <w:rPr>
          <w:lang w:val="en-US"/>
        </w:rPr>
        <w:t>a</w:t>
      </w:r>
      <w:r w:rsidR="00F30B4D" w:rsidRPr="00DE666B">
        <w:rPr>
          <w:lang w:val="en-US"/>
        </w:rPr>
        <w:t xml:space="preserve">dministrations has been brought to the decisions of the Conference in Resolution </w:t>
      </w:r>
      <w:r w:rsidR="006932B4" w:rsidRPr="006932B4">
        <w:rPr>
          <w:b/>
          <w:bCs/>
          <w:lang w:val="en-US"/>
        </w:rPr>
        <w:t>555</w:t>
      </w:r>
      <w:r w:rsidR="00F30B4D" w:rsidRPr="00DE666B">
        <w:rPr>
          <w:lang w:val="en-US"/>
        </w:rPr>
        <w:t xml:space="preserve"> </w:t>
      </w:r>
      <w:r w:rsidR="006932B4" w:rsidRPr="006932B4">
        <w:rPr>
          <w:b/>
          <w:bCs/>
          <w:lang w:val="en-US"/>
        </w:rPr>
        <w:t>(WRC-12)</w:t>
      </w:r>
      <w:r w:rsidR="00F30B4D" w:rsidRPr="00DE666B">
        <w:rPr>
          <w:lang w:val="en-US"/>
        </w:rPr>
        <w:t xml:space="preserve"> with Circular Letter CR/331 of 16 March 2012, in particular </w:t>
      </w:r>
      <w:r w:rsidR="00F30B4D" w:rsidRPr="00DE666B">
        <w:rPr>
          <w:rFonts w:asciiTheme="majorBidi" w:hAnsiTheme="majorBidi" w:cstheme="majorBidi"/>
          <w:szCs w:val="24"/>
          <w:lang w:val="en-US"/>
        </w:rPr>
        <w:t xml:space="preserve">the possible review of </w:t>
      </w:r>
      <w:r w:rsidR="00F30B4D" w:rsidRPr="00DE666B">
        <w:rPr>
          <w:szCs w:val="24"/>
        </w:rPr>
        <w:t>their submissions in the band 21.4-22 GHz submitted before 18 February 2012</w:t>
      </w:r>
      <w:r w:rsidR="00F30B4D" w:rsidRPr="00DE666B">
        <w:rPr>
          <w:rFonts w:asciiTheme="majorBidi" w:hAnsiTheme="majorBidi" w:cstheme="majorBidi"/>
          <w:szCs w:val="24"/>
        </w:rPr>
        <w:t xml:space="preserve"> </w:t>
      </w:r>
      <w:r w:rsidR="00F30B4D" w:rsidRPr="00DE666B">
        <w:rPr>
          <w:szCs w:val="24"/>
        </w:rPr>
        <w:t xml:space="preserve">which </w:t>
      </w:r>
      <w:r w:rsidR="00DE666B" w:rsidRPr="00DE666B">
        <w:rPr>
          <w:szCs w:val="24"/>
        </w:rPr>
        <w:t xml:space="preserve">may be modified or </w:t>
      </w:r>
      <w:r w:rsidR="00D633B8">
        <w:rPr>
          <w:szCs w:val="24"/>
        </w:rPr>
        <w:t xml:space="preserve">withdrawn if </w:t>
      </w:r>
      <w:r w:rsidR="00DE666B" w:rsidRPr="00DE666B">
        <w:rPr>
          <w:szCs w:val="24"/>
        </w:rPr>
        <w:t>no</w:t>
      </w:r>
      <w:r w:rsidR="00F30B4D" w:rsidRPr="00DE666B">
        <w:rPr>
          <w:szCs w:val="24"/>
        </w:rPr>
        <w:t xml:space="preserve"> longer</w:t>
      </w:r>
      <w:r w:rsidR="00DE666B" w:rsidRPr="00DE666B">
        <w:rPr>
          <w:szCs w:val="24"/>
        </w:rPr>
        <w:t xml:space="preserve"> </w:t>
      </w:r>
      <w:r w:rsidR="00F30B4D" w:rsidRPr="00DE666B">
        <w:rPr>
          <w:szCs w:val="24"/>
        </w:rPr>
        <w:t>required</w:t>
      </w:r>
      <w:r w:rsidR="00DE666B">
        <w:rPr>
          <w:szCs w:val="24"/>
        </w:rPr>
        <w:t>.</w:t>
      </w:r>
      <w:r w:rsidR="00F30B4D" w:rsidRPr="00D40E4D">
        <w:rPr>
          <w:szCs w:val="24"/>
        </w:rPr>
        <w:t xml:space="preserve"> </w:t>
      </w:r>
    </w:p>
    <w:p w:rsidR="00DB3965" w:rsidRDefault="00BB5DD2" w:rsidP="00D519A4">
      <w:pPr>
        <w:tabs>
          <w:tab w:val="clear" w:pos="794"/>
          <w:tab w:val="clear" w:pos="1191"/>
          <w:tab w:val="clear" w:pos="1588"/>
          <w:tab w:val="clear" w:pos="1985"/>
          <w:tab w:val="left" w:pos="0"/>
        </w:tabs>
        <w:spacing w:before="240"/>
        <w:rPr>
          <w:rFonts w:asciiTheme="majorBidi" w:eastAsiaTheme="minorEastAsia" w:hAnsiTheme="majorBidi" w:cstheme="majorBidi"/>
          <w:sz w:val="26"/>
          <w:szCs w:val="26"/>
          <w:lang w:val="en-US" w:eastAsia="zh-CN"/>
        </w:rPr>
      </w:pPr>
      <w:r>
        <w:rPr>
          <w:lang w:val="en-US"/>
        </w:rPr>
        <w:lastRenderedPageBreak/>
        <w:t>6</w:t>
      </w:r>
      <w:r w:rsidR="0089629A" w:rsidRPr="00DE666B">
        <w:rPr>
          <w:lang w:val="en-US"/>
        </w:rPr>
        <w:t>.</w:t>
      </w:r>
      <w:r w:rsidR="00CC5AE9">
        <w:rPr>
          <w:lang w:val="en-US"/>
        </w:rPr>
        <w:t>9</w:t>
      </w:r>
      <w:r w:rsidR="00156F75" w:rsidRPr="00076B99">
        <w:rPr>
          <w:lang w:val="en-US"/>
        </w:rPr>
        <w:tab/>
      </w:r>
      <w:r w:rsidR="0089629A" w:rsidRPr="00F30B4D">
        <w:rPr>
          <w:i/>
          <w:iCs/>
          <w:szCs w:val="24"/>
          <w:lang w:val="en-US"/>
        </w:rPr>
        <w:t xml:space="preserve">Resolution </w:t>
      </w:r>
      <w:r w:rsidR="006932B4" w:rsidRPr="006932B4">
        <w:rPr>
          <w:b/>
          <w:bCs/>
          <w:i/>
          <w:iCs/>
          <w:szCs w:val="24"/>
          <w:lang w:val="en-US"/>
        </w:rPr>
        <w:t>222</w:t>
      </w:r>
      <w:r w:rsidR="0089629A" w:rsidRPr="00F30B4D">
        <w:rPr>
          <w:i/>
          <w:iCs/>
          <w:szCs w:val="24"/>
          <w:lang w:val="en-US"/>
        </w:rPr>
        <w:t xml:space="preserve"> </w:t>
      </w:r>
      <w:r w:rsidR="006932B4" w:rsidRPr="006932B4">
        <w:rPr>
          <w:b/>
          <w:bCs/>
          <w:i/>
          <w:iCs/>
          <w:szCs w:val="24"/>
          <w:lang w:val="en-US"/>
        </w:rPr>
        <w:t>(Rev.WRC-12)</w:t>
      </w:r>
      <w:r w:rsidR="00F30B4D" w:rsidRPr="00F30B4D">
        <w:rPr>
          <w:i/>
          <w:iCs/>
          <w:szCs w:val="24"/>
          <w:lang w:val="en-US"/>
        </w:rPr>
        <w:t>, dealing with</w:t>
      </w:r>
      <w:r w:rsidR="0089629A" w:rsidRPr="00F30B4D">
        <w:rPr>
          <w:i/>
          <w:iCs/>
          <w:szCs w:val="24"/>
          <w:lang w:val="en-US"/>
        </w:rPr>
        <w:t xml:space="preserve"> </w:t>
      </w:r>
      <w:r w:rsidR="00F30B4D" w:rsidRPr="00F30B4D">
        <w:rPr>
          <w:i/>
          <w:iCs/>
          <w:szCs w:val="24"/>
          <w:lang w:val="en-US"/>
        </w:rPr>
        <w:t xml:space="preserve">the </w:t>
      </w:r>
      <w:r w:rsidR="00F30B4D" w:rsidRPr="00F30B4D">
        <w:rPr>
          <w:rFonts w:asciiTheme="majorBidi" w:eastAsiaTheme="minorEastAsia" w:hAnsiTheme="majorBidi" w:cstheme="majorBidi"/>
          <w:szCs w:val="24"/>
          <w:lang w:val="en-US" w:eastAsia="zh-CN"/>
        </w:rPr>
        <w:t>“</w:t>
      </w:r>
      <w:r w:rsidR="00F30B4D" w:rsidRPr="00F30B4D">
        <w:rPr>
          <w:rFonts w:asciiTheme="majorBidi" w:eastAsiaTheme="minorEastAsia" w:hAnsiTheme="majorBidi" w:cstheme="majorBidi"/>
          <w:i/>
          <w:iCs/>
          <w:szCs w:val="24"/>
          <w:lang w:val="en-US" w:eastAsia="zh-CN"/>
        </w:rPr>
        <w:t>Use of the frequency bands</w:t>
      </w:r>
      <w:r w:rsidR="00530ECC">
        <w:rPr>
          <w:rFonts w:asciiTheme="majorBidi" w:eastAsiaTheme="minorEastAsia" w:hAnsiTheme="majorBidi" w:cstheme="majorBidi"/>
          <w:i/>
          <w:iCs/>
          <w:szCs w:val="24"/>
          <w:lang w:val="en-US" w:eastAsia="zh-CN"/>
        </w:rPr>
        <w:br/>
      </w:r>
      <w:r w:rsidR="00F30B4D" w:rsidRPr="00F30B4D">
        <w:rPr>
          <w:rFonts w:asciiTheme="majorBidi" w:eastAsiaTheme="minorEastAsia" w:hAnsiTheme="majorBidi" w:cstheme="majorBidi"/>
          <w:i/>
          <w:iCs/>
          <w:szCs w:val="24"/>
          <w:lang w:val="en-US" w:eastAsia="zh-CN"/>
        </w:rPr>
        <w:t>1 525-1 559 MHz and 1 626.5-1 660.5 MHz by the mobile-satellite service, and procedures to ensure long-term spectrum access for the aeronautical mobile-satellite (R) service</w:t>
      </w:r>
      <w:r w:rsidR="00F30B4D" w:rsidRPr="00F30B4D">
        <w:rPr>
          <w:rFonts w:asciiTheme="majorBidi" w:eastAsiaTheme="minorEastAsia" w:hAnsiTheme="majorBidi" w:cstheme="majorBidi"/>
          <w:szCs w:val="24"/>
          <w:lang w:val="en-US" w:eastAsia="zh-CN"/>
        </w:rPr>
        <w:t>”.</w:t>
      </w:r>
    </w:p>
    <w:p w:rsidR="00F30B4D" w:rsidRPr="00DE666B" w:rsidRDefault="00DE666B" w:rsidP="00DE666B">
      <w:pPr>
        <w:tabs>
          <w:tab w:val="clear" w:pos="794"/>
          <w:tab w:val="clear" w:pos="1191"/>
          <w:tab w:val="clear" w:pos="1588"/>
          <w:tab w:val="clear" w:pos="1985"/>
        </w:tabs>
        <w:overflowPunct/>
        <w:textAlignment w:val="auto"/>
        <w:rPr>
          <w:rFonts w:asciiTheme="majorBidi" w:eastAsiaTheme="minorEastAsia" w:hAnsiTheme="majorBidi" w:cstheme="majorBidi"/>
          <w:szCs w:val="24"/>
          <w:lang w:val="en-US" w:eastAsia="zh-CN"/>
        </w:rPr>
      </w:pPr>
      <w:r>
        <w:rPr>
          <w:rFonts w:asciiTheme="majorBidi" w:eastAsiaTheme="minorEastAsia" w:hAnsiTheme="majorBidi" w:cstheme="majorBidi"/>
          <w:szCs w:val="24"/>
          <w:lang w:val="en-US" w:eastAsia="zh-CN"/>
        </w:rPr>
        <w:t>T</w:t>
      </w:r>
      <w:r w:rsidRPr="00DE666B">
        <w:rPr>
          <w:rFonts w:asciiTheme="majorBidi" w:eastAsiaTheme="minorEastAsia" w:hAnsiTheme="majorBidi" w:cstheme="majorBidi"/>
          <w:szCs w:val="24"/>
          <w:lang w:val="en-US" w:eastAsia="zh-CN"/>
        </w:rPr>
        <w:t xml:space="preserve">he </w:t>
      </w:r>
      <w:r w:rsidR="00F30B4D" w:rsidRPr="00DE666B">
        <w:rPr>
          <w:rFonts w:asciiTheme="majorBidi" w:eastAsiaTheme="minorEastAsia" w:hAnsiTheme="majorBidi" w:cstheme="majorBidi"/>
          <w:szCs w:val="24"/>
          <w:lang w:val="en-US" w:eastAsia="zh-CN"/>
        </w:rPr>
        <w:t xml:space="preserve">attention of administrations </w:t>
      </w:r>
      <w:r>
        <w:rPr>
          <w:rFonts w:asciiTheme="majorBidi" w:eastAsiaTheme="minorEastAsia" w:hAnsiTheme="majorBidi" w:cstheme="majorBidi"/>
          <w:szCs w:val="24"/>
          <w:lang w:val="en-US" w:eastAsia="zh-CN"/>
        </w:rPr>
        <w:t xml:space="preserve">is drawn </w:t>
      </w:r>
      <w:r w:rsidR="00F30B4D" w:rsidRPr="00DE666B">
        <w:rPr>
          <w:rFonts w:asciiTheme="majorBidi" w:eastAsiaTheme="minorEastAsia" w:hAnsiTheme="majorBidi" w:cstheme="majorBidi"/>
          <w:szCs w:val="24"/>
          <w:lang w:val="en-US" w:eastAsia="zh-CN"/>
        </w:rPr>
        <w:t xml:space="preserve">to the Annex </w:t>
      </w:r>
      <w:r>
        <w:rPr>
          <w:rFonts w:asciiTheme="majorBidi" w:eastAsiaTheme="minorEastAsia" w:hAnsiTheme="majorBidi" w:cstheme="majorBidi"/>
          <w:szCs w:val="24"/>
          <w:lang w:val="en-US" w:eastAsia="zh-CN"/>
        </w:rPr>
        <w:t>to</w:t>
      </w:r>
      <w:r w:rsidRPr="00DE666B">
        <w:rPr>
          <w:rFonts w:asciiTheme="majorBidi" w:eastAsiaTheme="minorEastAsia" w:hAnsiTheme="majorBidi" w:cstheme="majorBidi"/>
          <w:szCs w:val="24"/>
          <w:lang w:val="en-US" w:eastAsia="zh-CN"/>
        </w:rPr>
        <w:t xml:space="preserve"> </w:t>
      </w:r>
      <w:r w:rsidR="00F30B4D" w:rsidRPr="00DE666B">
        <w:rPr>
          <w:rFonts w:asciiTheme="majorBidi" w:eastAsiaTheme="minorEastAsia" w:hAnsiTheme="majorBidi" w:cstheme="majorBidi"/>
          <w:szCs w:val="24"/>
          <w:lang w:val="en-US" w:eastAsia="zh-CN"/>
        </w:rPr>
        <w:t xml:space="preserve">the Resolution containing </w:t>
      </w:r>
      <w:r>
        <w:rPr>
          <w:rFonts w:asciiTheme="majorBidi" w:eastAsiaTheme="minorEastAsia" w:hAnsiTheme="majorBidi" w:cstheme="majorBidi"/>
          <w:szCs w:val="24"/>
          <w:lang w:val="en-US" w:eastAsia="zh-CN"/>
        </w:rPr>
        <w:t xml:space="preserve">a </w:t>
      </w:r>
      <w:r w:rsidR="00F30B4D" w:rsidRPr="00DE666B">
        <w:rPr>
          <w:rFonts w:asciiTheme="majorBidi" w:eastAsiaTheme="minorEastAsia" w:hAnsiTheme="majorBidi" w:cstheme="majorBidi"/>
          <w:szCs w:val="24"/>
          <w:lang w:val="en-US" w:eastAsia="zh-CN"/>
        </w:rPr>
        <w:t xml:space="preserve">description of </w:t>
      </w:r>
      <w:r>
        <w:rPr>
          <w:rFonts w:asciiTheme="majorBidi" w:eastAsiaTheme="minorEastAsia" w:hAnsiTheme="majorBidi" w:cstheme="majorBidi"/>
          <w:szCs w:val="24"/>
          <w:lang w:val="en-US" w:eastAsia="zh-CN"/>
        </w:rPr>
        <w:t xml:space="preserve">the </w:t>
      </w:r>
      <w:r w:rsidR="00F30B4D" w:rsidRPr="00DE666B">
        <w:rPr>
          <w:rFonts w:asciiTheme="majorBidi" w:eastAsiaTheme="minorEastAsia" w:hAnsiTheme="majorBidi" w:cstheme="majorBidi"/>
          <w:szCs w:val="24"/>
          <w:lang w:val="en-US" w:eastAsia="zh-CN"/>
        </w:rPr>
        <w:t>procedure to implement No.</w:t>
      </w:r>
      <w:r w:rsidR="00F30B4D" w:rsidRPr="00DE666B">
        <w:rPr>
          <w:rFonts w:asciiTheme="majorBidi" w:eastAsiaTheme="minorEastAsia" w:hAnsiTheme="majorBidi" w:cstheme="majorBidi"/>
          <w:b/>
          <w:bCs/>
          <w:szCs w:val="24"/>
          <w:lang w:val="en-US" w:eastAsia="zh-CN"/>
        </w:rPr>
        <w:t xml:space="preserve">5.537A </w:t>
      </w:r>
      <w:r w:rsidR="00F30B4D" w:rsidRPr="00DE666B">
        <w:rPr>
          <w:rFonts w:asciiTheme="majorBidi" w:eastAsiaTheme="minorEastAsia" w:hAnsiTheme="majorBidi" w:cstheme="majorBidi"/>
          <w:szCs w:val="24"/>
          <w:lang w:val="en-US" w:eastAsia="zh-CN"/>
        </w:rPr>
        <w:t>and</w:t>
      </w:r>
      <w:r w:rsidR="00F30B4D" w:rsidRPr="00DE666B">
        <w:rPr>
          <w:rFonts w:asciiTheme="majorBidi" w:eastAsiaTheme="minorEastAsia" w:hAnsiTheme="majorBidi" w:cstheme="majorBidi"/>
          <w:b/>
          <w:bCs/>
          <w:szCs w:val="24"/>
          <w:lang w:val="en-US" w:eastAsia="zh-CN"/>
        </w:rPr>
        <w:t xml:space="preserve"> </w:t>
      </w:r>
      <w:r w:rsidR="00F30B4D" w:rsidRPr="00DE666B">
        <w:rPr>
          <w:rFonts w:asciiTheme="majorBidi" w:eastAsiaTheme="minorEastAsia" w:hAnsiTheme="majorBidi" w:cstheme="majorBidi"/>
          <w:szCs w:val="24"/>
          <w:lang w:val="en-US" w:eastAsia="zh-CN"/>
        </w:rPr>
        <w:t xml:space="preserve">to facilitate frequency coordination of MSS, including AMS(R)S </w:t>
      </w:r>
      <w:r>
        <w:rPr>
          <w:rFonts w:asciiTheme="majorBidi" w:eastAsiaTheme="minorEastAsia" w:hAnsiTheme="majorBidi" w:cstheme="majorBidi"/>
          <w:szCs w:val="24"/>
          <w:lang w:val="en-US" w:eastAsia="zh-CN"/>
        </w:rPr>
        <w:t xml:space="preserve">satellite networks </w:t>
      </w:r>
      <w:r w:rsidR="00F30B4D" w:rsidRPr="00DE666B">
        <w:rPr>
          <w:rFonts w:asciiTheme="majorBidi" w:eastAsiaTheme="minorEastAsia" w:hAnsiTheme="majorBidi" w:cstheme="majorBidi"/>
          <w:szCs w:val="24"/>
          <w:lang w:val="en-US" w:eastAsia="zh-CN"/>
        </w:rPr>
        <w:t xml:space="preserve">in the frequency bands 1 525-1 559 MHz and 1 626.5-1 660.5 </w:t>
      </w:r>
      <w:proofErr w:type="spellStart"/>
      <w:r w:rsidR="00F30B4D" w:rsidRPr="00DE666B">
        <w:rPr>
          <w:rFonts w:asciiTheme="majorBidi" w:eastAsiaTheme="minorEastAsia" w:hAnsiTheme="majorBidi" w:cstheme="majorBidi"/>
          <w:szCs w:val="24"/>
          <w:lang w:val="en-US" w:eastAsia="zh-CN"/>
        </w:rPr>
        <w:t>MHz.</w:t>
      </w:r>
      <w:proofErr w:type="spellEnd"/>
      <w:r w:rsidR="00F30B4D" w:rsidRPr="00DE666B">
        <w:rPr>
          <w:rFonts w:asciiTheme="majorBidi" w:eastAsiaTheme="minorEastAsia" w:hAnsiTheme="majorBidi" w:cstheme="majorBidi"/>
          <w:szCs w:val="24"/>
          <w:lang w:val="en-US" w:eastAsia="zh-CN"/>
        </w:rPr>
        <w:t xml:space="preserve"> This includes certain obligations for administrations participating in the process to communicate to the Bureau for publication the results of frequency coordination and </w:t>
      </w:r>
      <w:r>
        <w:rPr>
          <w:rFonts w:asciiTheme="majorBidi" w:eastAsiaTheme="minorEastAsia" w:hAnsiTheme="majorBidi" w:cstheme="majorBidi"/>
          <w:szCs w:val="24"/>
          <w:lang w:val="en-US" w:eastAsia="zh-CN"/>
        </w:rPr>
        <w:t>R</w:t>
      </w:r>
      <w:r w:rsidR="00F30B4D" w:rsidRPr="00DE666B">
        <w:rPr>
          <w:rFonts w:asciiTheme="majorBidi" w:eastAsiaTheme="minorEastAsia" w:hAnsiTheme="majorBidi" w:cstheme="majorBidi"/>
          <w:szCs w:val="24"/>
          <w:lang w:val="en-US" w:eastAsia="zh-CN"/>
        </w:rPr>
        <w:t xml:space="preserve">eassessment </w:t>
      </w:r>
      <w:r>
        <w:rPr>
          <w:rFonts w:asciiTheme="majorBidi" w:eastAsiaTheme="minorEastAsia" w:hAnsiTheme="majorBidi" w:cstheme="majorBidi"/>
          <w:szCs w:val="24"/>
          <w:lang w:val="en-US" w:eastAsia="zh-CN"/>
        </w:rPr>
        <w:t>M</w:t>
      </w:r>
      <w:r w:rsidR="00F30B4D" w:rsidRPr="00DE666B">
        <w:rPr>
          <w:rFonts w:asciiTheme="majorBidi" w:eastAsiaTheme="minorEastAsia" w:hAnsiTheme="majorBidi" w:cstheme="majorBidi"/>
          <w:szCs w:val="24"/>
          <w:lang w:val="en-US" w:eastAsia="zh-CN"/>
        </w:rPr>
        <w:t>eetings.</w:t>
      </w:r>
    </w:p>
    <w:p w:rsidR="00F30B4D" w:rsidRPr="00DE666B" w:rsidRDefault="00F30B4D" w:rsidP="00F30B4D">
      <w:pPr>
        <w:tabs>
          <w:tab w:val="clear" w:pos="794"/>
          <w:tab w:val="clear" w:pos="1191"/>
          <w:tab w:val="clear" w:pos="1588"/>
          <w:tab w:val="clear" w:pos="1985"/>
        </w:tabs>
        <w:overflowPunct/>
        <w:textAlignment w:val="auto"/>
        <w:rPr>
          <w:rFonts w:asciiTheme="majorBidi" w:eastAsiaTheme="minorEastAsia" w:hAnsiTheme="majorBidi" w:cstheme="majorBidi"/>
          <w:szCs w:val="24"/>
          <w:lang w:val="en-US" w:eastAsia="zh-CN"/>
        </w:rPr>
      </w:pPr>
      <w:r w:rsidRPr="00DE666B">
        <w:rPr>
          <w:rFonts w:asciiTheme="majorBidi" w:eastAsiaTheme="minorEastAsia" w:hAnsiTheme="majorBidi" w:cstheme="majorBidi"/>
          <w:szCs w:val="24"/>
          <w:lang w:val="en-US" w:eastAsia="zh-CN"/>
        </w:rPr>
        <w:t>The coordination process remains bilateral/multilateral between administrations. Nevertheless, as stipulated in the Resolution, in case of continuing disagreement</w:t>
      </w:r>
      <w:r w:rsidR="00530ECC">
        <w:rPr>
          <w:rFonts w:asciiTheme="majorBidi" w:eastAsiaTheme="minorEastAsia" w:hAnsiTheme="majorBidi" w:cstheme="majorBidi"/>
          <w:szCs w:val="24"/>
          <w:lang w:val="en-US" w:eastAsia="zh-CN"/>
        </w:rPr>
        <w:t>,</w:t>
      </w:r>
      <w:r w:rsidRPr="00DE666B">
        <w:rPr>
          <w:rFonts w:asciiTheme="majorBidi" w:eastAsiaTheme="minorEastAsia" w:hAnsiTheme="majorBidi" w:cstheme="majorBidi"/>
          <w:szCs w:val="24"/>
          <w:lang w:val="en-US" w:eastAsia="zh-CN"/>
        </w:rPr>
        <w:t xml:space="preserve"> administrations may request assistance from the Bureau as well as invite the Bureau to participate during Reassessment Meetings.</w:t>
      </w:r>
    </w:p>
    <w:p w:rsidR="00DB3965" w:rsidRDefault="00BB5DD2" w:rsidP="00D519A4">
      <w:pPr>
        <w:tabs>
          <w:tab w:val="clear" w:pos="794"/>
          <w:tab w:val="clear" w:pos="1191"/>
          <w:tab w:val="clear" w:pos="1588"/>
          <w:tab w:val="clear" w:pos="1985"/>
          <w:tab w:val="left" w:pos="0"/>
        </w:tabs>
        <w:spacing w:before="240"/>
        <w:rPr>
          <w:lang w:val="en-US"/>
        </w:rPr>
      </w:pPr>
      <w:r>
        <w:rPr>
          <w:lang w:val="en-US"/>
        </w:rPr>
        <w:t>6</w:t>
      </w:r>
      <w:r w:rsidR="00D80617" w:rsidRPr="00076B99">
        <w:rPr>
          <w:lang w:val="en-US"/>
        </w:rPr>
        <w:t>.</w:t>
      </w:r>
      <w:r w:rsidR="00CC5AE9">
        <w:rPr>
          <w:lang w:val="en-US"/>
        </w:rPr>
        <w:t>10</w:t>
      </w:r>
      <w:r w:rsidR="00156F75" w:rsidRPr="00076B99">
        <w:rPr>
          <w:lang w:val="en-US"/>
        </w:rPr>
        <w:tab/>
      </w:r>
      <w:r w:rsidR="00527793" w:rsidRPr="00076B99">
        <w:rPr>
          <w:i/>
          <w:iCs/>
          <w:lang w:val="en-US"/>
        </w:rPr>
        <w:t xml:space="preserve">Resolution </w:t>
      </w:r>
      <w:r w:rsidR="006932B4" w:rsidRPr="006932B4">
        <w:rPr>
          <w:b/>
          <w:bCs/>
          <w:i/>
          <w:iCs/>
          <w:lang w:val="en-US"/>
        </w:rPr>
        <w:t>807</w:t>
      </w:r>
      <w:r w:rsidR="00156F75" w:rsidRPr="00076B99">
        <w:rPr>
          <w:i/>
          <w:iCs/>
          <w:lang w:val="en-US"/>
        </w:rPr>
        <w:t xml:space="preserve"> </w:t>
      </w:r>
      <w:r w:rsidR="006932B4" w:rsidRPr="006932B4">
        <w:rPr>
          <w:b/>
          <w:bCs/>
          <w:i/>
          <w:iCs/>
          <w:lang w:val="en-US"/>
        </w:rPr>
        <w:t>(WRC-</w:t>
      </w:r>
      <w:r w:rsidR="000629E2">
        <w:rPr>
          <w:b/>
          <w:bCs/>
          <w:i/>
          <w:iCs/>
          <w:lang w:val="en-US"/>
        </w:rPr>
        <w:t>12</w:t>
      </w:r>
      <w:r w:rsidR="006932B4" w:rsidRPr="006932B4">
        <w:rPr>
          <w:b/>
          <w:bCs/>
          <w:i/>
          <w:iCs/>
          <w:lang w:val="en-US"/>
        </w:rPr>
        <w:t>)</w:t>
      </w:r>
      <w:r w:rsidR="00156F75" w:rsidRPr="00076B99">
        <w:rPr>
          <w:i/>
          <w:iCs/>
          <w:lang w:val="en-US"/>
        </w:rPr>
        <w:t>, dealing with the agenda for the 201</w:t>
      </w:r>
      <w:r w:rsidR="00527793" w:rsidRPr="00076B99">
        <w:rPr>
          <w:i/>
          <w:iCs/>
          <w:lang w:val="en-US"/>
        </w:rPr>
        <w:t>5</w:t>
      </w:r>
      <w:r w:rsidR="00156F75" w:rsidRPr="00076B99">
        <w:rPr>
          <w:i/>
          <w:iCs/>
          <w:lang w:val="en-US"/>
        </w:rPr>
        <w:t xml:space="preserve"> World </w:t>
      </w:r>
      <w:proofErr w:type="spellStart"/>
      <w:r w:rsidR="00156F75" w:rsidRPr="00076B99">
        <w:rPr>
          <w:i/>
          <w:iCs/>
          <w:lang w:val="en-US"/>
        </w:rPr>
        <w:t>Radiocommunication</w:t>
      </w:r>
      <w:proofErr w:type="spellEnd"/>
      <w:r w:rsidR="00156F75" w:rsidRPr="00076B99">
        <w:rPr>
          <w:i/>
          <w:iCs/>
          <w:lang w:val="en-US"/>
        </w:rPr>
        <w:t xml:space="preserve"> Conference</w:t>
      </w:r>
      <w:r w:rsidR="007450C8" w:rsidRPr="004064FD">
        <w:rPr>
          <w:lang w:val="en-US"/>
        </w:rPr>
        <w:t xml:space="preserve"> and </w:t>
      </w:r>
      <w:r w:rsidR="007450C8" w:rsidRPr="004064FD">
        <w:rPr>
          <w:i/>
          <w:iCs/>
          <w:lang w:val="en-US"/>
        </w:rPr>
        <w:t>Resolution 80</w:t>
      </w:r>
      <w:r w:rsidR="00FA0434" w:rsidRPr="004064FD">
        <w:rPr>
          <w:i/>
          <w:iCs/>
          <w:lang w:val="en-US"/>
        </w:rPr>
        <w:t>8</w:t>
      </w:r>
      <w:r w:rsidR="007450C8" w:rsidRPr="004064FD">
        <w:rPr>
          <w:i/>
          <w:iCs/>
          <w:lang w:val="en-US"/>
        </w:rPr>
        <w:t xml:space="preserve"> (WRC-12), dealing with the </w:t>
      </w:r>
      <w:r w:rsidR="00FA0434" w:rsidRPr="004064FD">
        <w:rPr>
          <w:i/>
          <w:iCs/>
          <w:lang w:val="en-US"/>
        </w:rPr>
        <w:t xml:space="preserve">preliminary </w:t>
      </w:r>
      <w:r w:rsidR="007450C8" w:rsidRPr="004064FD">
        <w:rPr>
          <w:i/>
          <w:iCs/>
          <w:lang w:val="en-US"/>
        </w:rPr>
        <w:t>agenda for the 201</w:t>
      </w:r>
      <w:r w:rsidR="00FA0434" w:rsidRPr="004064FD">
        <w:rPr>
          <w:i/>
          <w:iCs/>
          <w:lang w:val="en-US"/>
        </w:rPr>
        <w:t>8</w:t>
      </w:r>
      <w:r w:rsidR="007450C8" w:rsidRPr="004064FD">
        <w:rPr>
          <w:i/>
          <w:iCs/>
          <w:lang w:val="en-US"/>
        </w:rPr>
        <w:t xml:space="preserve"> World </w:t>
      </w:r>
      <w:proofErr w:type="spellStart"/>
      <w:r w:rsidR="007450C8" w:rsidRPr="004064FD">
        <w:rPr>
          <w:i/>
          <w:iCs/>
          <w:lang w:val="en-US"/>
        </w:rPr>
        <w:t>Radiocommunication</w:t>
      </w:r>
      <w:proofErr w:type="spellEnd"/>
      <w:r w:rsidR="007450C8" w:rsidRPr="004064FD">
        <w:rPr>
          <w:i/>
          <w:iCs/>
          <w:lang w:val="en-US"/>
        </w:rPr>
        <w:t xml:space="preserve"> Conference</w:t>
      </w:r>
      <w:r w:rsidR="00156F75" w:rsidRPr="004064FD">
        <w:rPr>
          <w:i/>
          <w:iCs/>
          <w:lang w:val="en-US"/>
        </w:rPr>
        <w:t xml:space="preserve">: </w:t>
      </w:r>
      <w:r w:rsidR="00156F75" w:rsidRPr="004064FD">
        <w:rPr>
          <w:lang w:val="en-US"/>
        </w:rPr>
        <w:t xml:space="preserve">in accordance with standard practices, the necessary preparatory actions have been initiated and the results </w:t>
      </w:r>
      <w:r w:rsidR="007450C8" w:rsidRPr="004064FD">
        <w:rPr>
          <w:lang w:val="en-US"/>
        </w:rPr>
        <w:t xml:space="preserve">of the first session of the </w:t>
      </w:r>
      <w:r w:rsidR="00FA0434" w:rsidRPr="004064FD">
        <w:rPr>
          <w:lang w:val="en-US"/>
        </w:rPr>
        <w:t xml:space="preserve">2015 </w:t>
      </w:r>
      <w:r w:rsidR="007450C8" w:rsidRPr="004064FD">
        <w:rPr>
          <w:lang w:val="en-US"/>
        </w:rPr>
        <w:t>Conf</w:t>
      </w:r>
      <w:r w:rsidR="00B621B3" w:rsidRPr="004064FD">
        <w:rPr>
          <w:lang w:val="en-US"/>
        </w:rPr>
        <w:t>erence Preparatory Meeting (CPM</w:t>
      </w:r>
      <w:r w:rsidR="007450C8" w:rsidRPr="004064FD">
        <w:rPr>
          <w:lang w:val="en-US"/>
        </w:rPr>
        <w:t>15-1)</w:t>
      </w:r>
      <w:r w:rsidR="00FA0434" w:rsidRPr="004064FD">
        <w:rPr>
          <w:lang w:val="en-US"/>
        </w:rPr>
        <w:t xml:space="preserve"> </w:t>
      </w:r>
      <w:r w:rsidR="00156F75" w:rsidRPr="004064FD">
        <w:rPr>
          <w:lang w:val="en-US"/>
        </w:rPr>
        <w:t>have been dispatched to the membership (</w:t>
      </w:r>
      <w:r w:rsidR="007450C8" w:rsidRPr="004064FD">
        <w:rPr>
          <w:lang w:val="en-US"/>
        </w:rPr>
        <w:t>see</w:t>
      </w:r>
      <w:r w:rsidR="00FA0434" w:rsidRPr="004064FD">
        <w:rPr>
          <w:lang w:val="en-US"/>
        </w:rPr>
        <w:t xml:space="preserve"> </w:t>
      </w:r>
      <w:r w:rsidR="00156F75" w:rsidRPr="004064FD">
        <w:rPr>
          <w:lang w:val="en-US"/>
        </w:rPr>
        <w:t xml:space="preserve">Administrative Circular </w:t>
      </w:r>
      <w:r w:rsidR="006932B4" w:rsidRPr="004064FD">
        <w:rPr>
          <w:b/>
          <w:bCs/>
          <w:lang w:val="en-US"/>
        </w:rPr>
        <w:t>CA</w:t>
      </w:r>
      <w:r w:rsidR="00156F75" w:rsidRPr="004064FD">
        <w:rPr>
          <w:lang w:val="en-US"/>
        </w:rPr>
        <w:t>/</w:t>
      </w:r>
      <w:r w:rsidR="00F56207" w:rsidRPr="004064FD">
        <w:rPr>
          <w:lang w:val="en-US"/>
        </w:rPr>
        <w:t>201</w:t>
      </w:r>
      <w:r w:rsidR="00B621B3" w:rsidRPr="004064FD">
        <w:rPr>
          <w:lang w:val="en-US"/>
        </w:rPr>
        <w:t xml:space="preserve"> </w:t>
      </w:r>
      <w:r w:rsidR="007450C8" w:rsidRPr="004064FD">
        <w:rPr>
          <w:lang w:val="en-US"/>
        </w:rPr>
        <w:t xml:space="preserve">of 19 March 2012 as well as the regularly updated web page on the ITU-R Preparatory Studies for WRC-15 at: </w:t>
      </w:r>
      <w:hyperlink r:id="rId10" w:history="1">
        <w:r w:rsidR="007450C8" w:rsidRPr="004064FD">
          <w:rPr>
            <w:rStyle w:val="Hyperlink"/>
            <w:lang w:val="en-US"/>
          </w:rPr>
          <w:t>http://www.itu.int/ITU-R/go/rcpm-wrc-15-studies</w:t>
        </w:r>
      </w:hyperlink>
      <w:r w:rsidR="00156F75" w:rsidRPr="004064FD">
        <w:rPr>
          <w:lang w:val="en-US"/>
        </w:rPr>
        <w:t>).</w:t>
      </w:r>
    </w:p>
    <w:p w:rsidR="00156F75" w:rsidRPr="00076B99" w:rsidRDefault="00BB5DD2" w:rsidP="00D519A4">
      <w:pPr>
        <w:tabs>
          <w:tab w:val="clear" w:pos="794"/>
          <w:tab w:val="clear" w:pos="1191"/>
          <w:tab w:val="clear" w:pos="1588"/>
          <w:tab w:val="clear" w:pos="1985"/>
          <w:tab w:val="left" w:pos="0"/>
        </w:tabs>
        <w:spacing w:before="240"/>
        <w:rPr>
          <w:lang w:val="en-US"/>
        </w:rPr>
      </w:pPr>
      <w:r>
        <w:rPr>
          <w:lang w:val="en-US"/>
        </w:rPr>
        <w:t>7</w:t>
      </w:r>
      <w:r w:rsidR="00156F75" w:rsidRPr="00076B99">
        <w:rPr>
          <w:lang w:val="en-US"/>
        </w:rPr>
        <w:tab/>
        <w:t xml:space="preserve">Finally, I wish to draw your attention to the provisions of Article </w:t>
      </w:r>
      <w:r w:rsidR="006932B4" w:rsidRPr="006932B4">
        <w:rPr>
          <w:b/>
          <w:bCs/>
          <w:lang w:val="en-US"/>
        </w:rPr>
        <w:t>54</w:t>
      </w:r>
      <w:r w:rsidR="00156F75" w:rsidRPr="00076B99">
        <w:rPr>
          <w:lang w:val="en-US"/>
        </w:rPr>
        <w:t xml:space="preserve"> of the Constitution, which invites the Member States to notify the Secretary-General of their consent to be bound by the revisions of the Radio Regulations. </w:t>
      </w:r>
    </w:p>
    <w:p w:rsidR="00156F75" w:rsidRPr="00076B99" w:rsidRDefault="00BB5DD2" w:rsidP="00D519A4">
      <w:pPr>
        <w:tabs>
          <w:tab w:val="clear" w:pos="794"/>
          <w:tab w:val="clear" w:pos="1191"/>
          <w:tab w:val="clear" w:pos="1588"/>
          <w:tab w:val="clear" w:pos="1985"/>
          <w:tab w:val="left" w:pos="0"/>
        </w:tabs>
        <w:spacing w:before="240"/>
        <w:rPr>
          <w:lang w:val="en-US"/>
        </w:rPr>
      </w:pPr>
      <w:r>
        <w:rPr>
          <w:lang w:val="en-US"/>
        </w:rPr>
        <w:t>8</w:t>
      </w:r>
      <w:r w:rsidR="00156F75" w:rsidRPr="00076B99">
        <w:rPr>
          <w:lang w:val="en-US"/>
        </w:rPr>
        <w:tab/>
        <w:t>The Bureau remains at the disposal of your administration for any clarification you may require with respect to the subjects covered in this Circular Letter.</w:t>
      </w:r>
    </w:p>
    <w:p w:rsidR="00156F75" w:rsidRPr="00076B99" w:rsidRDefault="00156F75" w:rsidP="00156F75">
      <w:pPr>
        <w:tabs>
          <w:tab w:val="clear" w:pos="794"/>
          <w:tab w:val="clear" w:pos="1191"/>
          <w:tab w:val="clear" w:pos="1588"/>
          <w:tab w:val="clear" w:pos="1985"/>
          <w:tab w:val="center" w:pos="7140"/>
        </w:tabs>
      </w:pPr>
      <w:r w:rsidRPr="00076B99">
        <w:tab/>
        <w:t>Yours faithfully,</w:t>
      </w:r>
      <w:r w:rsidRPr="00076B99">
        <w:br/>
      </w:r>
    </w:p>
    <w:p w:rsidR="00156F75" w:rsidRPr="00076B99" w:rsidRDefault="00156F75" w:rsidP="007F29AA">
      <w:pPr>
        <w:tabs>
          <w:tab w:val="clear" w:pos="794"/>
          <w:tab w:val="clear" w:pos="1191"/>
          <w:tab w:val="clear" w:pos="1588"/>
          <w:tab w:val="clear" w:pos="1985"/>
          <w:tab w:val="center" w:pos="7140"/>
        </w:tabs>
        <w:spacing w:before="720"/>
      </w:pPr>
      <w:r w:rsidRPr="00076B99">
        <w:tab/>
      </w:r>
      <w:r w:rsidR="007F29AA" w:rsidRPr="00076B99">
        <w:t>F. Rancy</w:t>
      </w:r>
      <w:r w:rsidRPr="00076B99">
        <w:br/>
      </w:r>
      <w:r w:rsidRPr="00076B99">
        <w:tab/>
        <w:t>Director, Radiocommunication Bureau</w:t>
      </w:r>
    </w:p>
    <w:p w:rsidR="004064FD" w:rsidRDefault="004064FD" w:rsidP="00156F75"/>
    <w:p w:rsidR="004064FD" w:rsidRDefault="004064FD" w:rsidP="00156F75"/>
    <w:p w:rsidR="00156F75" w:rsidRPr="00076B99" w:rsidRDefault="00626783" w:rsidP="00156F75">
      <w:r>
        <w:t>Annex</w:t>
      </w:r>
      <w:r w:rsidR="006B01EE">
        <w:t>es: 2</w:t>
      </w:r>
    </w:p>
    <w:p w:rsidR="004064FD" w:rsidRDefault="004064FD" w:rsidP="00156F75">
      <w:pPr>
        <w:pStyle w:val="toc0"/>
        <w:tabs>
          <w:tab w:val="left" w:pos="794"/>
          <w:tab w:val="left" w:pos="1191"/>
          <w:tab w:val="left" w:pos="1588"/>
          <w:tab w:val="left" w:pos="1985"/>
        </w:tabs>
        <w:spacing w:before="480"/>
        <w:jc w:val="both"/>
        <w:rPr>
          <w:bCs/>
          <w:sz w:val="18"/>
          <w:szCs w:val="18"/>
        </w:rPr>
      </w:pPr>
      <w:bookmarkStart w:id="8" w:name="ddistribution"/>
      <w:bookmarkEnd w:id="8"/>
    </w:p>
    <w:p w:rsidR="00156F75" w:rsidRPr="00076B99" w:rsidRDefault="00156F75" w:rsidP="00156F75">
      <w:pPr>
        <w:pStyle w:val="toc0"/>
        <w:tabs>
          <w:tab w:val="left" w:pos="794"/>
          <w:tab w:val="left" w:pos="1191"/>
          <w:tab w:val="left" w:pos="1588"/>
          <w:tab w:val="left" w:pos="1985"/>
        </w:tabs>
        <w:spacing w:before="480"/>
        <w:jc w:val="both"/>
        <w:rPr>
          <w:bCs/>
          <w:sz w:val="18"/>
          <w:szCs w:val="18"/>
        </w:rPr>
      </w:pPr>
      <w:r w:rsidRPr="00076B99">
        <w:rPr>
          <w:bCs/>
          <w:sz w:val="18"/>
          <w:szCs w:val="18"/>
        </w:rPr>
        <w:t>Distribution:</w:t>
      </w:r>
    </w:p>
    <w:p w:rsidR="00156F75" w:rsidRPr="00076B99" w:rsidRDefault="00156F75" w:rsidP="00156F75">
      <w:pPr>
        <w:pStyle w:val="enumlev1"/>
        <w:tabs>
          <w:tab w:val="clear" w:pos="794"/>
          <w:tab w:val="left" w:pos="284"/>
        </w:tabs>
        <w:rPr>
          <w:sz w:val="18"/>
          <w:szCs w:val="18"/>
        </w:rPr>
      </w:pPr>
      <w:r w:rsidRPr="00076B99">
        <w:rPr>
          <w:sz w:val="18"/>
          <w:szCs w:val="18"/>
        </w:rPr>
        <w:t>–</w:t>
      </w:r>
      <w:r w:rsidRPr="00076B99">
        <w:rPr>
          <w:sz w:val="18"/>
          <w:szCs w:val="18"/>
        </w:rPr>
        <w:tab/>
        <w:t>Administrations of Member States of ITU</w:t>
      </w:r>
    </w:p>
    <w:p w:rsidR="00156F75" w:rsidRPr="008D4874" w:rsidRDefault="00156F75" w:rsidP="00156F75">
      <w:pPr>
        <w:pStyle w:val="enumlev1"/>
        <w:tabs>
          <w:tab w:val="clear" w:pos="794"/>
          <w:tab w:val="left" w:pos="284"/>
        </w:tabs>
        <w:spacing w:before="0"/>
        <w:rPr>
          <w:sz w:val="18"/>
          <w:szCs w:val="18"/>
        </w:rPr>
      </w:pPr>
      <w:r w:rsidRPr="00076B99">
        <w:rPr>
          <w:sz w:val="18"/>
          <w:szCs w:val="18"/>
        </w:rPr>
        <w:t>–</w:t>
      </w:r>
      <w:r w:rsidRPr="00076B99">
        <w:rPr>
          <w:sz w:val="18"/>
          <w:szCs w:val="18"/>
        </w:rPr>
        <w:tab/>
        <w:t>Members of the Radio Regulations Board</w:t>
      </w:r>
    </w:p>
    <w:p w:rsidR="00626783" w:rsidRDefault="00626783" w:rsidP="00626783">
      <w:pPr>
        <w:pStyle w:val="AnnexNotitle"/>
        <w:spacing w:after="80"/>
      </w:pPr>
      <w:r>
        <w:rPr>
          <w:b w:val="0"/>
          <w:bCs/>
        </w:rPr>
        <w:lastRenderedPageBreak/>
        <w:t>ANNEX</w:t>
      </w:r>
      <w:r w:rsidR="006B01EE">
        <w:rPr>
          <w:b w:val="0"/>
          <w:bCs/>
        </w:rPr>
        <w:t xml:space="preserve"> 1</w:t>
      </w:r>
    </w:p>
    <w:p w:rsidR="00626783" w:rsidRPr="00DB7697" w:rsidRDefault="00417209" w:rsidP="00075873">
      <w:pPr>
        <w:pStyle w:val="AnnexNotitle"/>
        <w:spacing w:before="240"/>
      </w:pPr>
      <w:r>
        <w:t xml:space="preserve">Table of correspondence between provisional and final </w:t>
      </w:r>
      <w:r w:rsidR="00626783" w:rsidRPr="00DB7697">
        <w:t xml:space="preserve">numbers for </w:t>
      </w:r>
      <w:r w:rsidR="00075873">
        <w:br/>
      </w:r>
      <w:r w:rsidR="00626783" w:rsidRPr="00DB7697">
        <w:t xml:space="preserve">new </w:t>
      </w:r>
      <w:r w:rsidR="00075873">
        <w:t>WRC-12 Resolutions and Recommendations</w:t>
      </w:r>
      <w:r w:rsidR="00547645">
        <w:br/>
      </w:r>
    </w:p>
    <w:tbl>
      <w:tblPr>
        <w:tblStyle w:val="TableGrid"/>
        <w:tblW w:w="0" w:type="auto"/>
        <w:jc w:val="center"/>
        <w:tblLook w:val="04A0" w:firstRow="1" w:lastRow="0" w:firstColumn="1" w:lastColumn="0" w:noHBand="0" w:noVBand="1"/>
      </w:tblPr>
      <w:tblGrid>
        <w:gridCol w:w="1134"/>
        <w:gridCol w:w="1767"/>
        <w:gridCol w:w="1781"/>
        <w:gridCol w:w="1134"/>
        <w:gridCol w:w="1686"/>
      </w:tblGrid>
      <w:tr w:rsidR="00547645" w:rsidTr="001D4410">
        <w:trPr>
          <w:jc w:val="center"/>
        </w:trPr>
        <w:tc>
          <w:tcPr>
            <w:tcW w:w="2901" w:type="dxa"/>
            <w:gridSpan w:val="2"/>
            <w:shd w:val="clear" w:color="auto" w:fill="D9D9D9" w:themeFill="background1" w:themeFillShade="D9"/>
          </w:tcPr>
          <w:p w:rsidR="00547645" w:rsidRDefault="00547645" w:rsidP="00201050">
            <w:pPr>
              <w:pStyle w:val="Tablehead"/>
              <w:tabs>
                <w:tab w:val="left" w:pos="1588"/>
              </w:tabs>
            </w:pPr>
            <w:r>
              <w:t>Resolutions</w:t>
            </w:r>
          </w:p>
        </w:tc>
        <w:tc>
          <w:tcPr>
            <w:tcW w:w="1781" w:type="dxa"/>
            <w:tcBorders>
              <w:top w:val="nil"/>
              <w:bottom w:val="nil"/>
            </w:tcBorders>
            <w:vAlign w:val="center"/>
          </w:tcPr>
          <w:p w:rsidR="00547645" w:rsidRDefault="00547645" w:rsidP="00201050">
            <w:pPr>
              <w:spacing w:after="120"/>
              <w:jc w:val="center"/>
            </w:pPr>
          </w:p>
        </w:tc>
        <w:tc>
          <w:tcPr>
            <w:tcW w:w="2820" w:type="dxa"/>
            <w:gridSpan w:val="2"/>
            <w:shd w:val="clear" w:color="auto" w:fill="D9D9D9" w:themeFill="background1" w:themeFillShade="D9"/>
          </w:tcPr>
          <w:p w:rsidR="00547645" w:rsidRDefault="00547645" w:rsidP="00547645">
            <w:pPr>
              <w:pStyle w:val="Tablehead"/>
              <w:tabs>
                <w:tab w:val="left" w:pos="1588"/>
              </w:tabs>
            </w:pPr>
            <w:r>
              <w:t>Recommendations</w:t>
            </w:r>
          </w:p>
        </w:tc>
      </w:tr>
      <w:tr w:rsidR="00201050" w:rsidTr="00075873">
        <w:trPr>
          <w:jc w:val="center"/>
        </w:trPr>
        <w:tc>
          <w:tcPr>
            <w:tcW w:w="1134" w:type="dxa"/>
            <w:shd w:val="clear" w:color="auto" w:fill="D9D9D9" w:themeFill="background1" w:themeFillShade="D9"/>
          </w:tcPr>
          <w:p w:rsidR="00201050" w:rsidRPr="00DB7697" w:rsidRDefault="00201050" w:rsidP="00201050">
            <w:pPr>
              <w:pStyle w:val="Tablehead"/>
              <w:tabs>
                <w:tab w:val="left" w:pos="1588"/>
              </w:tabs>
            </w:pPr>
            <w:r>
              <w:t>Final</w:t>
            </w:r>
            <w:r w:rsidRPr="00DB7697">
              <w:t xml:space="preserve"> No.</w:t>
            </w:r>
          </w:p>
        </w:tc>
        <w:tc>
          <w:tcPr>
            <w:tcW w:w="1767" w:type="dxa"/>
            <w:shd w:val="clear" w:color="auto" w:fill="D9D9D9" w:themeFill="background1" w:themeFillShade="D9"/>
          </w:tcPr>
          <w:p w:rsidR="00201050" w:rsidRPr="00DB7697" w:rsidRDefault="00075873" w:rsidP="00201050">
            <w:pPr>
              <w:pStyle w:val="Tablehead"/>
              <w:tabs>
                <w:tab w:val="left" w:pos="1588"/>
              </w:tabs>
            </w:pPr>
            <w:r>
              <w:t>Provisional</w:t>
            </w:r>
            <w:r w:rsidR="00201050">
              <w:t xml:space="preserve"> </w:t>
            </w:r>
            <w:r w:rsidR="00201050" w:rsidRPr="00DB7697">
              <w:t>No.</w:t>
            </w:r>
          </w:p>
        </w:tc>
        <w:tc>
          <w:tcPr>
            <w:tcW w:w="1781" w:type="dxa"/>
            <w:tcBorders>
              <w:top w:val="nil"/>
              <w:bottom w:val="nil"/>
            </w:tcBorders>
            <w:vAlign w:val="center"/>
          </w:tcPr>
          <w:p w:rsidR="00201050" w:rsidRDefault="00201050" w:rsidP="00201050">
            <w:pPr>
              <w:spacing w:after="120"/>
              <w:jc w:val="center"/>
            </w:pPr>
          </w:p>
        </w:tc>
        <w:tc>
          <w:tcPr>
            <w:tcW w:w="1134" w:type="dxa"/>
            <w:shd w:val="clear" w:color="auto" w:fill="D9D9D9" w:themeFill="background1" w:themeFillShade="D9"/>
          </w:tcPr>
          <w:p w:rsidR="00201050" w:rsidRPr="00DB7697" w:rsidRDefault="00201050" w:rsidP="00482F90">
            <w:pPr>
              <w:pStyle w:val="Tablehead"/>
              <w:tabs>
                <w:tab w:val="left" w:pos="1588"/>
              </w:tabs>
            </w:pPr>
            <w:r>
              <w:t>Final</w:t>
            </w:r>
            <w:r w:rsidRPr="00DB7697">
              <w:t xml:space="preserve"> No.</w:t>
            </w:r>
          </w:p>
        </w:tc>
        <w:tc>
          <w:tcPr>
            <w:tcW w:w="1686" w:type="dxa"/>
            <w:shd w:val="clear" w:color="auto" w:fill="D9D9D9" w:themeFill="background1" w:themeFillShade="D9"/>
          </w:tcPr>
          <w:p w:rsidR="00201050" w:rsidRPr="00DB7697" w:rsidRDefault="00547645" w:rsidP="00547645">
            <w:pPr>
              <w:pStyle w:val="Tablehead"/>
              <w:tabs>
                <w:tab w:val="left" w:pos="1588"/>
              </w:tabs>
            </w:pPr>
            <w:r>
              <w:t xml:space="preserve">Provisional </w:t>
            </w:r>
            <w:r w:rsidR="00201050" w:rsidRPr="00DB7697">
              <w:t>No.</w:t>
            </w:r>
          </w:p>
        </w:tc>
      </w:tr>
      <w:tr w:rsidR="00BB5DD2" w:rsidRPr="00417209" w:rsidTr="00075873">
        <w:trPr>
          <w:jc w:val="center"/>
        </w:trPr>
        <w:tc>
          <w:tcPr>
            <w:tcW w:w="1134" w:type="dxa"/>
            <w:vAlign w:val="center"/>
          </w:tcPr>
          <w:p w:rsidR="00BB5DD2" w:rsidRPr="00417209" w:rsidRDefault="00BB5DD2" w:rsidP="00BB5DD2">
            <w:pPr>
              <w:spacing w:before="0"/>
              <w:jc w:val="center"/>
              <w:rPr>
                <w:szCs w:val="22"/>
              </w:rPr>
            </w:pPr>
            <w:r w:rsidRPr="00417209">
              <w:rPr>
                <w:szCs w:val="22"/>
              </w:rPr>
              <w:t>11</w:t>
            </w:r>
          </w:p>
        </w:tc>
        <w:tc>
          <w:tcPr>
            <w:tcW w:w="1767" w:type="dxa"/>
            <w:vAlign w:val="center"/>
          </w:tcPr>
          <w:p w:rsidR="00BB5DD2" w:rsidRPr="00417209" w:rsidRDefault="00417209" w:rsidP="00457814">
            <w:pPr>
              <w:tabs>
                <w:tab w:val="left" w:pos="242"/>
              </w:tabs>
              <w:spacing w:before="0"/>
              <w:rPr>
                <w:szCs w:val="22"/>
              </w:rPr>
            </w:pPr>
            <w:r>
              <w:rPr>
                <w:szCs w:val="22"/>
              </w:rPr>
              <w:tab/>
            </w:r>
            <w:r w:rsidR="00E7050B" w:rsidRPr="00417209">
              <w:rPr>
                <w:szCs w:val="22"/>
              </w:rPr>
              <w:t>COM5/11</w:t>
            </w:r>
          </w:p>
        </w:tc>
        <w:tc>
          <w:tcPr>
            <w:tcW w:w="1781" w:type="dxa"/>
            <w:tcBorders>
              <w:top w:val="nil"/>
              <w:bottom w:val="nil"/>
            </w:tcBorders>
            <w:vAlign w:val="center"/>
          </w:tcPr>
          <w:p w:rsidR="00BB5DD2" w:rsidRPr="00417209" w:rsidRDefault="00BB5DD2" w:rsidP="00BB5DD2">
            <w:pPr>
              <w:spacing w:before="0"/>
              <w:jc w:val="center"/>
              <w:rPr>
                <w:szCs w:val="22"/>
              </w:rPr>
            </w:pPr>
          </w:p>
        </w:tc>
        <w:tc>
          <w:tcPr>
            <w:tcW w:w="1134" w:type="dxa"/>
            <w:vAlign w:val="center"/>
          </w:tcPr>
          <w:p w:rsidR="00BB5DD2" w:rsidRPr="00417209" w:rsidRDefault="00E7050B" w:rsidP="00BB5DD2">
            <w:pPr>
              <w:spacing w:before="0"/>
              <w:jc w:val="center"/>
              <w:rPr>
                <w:szCs w:val="22"/>
              </w:rPr>
            </w:pPr>
            <w:r w:rsidRPr="00417209">
              <w:rPr>
                <w:szCs w:val="22"/>
              </w:rPr>
              <w:t>16</w:t>
            </w:r>
          </w:p>
        </w:tc>
        <w:tc>
          <w:tcPr>
            <w:tcW w:w="1686" w:type="dxa"/>
            <w:vAlign w:val="center"/>
          </w:tcPr>
          <w:p w:rsidR="00BB5DD2" w:rsidRPr="00417209" w:rsidRDefault="00E7050B" w:rsidP="00BB5DD2">
            <w:pPr>
              <w:spacing w:before="0"/>
              <w:jc w:val="center"/>
              <w:rPr>
                <w:szCs w:val="22"/>
              </w:rPr>
            </w:pPr>
            <w:r w:rsidRPr="00417209">
              <w:rPr>
                <w:szCs w:val="22"/>
              </w:rPr>
              <w:t>COM6/2</w:t>
            </w:r>
          </w:p>
        </w:tc>
      </w:tr>
      <w:tr w:rsidR="00BB5DD2" w:rsidRPr="00417209" w:rsidTr="00075873">
        <w:trPr>
          <w:jc w:val="center"/>
        </w:trPr>
        <w:tc>
          <w:tcPr>
            <w:tcW w:w="1134" w:type="dxa"/>
            <w:vAlign w:val="center"/>
          </w:tcPr>
          <w:p w:rsidR="00BB5DD2" w:rsidRPr="00417209" w:rsidRDefault="00BB5DD2" w:rsidP="00BB5DD2">
            <w:pPr>
              <w:spacing w:before="0"/>
              <w:jc w:val="center"/>
              <w:rPr>
                <w:szCs w:val="22"/>
              </w:rPr>
            </w:pPr>
            <w:r w:rsidRPr="00417209">
              <w:rPr>
                <w:szCs w:val="22"/>
              </w:rPr>
              <w:t>12</w:t>
            </w:r>
          </w:p>
        </w:tc>
        <w:tc>
          <w:tcPr>
            <w:tcW w:w="1767" w:type="dxa"/>
            <w:vAlign w:val="center"/>
          </w:tcPr>
          <w:p w:rsidR="00BB5DD2" w:rsidRPr="00417209" w:rsidRDefault="00417209" w:rsidP="00457814">
            <w:pPr>
              <w:tabs>
                <w:tab w:val="left" w:pos="242"/>
              </w:tabs>
              <w:spacing w:before="0"/>
              <w:rPr>
                <w:szCs w:val="22"/>
              </w:rPr>
            </w:pPr>
            <w:r>
              <w:rPr>
                <w:szCs w:val="22"/>
              </w:rPr>
              <w:tab/>
            </w:r>
            <w:r w:rsidR="00201050" w:rsidRPr="00417209">
              <w:rPr>
                <w:szCs w:val="22"/>
              </w:rPr>
              <w:t>PLEN/2</w:t>
            </w:r>
          </w:p>
        </w:tc>
        <w:tc>
          <w:tcPr>
            <w:tcW w:w="1781" w:type="dxa"/>
            <w:tcBorders>
              <w:top w:val="nil"/>
              <w:bottom w:val="nil"/>
            </w:tcBorders>
            <w:vAlign w:val="center"/>
          </w:tcPr>
          <w:p w:rsidR="00BB5DD2" w:rsidRPr="00417209" w:rsidRDefault="00BB5DD2" w:rsidP="00BB5DD2">
            <w:pPr>
              <w:spacing w:before="0"/>
              <w:jc w:val="center"/>
              <w:rPr>
                <w:szCs w:val="22"/>
              </w:rPr>
            </w:pPr>
          </w:p>
        </w:tc>
        <w:tc>
          <w:tcPr>
            <w:tcW w:w="1134" w:type="dxa"/>
            <w:vAlign w:val="center"/>
          </w:tcPr>
          <w:p w:rsidR="00BB5DD2" w:rsidRPr="00417209" w:rsidRDefault="00E7050B" w:rsidP="00BB5DD2">
            <w:pPr>
              <w:spacing w:before="0"/>
              <w:jc w:val="center"/>
              <w:rPr>
                <w:szCs w:val="22"/>
              </w:rPr>
            </w:pPr>
            <w:r w:rsidRPr="00417209">
              <w:rPr>
                <w:szCs w:val="22"/>
              </w:rPr>
              <w:t>76</w:t>
            </w:r>
          </w:p>
        </w:tc>
        <w:tc>
          <w:tcPr>
            <w:tcW w:w="1686" w:type="dxa"/>
            <w:vAlign w:val="center"/>
          </w:tcPr>
          <w:p w:rsidR="00BB5DD2" w:rsidRPr="00417209" w:rsidRDefault="00E7050B" w:rsidP="00BB5DD2">
            <w:pPr>
              <w:spacing w:before="0"/>
              <w:jc w:val="center"/>
              <w:rPr>
                <w:szCs w:val="22"/>
              </w:rPr>
            </w:pPr>
            <w:r w:rsidRPr="00417209">
              <w:rPr>
                <w:szCs w:val="22"/>
              </w:rPr>
              <w:t>COM6/1</w:t>
            </w:r>
          </w:p>
        </w:tc>
      </w:tr>
      <w:tr w:rsidR="00E7050B" w:rsidRPr="00417209" w:rsidTr="00075873">
        <w:trPr>
          <w:gridAfter w:val="3"/>
          <w:wAfter w:w="4601" w:type="dxa"/>
          <w:jc w:val="center"/>
        </w:trPr>
        <w:tc>
          <w:tcPr>
            <w:tcW w:w="1134" w:type="dxa"/>
            <w:vAlign w:val="center"/>
          </w:tcPr>
          <w:p w:rsidR="00E7050B" w:rsidRPr="00417209" w:rsidRDefault="00E7050B" w:rsidP="00BB5DD2">
            <w:pPr>
              <w:spacing w:before="0"/>
              <w:jc w:val="center"/>
              <w:rPr>
                <w:szCs w:val="22"/>
              </w:rPr>
            </w:pPr>
            <w:r w:rsidRPr="00417209">
              <w:rPr>
                <w:szCs w:val="22"/>
              </w:rPr>
              <w:t>67</w:t>
            </w:r>
          </w:p>
        </w:tc>
        <w:tc>
          <w:tcPr>
            <w:tcW w:w="1767" w:type="dxa"/>
            <w:vAlign w:val="center"/>
          </w:tcPr>
          <w:p w:rsidR="00E7050B" w:rsidRPr="00417209" w:rsidRDefault="00417209" w:rsidP="00457814">
            <w:pPr>
              <w:tabs>
                <w:tab w:val="left" w:pos="242"/>
              </w:tabs>
              <w:spacing w:before="0"/>
              <w:rPr>
                <w:szCs w:val="22"/>
              </w:rPr>
            </w:pPr>
            <w:r>
              <w:rPr>
                <w:szCs w:val="22"/>
              </w:rPr>
              <w:tab/>
            </w:r>
            <w:r w:rsidR="00E7050B" w:rsidRPr="00417209">
              <w:rPr>
                <w:szCs w:val="22"/>
              </w:rPr>
              <w:t>COM6/2</w:t>
            </w:r>
          </w:p>
        </w:tc>
      </w:tr>
      <w:tr w:rsidR="00E7050B" w:rsidRPr="00417209" w:rsidTr="00075873">
        <w:trPr>
          <w:gridAfter w:val="3"/>
          <w:wAfter w:w="4601" w:type="dxa"/>
          <w:jc w:val="center"/>
        </w:trPr>
        <w:tc>
          <w:tcPr>
            <w:tcW w:w="1134" w:type="dxa"/>
            <w:vAlign w:val="center"/>
          </w:tcPr>
          <w:p w:rsidR="00E7050B" w:rsidRPr="00417209" w:rsidRDefault="00E7050B" w:rsidP="00BB5DD2">
            <w:pPr>
              <w:spacing w:before="0"/>
              <w:jc w:val="center"/>
              <w:rPr>
                <w:szCs w:val="22"/>
              </w:rPr>
            </w:pPr>
            <w:r w:rsidRPr="00417209">
              <w:rPr>
                <w:szCs w:val="22"/>
              </w:rPr>
              <w:t>98</w:t>
            </w:r>
          </w:p>
        </w:tc>
        <w:tc>
          <w:tcPr>
            <w:tcW w:w="1767" w:type="dxa"/>
            <w:vAlign w:val="center"/>
          </w:tcPr>
          <w:p w:rsidR="00E7050B" w:rsidRPr="00417209" w:rsidRDefault="00417209" w:rsidP="00457814">
            <w:pPr>
              <w:tabs>
                <w:tab w:val="left" w:pos="242"/>
              </w:tabs>
              <w:spacing w:before="0"/>
              <w:rPr>
                <w:szCs w:val="22"/>
              </w:rPr>
            </w:pPr>
            <w:r>
              <w:rPr>
                <w:szCs w:val="22"/>
              </w:rPr>
              <w:tab/>
            </w:r>
            <w:r w:rsidR="00E7050B" w:rsidRPr="00417209">
              <w:rPr>
                <w:szCs w:val="22"/>
              </w:rPr>
              <w:t>COM6/1</w:t>
            </w:r>
          </w:p>
        </w:tc>
      </w:tr>
      <w:tr w:rsidR="00E7050B" w:rsidRPr="00417209" w:rsidTr="00075873">
        <w:trPr>
          <w:gridAfter w:val="3"/>
          <w:wAfter w:w="4601" w:type="dxa"/>
          <w:jc w:val="center"/>
        </w:trPr>
        <w:tc>
          <w:tcPr>
            <w:tcW w:w="1134" w:type="dxa"/>
            <w:vAlign w:val="center"/>
          </w:tcPr>
          <w:p w:rsidR="00E7050B" w:rsidRPr="00417209" w:rsidRDefault="00E7050B" w:rsidP="00BB5DD2">
            <w:pPr>
              <w:spacing w:before="0"/>
              <w:jc w:val="center"/>
              <w:rPr>
                <w:szCs w:val="22"/>
              </w:rPr>
            </w:pPr>
            <w:r w:rsidRPr="00417209">
              <w:rPr>
                <w:szCs w:val="22"/>
              </w:rPr>
              <w:t>150</w:t>
            </w:r>
          </w:p>
        </w:tc>
        <w:tc>
          <w:tcPr>
            <w:tcW w:w="1767" w:type="dxa"/>
            <w:vAlign w:val="center"/>
          </w:tcPr>
          <w:p w:rsidR="00E7050B" w:rsidRPr="00417209" w:rsidRDefault="00417209" w:rsidP="00457814">
            <w:pPr>
              <w:tabs>
                <w:tab w:val="left" w:pos="242"/>
              </w:tabs>
              <w:spacing w:before="0"/>
              <w:rPr>
                <w:szCs w:val="22"/>
              </w:rPr>
            </w:pPr>
            <w:r>
              <w:rPr>
                <w:szCs w:val="22"/>
              </w:rPr>
              <w:tab/>
            </w:r>
            <w:r w:rsidR="00E7050B" w:rsidRPr="00417209">
              <w:rPr>
                <w:szCs w:val="22"/>
              </w:rPr>
              <w:t>COM5/3</w:t>
            </w:r>
          </w:p>
        </w:tc>
      </w:tr>
      <w:tr w:rsidR="00E7050B" w:rsidRPr="00417209" w:rsidTr="00075873">
        <w:trPr>
          <w:gridAfter w:val="3"/>
          <w:wAfter w:w="4601" w:type="dxa"/>
          <w:jc w:val="center"/>
        </w:trPr>
        <w:tc>
          <w:tcPr>
            <w:tcW w:w="1134" w:type="dxa"/>
            <w:vAlign w:val="center"/>
          </w:tcPr>
          <w:p w:rsidR="00E7050B" w:rsidRPr="00417209" w:rsidRDefault="00E7050B" w:rsidP="00BB5DD2">
            <w:pPr>
              <w:spacing w:before="0"/>
              <w:jc w:val="center"/>
              <w:rPr>
                <w:szCs w:val="22"/>
              </w:rPr>
            </w:pPr>
            <w:r w:rsidRPr="00417209">
              <w:rPr>
                <w:szCs w:val="22"/>
              </w:rPr>
              <w:t>151</w:t>
            </w:r>
          </w:p>
        </w:tc>
        <w:tc>
          <w:tcPr>
            <w:tcW w:w="1767" w:type="dxa"/>
            <w:vAlign w:val="center"/>
          </w:tcPr>
          <w:p w:rsidR="00E7050B" w:rsidRPr="00417209" w:rsidRDefault="00417209" w:rsidP="00457814">
            <w:pPr>
              <w:tabs>
                <w:tab w:val="left" w:pos="242"/>
              </w:tabs>
              <w:spacing w:before="0"/>
              <w:rPr>
                <w:szCs w:val="22"/>
              </w:rPr>
            </w:pPr>
            <w:r>
              <w:rPr>
                <w:szCs w:val="22"/>
              </w:rPr>
              <w:tab/>
            </w:r>
            <w:r w:rsidR="00E7050B" w:rsidRPr="00417209">
              <w:rPr>
                <w:szCs w:val="22"/>
              </w:rPr>
              <w:t>COM6/4</w:t>
            </w:r>
          </w:p>
        </w:tc>
      </w:tr>
      <w:tr w:rsidR="00E7050B" w:rsidRPr="00417209" w:rsidTr="00075873">
        <w:trPr>
          <w:gridAfter w:val="3"/>
          <w:wAfter w:w="4601" w:type="dxa"/>
          <w:jc w:val="center"/>
        </w:trPr>
        <w:tc>
          <w:tcPr>
            <w:tcW w:w="1134" w:type="dxa"/>
            <w:vAlign w:val="center"/>
          </w:tcPr>
          <w:p w:rsidR="00E7050B" w:rsidRPr="00417209" w:rsidRDefault="00E7050B" w:rsidP="00BB5DD2">
            <w:pPr>
              <w:spacing w:before="0"/>
              <w:jc w:val="center"/>
              <w:rPr>
                <w:szCs w:val="22"/>
              </w:rPr>
            </w:pPr>
            <w:r w:rsidRPr="00417209">
              <w:rPr>
                <w:szCs w:val="22"/>
              </w:rPr>
              <w:t>152</w:t>
            </w:r>
          </w:p>
        </w:tc>
        <w:tc>
          <w:tcPr>
            <w:tcW w:w="1767" w:type="dxa"/>
            <w:vAlign w:val="center"/>
          </w:tcPr>
          <w:p w:rsidR="00E7050B" w:rsidRPr="00417209" w:rsidRDefault="00417209" w:rsidP="00457814">
            <w:pPr>
              <w:tabs>
                <w:tab w:val="left" w:pos="242"/>
              </w:tabs>
              <w:spacing w:before="0"/>
              <w:rPr>
                <w:szCs w:val="22"/>
              </w:rPr>
            </w:pPr>
            <w:r>
              <w:rPr>
                <w:szCs w:val="22"/>
              </w:rPr>
              <w:tab/>
            </w:r>
            <w:r w:rsidR="00E7050B" w:rsidRPr="00417209">
              <w:rPr>
                <w:szCs w:val="22"/>
              </w:rPr>
              <w:t>COM6/5</w:t>
            </w:r>
          </w:p>
        </w:tc>
      </w:tr>
      <w:tr w:rsidR="00E7050B" w:rsidRPr="00417209" w:rsidTr="00075873">
        <w:trPr>
          <w:gridAfter w:val="3"/>
          <w:wAfter w:w="4601" w:type="dxa"/>
          <w:jc w:val="center"/>
        </w:trPr>
        <w:tc>
          <w:tcPr>
            <w:tcW w:w="1134" w:type="dxa"/>
            <w:vAlign w:val="center"/>
          </w:tcPr>
          <w:p w:rsidR="00E7050B" w:rsidRPr="00417209" w:rsidRDefault="00E7050B" w:rsidP="00BB5DD2">
            <w:pPr>
              <w:spacing w:before="0"/>
              <w:jc w:val="center"/>
              <w:rPr>
                <w:szCs w:val="22"/>
              </w:rPr>
            </w:pPr>
            <w:r w:rsidRPr="00417209">
              <w:rPr>
                <w:szCs w:val="22"/>
              </w:rPr>
              <w:t>153</w:t>
            </w:r>
          </w:p>
        </w:tc>
        <w:tc>
          <w:tcPr>
            <w:tcW w:w="1767" w:type="dxa"/>
            <w:vAlign w:val="center"/>
          </w:tcPr>
          <w:p w:rsidR="00E7050B" w:rsidRPr="00417209" w:rsidRDefault="00417209" w:rsidP="00457814">
            <w:pPr>
              <w:tabs>
                <w:tab w:val="left" w:pos="242"/>
              </w:tabs>
              <w:spacing w:before="0"/>
              <w:rPr>
                <w:szCs w:val="22"/>
              </w:rPr>
            </w:pPr>
            <w:r>
              <w:rPr>
                <w:szCs w:val="22"/>
              </w:rPr>
              <w:tab/>
            </w:r>
            <w:r w:rsidR="00E7050B" w:rsidRPr="00417209">
              <w:rPr>
                <w:szCs w:val="22"/>
              </w:rPr>
              <w:t>COM6/13</w:t>
            </w:r>
          </w:p>
        </w:tc>
      </w:tr>
      <w:tr w:rsidR="00E7050B" w:rsidRPr="00417209" w:rsidTr="00075873">
        <w:trPr>
          <w:gridAfter w:val="3"/>
          <w:wAfter w:w="4601" w:type="dxa"/>
          <w:jc w:val="center"/>
        </w:trPr>
        <w:tc>
          <w:tcPr>
            <w:tcW w:w="1134" w:type="dxa"/>
            <w:vAlign w:val="center"/>
          </w:tcPr>
          <w:p w:rsidR="00E7050B" w:rsidRPr="00417209" w:rsidRDefault="00E7050B" w:rsidP="00BB5DD2">
            <w:pPr>
              <w:spacing w:before="0"/>
              <w:jc w:val="center"/>
              <w:rPr>
                <w:szCs w:val="22"/>
              </w:rPr>
            </w:pPr>
            <w:r w:rsidRPr="00417209">
              <w:rPr>
                <w:szCs w:val="22"/>
              </w:rPr>
              <w:t>154</w:t>
            </w:r>
          </w:p>
        </w:tc>
        <w:tc>
          <w:tcPr>
            <w:tcW w:w="1767" w:type="dxa"/>
            <w:vAlign w:val="center"/>
          </w:tcPr>
          <w:p w:rsidR="00E7050B" w:rsidRPr="00417209" w:rsidRDefault="00417209" w:rsidP="00457814">
            <w:pPr>
              <w:tabs>
                <w:tab w:val="left" w:pos="242"/>
              </w:tabs>
              <w:spacing w:before="0"/>
              <w:rPr>
                <w:szCs w:val="22"/>
              </w:rPr>
            </w:pPr>
            <w:r>
              <w:rPr>
                <w:szCs w:val="22"/>
              </w:rPr>
              <w:tab/>
            </w:r>
            <w:r w:rsidR="00201050" w:rsidRPr="00417209">
              <w:rPr>
                <w:szCs w:val="22"/>
              </w:rPr>
              <w:t>COM6/24</w:t>
            </w:r>
          </w:p>
        </w:tc>
      </w:tr>
      <w:tr w:rsidR="00E7050B" w:rsidRPr="00417209" w:rsidTr="00075873">
        <w:trPr>
          <w:gridAfter w:val="3"/>
          <w:wAfter w:w="4601" w:type="dxa"/>
          <w:jc w:val="center"/>
        </w:trPr>
        <w:tc>
          <w:tcPr>
            <w:tcW w:w="1134" w:type="dxa"/>
            <w:vAlign w:val="center"/>
          </w:tcPr>
          <w:p w:rsidR="00E7050B" w:rsidRPr="00417209" w:rsidRDefault="00E7050B" w:rsidP="00BB5DD2">
            <w:pPr>
              <w:spacing w:before="0"/>
              <w:jc w:val="center"/>
              <w:rPr>
                <w:szCs w:val="22"/>
              </w:rPr>
            </w:pPr>
            <w:r w:rsidRPr="00417209">
              <w:rPr>
                <w:szCs w:val="22"/>
              </w:rPr>
              <w:t>232</w:t>
            </w:r>
          </w:p>
        </w:tc>
        <w:tc>
          <w:tcPr>
            <w:tcW w:w="1767" w:type="dxa"/>
            <w:vAlign w:val="center"/>
          </w:tcPr>
          <w:p w:rsidR="00E7050B" w:rsidRPr="00417209" w:rsidRDefault="00417209" w:rsidP="00457814">
            <w:pPr>
              <w:tabs>
                <w:tab w:val="left" w:pos="242"/>
              </w:tabs>
              <w:spacing w:before="0"/>
              <w:rPr>
                <w:szCs w:val="22"/>
              </w:rPr>
            </w:pPr>
            <w:r>
              <w:rPr>
                <w:szCs w:val="22"/>
              </w:rPr>
              <w:tab/>
            </w:r>
            <w:r w:rsidR="00E7050B" w:rsidRPr="00417209">
              <w:rPr>
                <w:szCs w:val="22"/>
              </w:rPr>
              <w:t>COM5/10</w:t>
            </w:r>
          </w:p>
        </w:tc>
      </w:tr>
      <w:tr w:rsidR="00E7050B" w:rsidRPr="00417209" w:rsidTr="00075873">
        <w:trPr>
          <w:gridAfter w:val="3"/>
          <w:wAfter w:w="4601" w:type="dxa"/>
          <w:jc w:val="center"/>
        </w:trPr>
        <w:tc>
          <w:tcPr>
            <w:tcW w:w="1134" w:type="dxa"/>
            <w:vAlign w:val="center"/>
          </w:tcPr>
          <w:p w:rsidR="00E7050B" w:rsidRPr="00417209" w:rsidRDefault="00E7050B" w:rsidP="00BB5DD2">
            <w:pPr>
              <w:spacing w:before="0"/>
              <w:jc w:val="center"/>
              <w:rPr>
                <w:szCs w:val="22"/>
              </w:rPr>
            </w:pPr>
            <w:r w:rsidRPr="00417209">
              <w:rPr>
                <w:szCs w:val="22"/>
              </w:rPr>
              <w:t>233</w:t>
            </w:r>
          </w:p>
        </w:tc>
        <w:tc>
          <w:tcPr>
            <w:tcW w:w="1767" w:type="dxa"/>
            <w:vAlign w:val="center"/>
          </w:tcPr>
          <w:p w:rsidR="00E7050B" w:rsidRPr="00417209" w:rsidRDefault="00417209" w:rsidP="00457814">
            <w:pPr>
              <w:tabs>
                <w:tab w:val="left" w:pos="242"/>
              </w:tabs>
              <w:spacing w:before="0"/>
              <w:rPr>
                <w:szCs w:val="22"/>
              </w:rPr>
            </w:pPr>
            <w:r>
              <w:rPr>
                <w:szCs w:val="22"/>
              </w:rPr>
              <w:tab/>
            </w:r>
            <w:r w:rsidR="00E7050B" w:rsidRPr="00417209">
              <w:rPr>
                <w:szCs w:val="22"/>
              </w:rPr>
              <w:t>COM6/8</w:t>
            </w:r>
          </w:p>
        </w:tc>
      </w:tr>
      <w:tr w:rsidR="00E7050B" w:rsidRPr="00417209" w:rsidTr="00075873">
        <w:trPr>
          <w:gridAfter w:val="3"/>
          <w:wAfter w:w="4601" w:type="dxa"/>
          <w:jc w:val="center"/>
        </w:trPr>
        <w:tc>
          <w:tcPr>
            <w:tcW w:w="1134" w:type="dxa"/>
            <w:vAlign w:val="center"/>
          </w:tcPr>
          <w:p w:rsidR="00E7050B" w:rsidRPr="00417209" w:rsidRDefault="00E7050B" w:rsidP="00BB5DD2">
            <w:pPr>
              <w:spacing w:before="0"/>
              <w:jc w:val="center"/>
              <w:rPr>
                <w:szCs w:val="22"/>
              </w:rPr>
            </w:pPr>
            <w:r w:rsidRPr="00417209">
              <w:rPr>
                <w:szCs w:val="22"/>
              </w:rPr>
              <w:t>234</w:t>
            </w:r>
          </w:p>
        </w:tc>
        <w:tc>
          <w:tcPr>
            <w:tcW w:w="1767" w:type="dxa"/>
            <w:vAlign w:val="center"/>
          </w:tcPr>
          <w:p w:rsidR="00E7050B" w:rsidRPr="00417209" w:rsidRDefault="00417209" w:rsidP="00457814">
            <w:pPr>
              <w:tabs>
                <w:tab w:val="left" w:pos="242"/>
              </w:tabs>
              <w:spacing w:before="0"/>
              <w:rPr>
                <w:szCs w:val="22"/>
              </w:rPr>
            </w:pPr>
            <w:r>
              <w:rPr>
                <w:szCs w:val="22"/>
              </w:rPr>
              <w:tab/>
            </w:r>
            <w:r w:rsidR="00E7050B" w:rsidRPr="00417209">
              <w:rPr>
                <w:szCs w:val="22"/>
              </w:rPr>
              <w:t>COM6/16</w:t>
            </w:r>
          </w:p>
        </w:tc>
      </w:tr>
      <w:tr w:rsidR="00E7050B" w:rsidRPr="00417209" w:rsidTr="00075873">
        <w:trPr>
          <w:gridAfter w:val="3"/>
          <w:wAfter w:w="4601" w:type="dxa"/>
          <w:jc w:val="center"/>
        </w:trPr>
        <w:tc>
          <w:tcPr>
            <w:tcW w:w="1134" w:type="dxa"/>
            <w:vAlign w:val="center"/>
          </w:tcPr>
          <w:p w:rsidR="00E7050B" w:rsidRPr="00417209" w:rsidRDefault="00E7050B" w:rsidP="00BB5DD2">
            <w:pPr>
              <w:spacing w:before="0"/>
              <w:jc w:val="center"/>
              <w:rPr>
                <w:szCs w:val="22"/>
              </w:rPr>
            </w:pPr>
            <w:r w:rsidRPr="00417209">
              <w:rPr>
                <w:szCs w:val="22"/>
              </w:rPr>
              <w:t>358</w:t>
            </w:r>
          </w:p>
        </w:tc>
        <w:tc>
          <w:tcPr>
            <w:tcW w:w="1767" w:type="dxa"/>
            <w:vAlign w:val="center"/>
          </w:tcPr>
          <w:p w:rsidR="00E7050B" w:rsidRPr="00417209" w:rsidRDefault="00417209" w:rsidP="00457814">
            <w:pPr>
              <w:tabs>
                <w:tab w:val="left" w:pos="242"/>
              </w:tabs>
              <w:spacing w:before="0"/>
              <w:rPr>
                <w:szCs w:val="22"/>
              </w:rPr>
            </w:pPr>
            <w:r>
              <w:rPr>
                <w:szCs w:val="22"/>
              </w:rPr>
              <w:tab/>
            </w:r>
            <w:r w:rsidR="00E7050B" w:rsidRPr="00417209">
              <w:rPr>
                <w:szCs w:val="22"/>
              </w:rPr>
              <w:t>COM6/3</w:t>
            </w:r>
          </w:p>
        </w:tc>
      </w:tr>
      <w:tr w:rsidR="00E7050B" w:rsidRPr="00417209" w:rsidTr="00075873">
        <w:trPr>
          <w:gridAfter w:val="3"/>
          <w:wAfter w:w="4601" w:type="dxa"/>
          <w:jc w:val="center"/>
        </w:trPr>
        <w:tc>
          <w:tcPr>
            <w:tcW w:w="1134" w:type="dxa"/>
            <w:vAlign w:val="center"/>
          </w:tcPr>
          <w:p w:rsidR="00E7050B" w:rsidRPr="00417209" w:rsidRDefault="00E7050B" w:rsidP="00BB5DD2">
            <w:pPr>
              <w:spacing w:before="0"/>
              <w:jc w:val="center"/>
              <w:rPr>
                <w:szCs w:val="22"/>
              </w:rPr>
            </w:pPr>
            <w:r w:rsidRPr="00417209">
              <w:rPr>
                <w:szCs w:val="22"/>
              </w:rPr>
              <w:t>359</w:t>
            </w:r>
          </w:p>
        </w:tc>
        <w:tc>
          <w:tcPr>
            <w:tcW w:w="1767" w:type="dxa"/>
            <w:vAlign w:val="center"/>
          </w:tcPr>
          <w:p w:rsidR="00E7050B" w:rsidRPr="00417209" w:rsidRDefault="00417209" w:rsidP="00457814">
            <w:pPr>
              <w:tabs>
                <w:tab w:val="left" w:pos="242"/>
              </w:tabs>
              <w:spacing w:before="0"/>
              <w:rPr>
                <w:szCs w:val="22"/>
              </w:rPr>
            </w:pPr>
            <w:r>
              <w:rPr>
                <w:szCs w:val="22"/>
              </w:rPr>
              <w:tab/>
            </w:r>
            <w:r w:rsidR="00E7050B" w:rsidRPr="00417209">
              <w:rPr>
                <w:szCs w:val="22"/>
              </w:rPr>
              <w:t>COM6/9</w:t>
            </w:r>
          </w:p>
        </w:tc>
      </w:tr>
      <w:tr w:rsidR="00E7050B" w:rsidRPr="00417209" w:rsidTr="00075873">
        <w:trPr>
          <w:gridAfter w:val="3"/>
          <w:wAfter w:w="4601" w:type="dxa"/>
          <w:jc w:val="center"/>
        </w:trPr>
        <w:tc>
          <w:tcPr>
            <w:tcW w:w="1134" w:type="dxa"/>
            <w:vAlign w:val="center"/>
          </w:tcPr>
          <w:p w:rsidR="00E7050B" w:rsidRPr="00417209" w:rsidRDefault="00E7050B" w:rsidP="00BB5DD2">
            <w:pPr>
              <w:spacing w:before="0"/>
              <w:jc w:val="center"/>
              <w:rPr>
                <w:szCs w:val="22"/>
              </w:rPr>
            </w:pPr>
            <w:r w:rsidRPr="00417209">
              <w:rPr>
                <w:szCs w:val="22"/>
              </w:rPr>
              <w:t>360</w:t>
            </w:r>
          </w:p>
        </w:tc>
        <w:tc>
          <w:tcPr>
            <w:tcW w:w="1767" w:type="dxa"/>
            <w:vAlign w:val="center"/>
          </w:tcPr>
          <w:p w:rsidR="00E7050B" w:rsidRPr="00417209" w:rsidRDefault="00417209" w:rsidP="00457814">
            <w:pPr>
              <w:tabs>
                <w:tab w:val="left" w:pos="242"/>
              </w:tabs>
              <w:spacing w:before="0"/>
              <w:rPr>
                <w:szCs w:val="22"/>
              </w:rPr>
            </w:pPr>
            <w:r>
              <w:rPr>
                <w:szCs w:val="22"/>
              </w:rPr>
              <w:tab/>
            </w:r>
            <w:r w:rsidR="00201050" w:rsidRPr="00417209">
              <w:rPr>
                <w:szCs w:val="22"/>
              </w:rPr>
              <w:t>COM6/21</w:t>
            </w:r>
          </w:p>
        </w:tc>
      </w:tr>
      <w:tr w:rsidR="00E7050B" w:rsidRPr="00417209" w:rsidTr="00075873">
        <w:trPr>
          <w:gridAfter w:val="3"/>
          <w:wAfter w:w="4601" w:type="dxa"/>
          <w:jc w:val="center"/>
        </w:trPr>
        <w:tc>
          <w:tcPr>
            <w:tcW w:w="1134" w:type="dxa"/>
            <w:vAlign w:val="center"/>
          </w:tcPr>
          <w:p w:rsidR="00E7050B" w:rsidRPr="00417209" w:rsidRDefault="00E7050B" w:rsidP="00BB5DD2">
            <w:pPr>
              <w:spacing w:before="0"/>
              <w:jc w:val="center"/>
              <w:rPr>
                <w:szCs w:val="22"/>
              </w:rPr>
            </w:pPr>
            <w:r w:rsidRPr="00417209">
              <w:rPr>
                <w:szCs w:val="22"/>
              </w:rPr>
              <w:t>422</w:t>
            </w:r>
          </w:p>
        </w:tc>
        <w:tc>
          <w:tcPr>
            <w:tcW w:w="1767" w:type="dxa"/>
            <w:vAlign w:val="center"/>
          </w:tcPr>
          <w:p w:rsidR="00E7050B" w:rsidRPr="00417209" w:rsidRDefault="00417209" w:rsidP="00457814">
            <w:pPr>
              <w:tabs>
                <w:tab w:val="left" w:pos="242"/>
              </w:tabs>
              <w:spacing w:before="0"/>
              <w:rPr>
                <w:szCs w:val="22"/>
              </w:rPr>
            </w:pPr>
            <w:r>
              <w:rPr>
                <w:szCs w:val="22"/>
              </w:rPr>
              <w:tab/>
            </w:r>
            <w:r w:rsidR="00E7050B" w:rsidRPr="00417209">
              <w:rPr>
                <w:szCs w:val="22"/>
              </w:rPr>
              <w:t>COM4/1</w:t>
            </w:r>
          </w:p>
        </w:tc>
      </w:tr>
      <w:tr w:rsidR="00E7050B" w:rsidRPr="00417209" w:rsidTr="00075873">
        <w:trPr>
          <w:gridAfter w:val="3"/>
          <w:wAfter w:w="4601" w:type="dxa"/>
          <w:jc w:val="center"/>
        </w:trPr>
        <w:tc>
          <w:tcPr>
            <w:tcW w:w="1134" w:type="dxa"/>
            <w:vAlign w:val="center"/>
          </w:tcPr>
          <w:p w:rsidR="00E7050B" w:rsidRPr="00417209" w:rsidRDefault="00E7050B" w:rsidP="00BB5DD2">
            <w:pPr>
              <w:spacing w:before="0"/>
              <w:jc w:val="center"/>
              <w:rPr>
                <w:szCs w:val="22"/>
              </w:rPr>
            </w:pPr>
            <w:r w:rsidRPr="00417209">
              <w:rPr>
                <w:szCs w:val="22"/>
              </w:rPr>
              <w:t>423</w:t>
            </w:r>
          </w:p>
        </w:tc>
        <w:tc>
          <w:tcPr>
            <w:tcW w:w="1767" w:type="dxa"/>
            <w:vAlign w:val="center"/>
          </w:tcPr>
          <w:p w:rsidR="00E7050B" w:rsidRPr="00417209" w:rsidRDefault="00417209" w:rsidP="00457814">
            <w:pPr>
              <w:tabs>
                <w:tab w:val="left" w:pos="242"/>
              </w:tabs>
              <w:spacing w:before="0"/>
              <w:rPr>
                <w:szCs w:val="22"/>
              </w:rPr>
            </w:pPr>
            <w:r>
              <w:rPr>
                <w:szCs w:val="22"/>
              </w:rPr>
              <w:tab/>
            </w:r>
            <w:r w:rsidR="00201050" w:rsidRPr="00417209">
              <w:rPr>
                <w:szCs w:val="22"/>
              </w:rPr>
              <w:t>COM6/22</w:t>
            </w:r>
          </w:p>
        </w:tc>
      </w:tr>
      <w:tr w:rsidR="00E7050B" w:rsidRPr="00417209" w:rsidTr="00075873">
        <w:trPr>
          <w:gridAfter w:val="3"/>
          <w:wAfter w:w="4601" w:type="dxa"/>
          <w:jc w:val="center"/>
        </w:trPr>
        <w:tc>
          <w:tcPr>
            <w:tcW w:w="1134" w:type="dxa"/>
            <w:vAlign w:val="center"/>
          </w:tcPr>
          <w:p w:rsidR="00E7050B" w:rsidRPr="00417209" w:rsidRDefault="00E7050B" w:rsidP="00BB5DD2">
            <w:pPr>
              <w:spacing w:before="0"/>
              <w:jc w:val="center"/>
              <w:rPr>
                <w:szCs w:val="22"/>
              </w:rPr>
            </w:pPr>
            <w:r w:rsidRPr="00417209">
              <w:rPr>
                <w:szCs w:val="22"/>
              </w:rPr>
              <w:t>552</w:t>
            </w:r>
          </w:p>
        </w:tc>
        <w:tc>
          <w:tcPr>
            <w:tcW w:w="1767" w:type="dxa"/>
            <w:vAlign w:val="center"/>
          </w:tcPr>
          <w:p w:rsidR="00E7050B" w:rsidRPr="00417209" w:rsidRDefault="00417209" w:rsidP="00457814">
            <w:pPr>
              <w:tabs>
                <w:tab w:val="left" w:pos="242"/>
              </w:tabs>
              <w:spacing w:before="0"/>
              <w:rPr>
                <w:szCs w:val="22"/>
              </w:rPr>
            </w:pPr>
            <w:r>
              <w:rPr>
                <w:szCs w:val="22"/>
              </w:rPr>
              <w:tab/>
            </w:r>
            <w:r w:rsidR="00E7050B" w:rsidRPr="00417209">
              <w:rPr>
                <w:szCs w:val="22"/>
              </w:rPr>
              <w:t>COM5/6</w:t>
            </w:r>
          </w:p>
        </w:tc>
      </w:tr>
      <w:tr w:rsidR="00E7050B" w:rsidRPr="00417209" w:rsidTr="00075873">
        <w:trPr>
          <w:gridAfter w:val="3"/>
          <w:wAfter w:w="4601" w:type="dxa"/>
          <w:jc w:val="center"/>
        </w:trPr>
        <w:tc>
          <w:tcPr>
            <w:tcW w:w="1134" w:type="dxa"/>
            <w:vAlign w:val="center"/>
          </w:tcPr>
          <w:p w:rsidR="00E7050B" w:rsidRPr="00417209" w:rsidRDefault="00E7050B" w:rsidP="00BB5DD2">
            <w:pPr>
              <w:spacing w:before="0"/>
              <w:jc w:val="center"/>
              <w:rPr>
                <w:szCs w:val="22"/>
              </w:rPr>
            </w:pPr>
            <w:r w:rsidRPr="00417209">
              <w:rPr>
                <w:szCs w:val="22"/>
              </w:rPr>
              <w:t>553</w:t>
            </w:r>
          </w:p>
        </w:tc>
        <w:tc>
          <w:tcPr>
            <w:tcW w:w="1767" w:type="dxa"/>
            <w:vAlign w:val="center"/>
          </w:tcPr>
          <w:p w:rsidR="00E7050B" w:rsidRPr="00417209" w:rsidRDefault="00417209" w:rsidP="00457814">
            <w:pPr>
              <w:tabs>
                <w:tab w:val="left" w:pos="242"/>
              </w:tabs>
              <w:spacing w:before="0"/>
              <w:rPr>
                <w:szCs w:val="22"/>
              </w:rPr>
            </w:pPr>
            <w:r>
              <w:rPr>
                <w:szCs w:val="22"/>
              </w:rPr>
              <w:tab/>
            </w:r>
            <w:r w:rsidR="00E7050B" w:rsidRPr="00417209">
              <w:rPr>
                <w:szCs w:val="22"/>
              </w:rPr>
              <w:t>COM5/7</w:t>
            </w:r>
          </w:p>
        </w:tc>
      </w:tr>
      <w:tr w:rsidR="00E7050B" w:rsidRPr="00417209" w:rsidTr="00075873">
        <w:trPr>
          <w:gridAfter w:val="3"/>
          <w:wAfter w:w="4601" w:type="dxa"/>
          <w:jc w:val="center"/>
        </w:trPr>
        <w:tc>
          <w:tcPr>
            <w:tcW w:w="1134" w:type="dxa"/>
            <w:vAlign w:val="center"/>
          </w:tcPr>
          <w:p w:rsidR="00E7050B" w:rsidRPr="00417209" w:rsidRDefault="00E7050B" w:rsidP="00BB5DD2">
            <w:pPr>
              <w:spacing w:before="0"/>
              <w:jc w:val="center"/>
              <w:rPr>
                <w:szCs w:val="22"/>
              </w:rPr>
            </w:pPr>
            <w:r w:rsidRPr="00417209">
              <w:rPr>
                <w:szCs w:val="22"/>
              </w:rPr>
              <w:t>554</w:t>
            </w:r>
          </w:p>
        </w:tc>
        <w:tc>
          <w:tcPr>
            <w:tcW w:w="1767" w:type="dxa"/>
            <w:vAlign w:val="center"/>
          </w:tcPr>
          <w:p w:rsidR="00E7050B" w:rsidRPr="00417209" w:rsidRDefault="00417209" w:rsidP="00457814">
            <w:pPr>
              <w:tabs>
                <w:tab w:val="left" w:pos="242"/>
              </w:tabs>
              <w:spacing w:before="0"/>
              <w:rPr>
                <w:szCs w:val="22"/>
              </w:rPr>
            </w:pPr>
            <w:r>
              <w:rPr>
                <w:szCs w:val="22"/>
              </w:rPr>
              <w:tab/>
            </w:r>
            <w:r w:rsidR="00E7050B" w:rsidRPr="00417209">
              <w:rPr>
                <w:szCs w:val="22"/>
              </w:rPr>
              <w:t>COM5/8</w:t>
            </w:r>
          </w:p>
        </w:tc>
      </w:tr>
      <w:tr w:rsidR="00E7050B" w:rsidRPr="00417209" w:rsidTr="00075873">
        <w:trPr>
          <w:gridAfter w:val="3"/>
          <w:wAfter w:w="4601" w:type="dxa"/>
          <w:jc w:val="center"/>
        </w:trPr>
        <w:tc>
          <w:tcPr>
            <w:tcW w:w="1134" w:type="dxa"/>
            <w:vAlign w:val="center"/>
          </w:tcPr>
          <w:p w:rsidR="00E7050B" w:rsidRPr="00417209" w:rsidRDefault="00E7050B" w:rsidP="00BB5DD2">
            <w:pPr>
              <w:spacing w:before="0"/>
              <w:jc w:val="center"/>
              <w:rPr>
                <w:szCs w:val="22"/>
              </w:rPr>
            </w:pPr>
            <w:r w:rsidRPr="00417209">
              <w:rPr>
                <w:szCs w:val="22"/>
              </w:rPr>
              <w:t>555</w:t>
            </w:r>
          </w:p>
        </w:tc>
        <w:tc>
          <w:tcPr>
            <w:tcW w:w="1767" w:type="dxa"/>
            <w:vAlign w:val="center"/>
          </w:tcPr>
          <w:p w:rsidR="00E7050B" w:rsidRPr="00417209" w:rsidRDefault="00417209" w:rsidP="00457814">
            <w:pPr>
              <w:tabs>
                <w:tab w:val="left" w:pos="242"/>
              </w:tabs>
              <w:spacing w:before="0"/>
              <w:rPr>
                <w:szCs w:val="22"/>
              </w:rPr>
            </w:pPr>
            <w:r>
              <w:rPr>
                <w:szCs w:val="22"/>
              </w:rPr>
              <w:tab/>
            </w:r>
            <w:r w:rsidR="00E7050B" w:rsidRPr="00417209">
              <w:rPr>
                <w:szCs w:val="22"/>
              </w:rPr>
              <w:t>COM5/9</w:t>
            </w:r>
          </w:p>
        </w:tc>
      </w:tr>
      <w:tr w:rsidR="00E7050B" w:rsidRPr="00417209" w:rsidTr="00075873">
        <w:trPr>
          <w:gridAfter w:val="3"/>
          <w:wAfter w:w="4601" w:type="dxa"/>
          <w:jc w:val="center"/>
        </w:trPr>
        <w:tc>
          <w:tcPr>
            <w:tcW w:w="1134" w:type="dxa"/>
            <w:vAlign w:val="center"/>
          </w:tcPr>
          <w:p w:rsidR="00E7050B" w:rsidRPr="00417209" w:rsidRDefault="00E7050B" w:rsidP="00BB5DD2">
            <w:pPr>
              <w:spacing w:before="0"/>
              <w:jc w:val="center"/>
              <w:rPr>
                <w:szCs w:val="22"/>
              </w:rPr>
            </w:pPr>
            <w:r w:rsidRPr="00417209">
              <w:rPr>
                <w:szCs w:val="22"/>
              </w:rPr>
              <w:t>648</w:t>
            </w:r>
          </w:p>
        </w:tc>
        <w:tc>
          <w:tcPr>
            <w:tcW w:w="1767" w:type="dxa"/>
            <w:vAlign w:val="center"/>
          </w:tcPr>
          <w:p w:rsidR="00E7050B" w:rsidRPr="00417209" w:rsidRDefault="00417209" w:rsidP="00457814">
            <w:pPr>
              <w:tabs>
                <w:tab w:val="left" w:pos="242"/>
              </w:tabs>
              <w:spacing w:before="0"/>
              <w:rPr>
                <w:szCs w:val="22"/>
              </w:rPr>
            </w:pPr>
            <w:r>
              <w:rPr>
                <w:szCs w:val="22"/>
              </w:rPr>
              <w:tab/>
            </w:r>
            <w:r w:rsidR="00E7050B" w:rsidRPr="00417209">
              <w:rPr>
                <w:szCs w:val="22"/>
              </w:rPr>
              <w:t>COM6/11</w:t>
            </w:r>
          </w:p>
        </w:tc>
      </w:tr>
      <w:tr w:rsidR="00E7050B" w:rsidRPr="00417209" w:rsidTr="00075873">
        <w:trPr>
          <w:gridAfter w:val="3"/>
          <w:wAfter w:w="4601" w:type="dxa"/>
          <w:jc w:val="center"/>
        </w:trPr>
        <w:tc>
          <w:tcPr>
            <w:tcW w:w="1134" w:type="dxa"/>
            <w:vAlign w:val="center"/>
          </w:tcPr>
          <w:p w:rsidR="00E7050B" w:rsidRPr="00417209" w:rsidRDefault="00E7050B" w:rsidP="00BB5DD2">
            <w:pPr>
              <w:spacing w:before="0"/>
              <w:jc w:val="center"/>
              <w:rPr>
                <w:szCs w:val="22"/>
              </w:rPr>
            </w:pPr>
            <w:r w:rsidRPr="00417209">
              <w:rPr>
                <w:szCs w:val="22"/>
              </w:rPr>
              <w:t>649</w:t>
            </w:r>
          </w:p>
        </w:tc>
        <w:tc>
          <w:tcPr>
            <w:tcW w:w="1767" w:type="dxa"/>
            <w:vAlign w:val="center"/>
          </w:tcPr>
          <w:p w:rsidR="00E7050B" w:rsidRPr="00417209" w:rsidRDefault="00417209" w:rsidP="00457814">
            <w:pPr>
              <w:tabs>
                <w:tab w:val="left" w:pos="242"/>
              </w:tabs>
              <w:spacing w:before="0"/>
              <w:rPr>
                <w:szCs w:val="22"/>
              </w:rPr>
            </w:pPr>
            <w:r>
              <w:rPr>
                <w:szCs w:val="22"/>
              </w:rPr>
              <w:tab/>
            </w:r>
            <w:r w:rsidR="00E7050B" w:rsidRPr="00417209">
              <w:rPr>
                <w:szCs w:val="22"/>
              </w:rPr>
              <w:t>COM6/12</w:t>
            </w:r>
          </w:p>
        </w:tc>
      </w:tr>
      <w:tr w:rsidR="00E7050B" w:rsidRPr="00417209" w:rsidTr="00075873">
        <w:trPr>
          <w:gridAfter w:val="3"/>
          <w:wAfter w:w="4601" w:type="dxa"/>
          <w:jc w:val="center"/>
        </w:trPr>
        <w:tc>
          <w:tcPr>
            <w:tcW w:w="1134" w:type="dxa"/>
            <w:vAlign w:val="center"/>
          </w:tcPr>
          <w:p w:rsidR="00E7050B" w:rsidRPr="00417209" w:rsidRDefault="00E7050B" w:rsidP="00BB5DD2">
            <w:pPr>
              <w:spacing w:before="0"/>
              <w:jc w:val="center"/>
              <w:rPr>
                <w:szCs w:val="22"/>
              </w:rPr>
            </w:pPr>
            <w:r w:rsidRPr="00417209">
              <w:rPr>
                <w:szCs w:val="22"/>
              </w:rPr>
              <w:t>650</w:t>
            </w:r>
          </w:p>
        </w:tc>
        <w:tc>
          <w:tcPr>
            <w:tcW w:w="1767" w:type="dxa"/>
            <w:vAlign w:val="center"/>
          </w:tcPr>
          <w:p w:rsidR="00E7050B" w:rsidRPr="00417209" w:rsidRDefault="00417209" w:rsidP="00457814">
            <w:pPr>
              <w:tabs>
                <w:tab w:val="left" w:pos="242"/>
              </w:tabs>
              <w:spacing w:before="0"/>
              <w:rPr>
                <w:szCs w:val="22"/>
              </w:rPr>
            </w:pPr>
            <w:r>
              <w:rPr>
                <w:szCs w:val="22"/>
              </w:rPr>
              <w:tab/>
            </w:r>
            <w:r w:rsidR="00E7050B" w:rsidRPr="00417209">
              <w:rPr>
                <w:szCs w:val="22"/>
              </w:rPr>
              <w:t>COM6/</w:t>
            </w:r>
            <w:r w:rsidR="00201050" w:rsidRPr="00417209">
              <w:rPr>
                <w:szCs w:val="22"/>
              </w:rPr>
              <w:t>17</w:t>
            </w:r>
          </w:p>
        </w:tc>
      </w:tr>
      <w:tr w:rsidR="00E7050B" w:rsidRPr="00417209" w:rsidTr="00075873">
        <w:trPr>
          <w:gridAfter w:val="3"/>
          <w:wAfter w:w="4601" w:type="dxa"/>
          <w:jc w:val="center"/>
        </w:trPr>
        <w:tc>
          <w:tcPr>
            <w:tcW w:w="1134" w:type="dxa"/>
            <w:vAlign w:val="center"/>
          </w:tcPr>
          <w:p w:rsidR="00E7050B" w:rsidRPr="00417209" w:rsidRDefault="00E7050B" w:rsidP="00BB5DD2">
            <w:pPr>
              <w:spacing w:before="0"/>
              <w:jc w:val="center"/>
              <w:rPr>
                <w:szCs w:val="22"/>
              </w:rPr>
            </w:pPr>
            <w:r w:rsidRPr="00417209">
              <w:rPr>
                <w:szCs w:val="22"/>
              </w:rPr>
              <w:t>651</w:t>
            </w:r>
          </w:p>
        </w:tc>
        <w:tc>
          <w:tcPr>
            <w:tcW w:w="1767" w:type="dxa"/>
            <w:vAlign w:val="center"/>
          </w:tcPr>
          <w:p w:rsidR="00E7050B" w:rsidRPr="00417209" w:rsidRDefault="00417209" w:rsidP="00457814">
            <w:pPr>
              <w:tabs>
                <w:tab w:val="left" w:pos="242"/>
              </w:tabs>
              <w:spacing w:before="0"/>
              <w:rPr>
                <w:szCs w:val="22"/>
              </w:rPr>
            </w:pPr>
            <w:r>
              <w:rPr>
                <w:szCs w:val="22"/>
              </w:rPr>
              <w:tab/>
            </w:r>
            <w:r w:rsidR="00201050" w:rsidRPr="00417209">
              <w:rPr>
                <w:szCs w:val="22"/>
              </w:rPr>
              <w:t>COM6/18</w:t>
            </w:r>
          </w:p>
        </w:tc>
      </w:tr>
      <w:tr w:rsidR="00E7050B" w:rsidRPr="00417209" w:rsidTr="00075873">
        <w:trPr>
          <w:gridAfter w:val="3"/>
          <w:wAfter w:w="4601" w:type="dxa"/>
          <w:jc w:val="center"/>
        </w:trPr>
        <w:tc>
          <w:tcPr>
            <w:tcW w:w="1134" w:type="dxa"/>
            <w:vAlign w:val="center"/>
          </w:tcPr>
          <w:p w:rsidR="00E7050B" w:rsidRPr="00417209" w:rsidRDefault="00E7050B" w:rsidP="00BB5DD2">
            <w:pPr>
              <w:spacing w:before="0"/>
              <w:jc w:val="center"/>
              <w:rPr>
                <w:szCs w:val="22"/>
              </w:rPr>
            </w:pPr>
            <w:r w:rsidRPr="00417209">
              <w:rPr>
                <w:szCs w:val="22"/>
              </w:rPr>
              <w:t>652</w:t>
            </w:r>
          </w:p>
        </w:tc>
        <w:tc>
          <w:tcPr>
            <w:tcW w:w="1767" w:type="dxa"/>
            <w:vAlign w:val="center"/>
          </w:tcPr>
          <w:p w:rsidR="00E7050B" w:rsidRPr="00417209" w:rsidRDefault="00417209" w:rsidP="00457814">
            <w:pPr>
              <w:tabs>
                <w:tab w:val="left" w:pos="242"/>
              </w:tabs>
              <w:spacing w:before="0"/>
              <w:rPr>
                <w:szCs w:val="22"/>
              </w:rPr>
            </w:pPr>
            <w:r>
              <w:rPr>
                <w:szCs w:val="22"/>
              </w:rPr>
              <w:tab/>
            </w:r>
            <w:r w:rsidR="00201050" w:rsidRPr="00417209">
              <w:rPr>
                <w:szCs w:val="22"/>
              </w:rPr>
              <w:t>COM6/19</w:t>
            </w:r>
          </w:p>
        </w:tc>
      </w:tr>
      <w:tr w:rsidR="00E7050B" w:rsidRPr="00417209" w:rsidTr="00075873">
        <w:trPr>
          <w:gridAfter w:val="3"/>
          <w:wAfter w:w="4601" w:type="dxa"/>
          <w:jc w:val="center"/>
        </w:trPr>
        <w:tc>
          <w:tcPr>
            <w:tcW w:w="1134" w:type="dxa"/>
            <w:vAlign w:val="center"/>
          </w:tcPr>
          <w:p w:rsidR="00E7050B" w:rsidRPr="00417209" w:rsidRDefault="00E7050B" w:rsidP="00BB5DD2">
            <w:pPr>
              <w:spacing w:before="0"/>
              <w:jc w:val="center"/>
              <w:rPr>
                <w:szCs w:val="22"/>
              </w:rPr>
            </w:pPr>
            <w:r w:rsidRPr="00417209">
              <w:rPr>
                <w:szCs w:val="22"/>
              </w:rPr>
              <w:t>653</w:t>
            </w:r>
          </w:p>
        </w:tc>
        <w:tc>
          <w:tcPr>
            <w:tcW w:w="1767" w:type="dxa"/>
            <w:vAlign w:val="center"/>
          </w:tcPr>
          <w:p w:rsidR="00E7050B" w:rsidRPr="00417209" w:rsidRDefault="00417209" w:rsidP="00457814">
            <w:pPr>
              <w:tabs>
                <w:tab w:val="left" w:pos="242"/>
              </w:tabs>
              <w:spacing w:before="0"/>
              <w:rPr>
                <w:szCs w:val="22"/>
              </w:rPr>
            </w:pPr>
            <w:r>
              <w:rPr>
                <w:szCs w:val="22"/>
              </w:rPr>
              <w:tab/>
            </w:r>
            <w:r w:rsidR="00201050" w:rsidRPr="00417209">
              <w:rPr>
                <w:szCs w:val="22"/>
              </w:rPr>
              <w:t>COM6/20</w:t>
            </w:r>
          </w:p>
        </w:tc>
      </w:tr>
      <w:tr w:rsidR="00E7050B" w:rsidRPr="00417209" w:rsidTr="00075873">
        <w:trPr>
          <w:gridAfter w:val="3"/>
          <w:wAfter w:w="4601" w:type="dxa"/>
          <w:jc w:val="center"/>
        </w:trPr>
        <w:tc>
          <w:tcPr>
            <w:tcW w:w="1134" w:type="dxa"/>
            <w:vAlign w:val="center"/>
          </w:tcPr>
          <w:p w:rsidR="00E7050B" w:rsidRPr="00417209" w:rsidRDefault="00E7050B" w:rsidP="00BB5DD2">
            <w:pPr>
              <w:spacing w:before="0"/>
              <w:jc w:val="center"/>
              <w:rPr>
                <w:szCs w:val="22"/>
              </w:rPr>
            </w:pPr>
            <w:r w:rsidRPr="00417209">
              <w:rPr>
                <w:szCs w:val="22"/>
              </w:rPr>
              <w:t>654</w:t>
            </w:r>
          </w:p>
        </w:tc>
        <w:tc>
          <w:tcPr>
            <w:tcW w:w="1767" w:type="dxa"/>
            <w:vAlign w:val="center"/>
          </w:tcPr>
          <w:p w:rsidR="00E7050B" w:rsidRPr="00417209" w:rsidRDefault="00417209" w:rsidP="00457814">
            <w:pPr>
              <w:tabs>
                <w:tab w:val="left" w:pos="242"/>
              </w:tabs>
              <w:spacing w:before="0"/>
              <w:rPr>
                <w:szCs w:val="22"/>
              </w:rPr>
            </w:pPr>
            <w:r>
              <w:rPr>
                <w:szCs w:val="22"/>
              </w:rPr>
              <w:tab/>
            </w:r>
            <w:r w:rsidR="00201050" w:rsidRPr="00417209">
              <w:rPr>
                <w:szCs w:val="22"/>
              </w:rPr>
              <w:t>COM6/23</w:t>
            </w:r>
          </w:p>
        </w:tc>
      </w:tr>
      <w:tr w:rsidR="00E7050B" w:rsidRPr="00417209" w:rsidTr="00075873">
        <w:trPr>
          <w:gridAfter w:val="3"/>
          <w:wAfter w:w="4601" w:type="dxa"/>
          <w:jc w:val="center"/>
        </w:trPr>
        <w:tc>
          <w:tcPr>
            <w:tcW w:w="1134" w:type="dxa"/>
            <w:vAlign w:val="center"/>
          </w:tcPr>
          <w:p w:rsidR="00E7050B" w:rsidRPr="00417209" w:rsidRDefault="00E7050B" w:rsidP="00BB5DD2">
            <w:pPr>
              <w:spacing w:before="0"/>
              <w:jc w:val="center"/>
              <w:rPr>
                <w:szCs w:val="22"/>
              </w:rPr>
            </w:pPr>
            <w:r w:rsidRPr="00417209">
              <w:rPr>
                <w:szCs w:val="22"/>
              </w:rPr>
              <w:t>755</w:t>
            </w:r>
          </w:p>
        </w:tc>
        <w:tc>
          <w:tcPr>
            <w:tcW w:w="1767" w:type="dxa"/>
            <w:vAlign w:val="center"/>
          </w:tcPr>
          <w:p w:rsidR="00E7050B" w:rsidRPr="00417209" w:rsidRDefault="00417209" w:rsidP="00457814">
            <w:pPr>
              <w:tabs>
                <w:tab w:val="left" w:pos="242"/>
              </w:tabs>
              <w:spacing w:before="0"/>
              <w:rPr>
                <w:szCs w:val="22"/>
              </w:rPr>
            </w:pPr>
            <w:r>
              <w:rPr>
                <w:szCs w:val="22"/>
              </w:rPr>
              <w:tab/>
            </w:r>
            <w:r w:rsidR="00E7050B" w:rsidRPr="00417209">
              <w:rPr>
                <w:szCs w:val="22"/>
              </w:rPr>
              <w:t>COM5/4</w:t>
            </w:r>
          </w:p>
        </w:tc>
      </w:tr>
      <w:tr w:rsidR="00E7050B" w:rsidRPr="00417209" w:rsidTr="00075873">
        <w:trPr>
          <w:gridAfter w:val="3"/>
          <w:wAfter w:w="4601" w:type="dxa"/>
          <w:jc w:val="center"/>
        </w:trPr>
        <w:tc>
          <w:tcPr>
            <w:tcW w:w="1134" w:type="dxa"/>
            <w:vAlign w:val="center"/>
          </w:tcPr>
          <w:p w:rsidR="00E7050B" w:rsidRPr="00417209" w:rsidRDefault="00E7050B" w:rsidP="00BB5DD2">
            <w:pPr>
              <w:spacing w:before="0"/>
              <w:jc w:val="center"/>
              <w:rPr>
                <w:szCs w:val="22"/>
              </w:rPr>
            </w:pPr>
            <w:r w:rsidRPr="00417209">
              <w:rPr>
                <w:szCs w:val="22"/>
              </w:rPr>
              <w:t>756</w:t>
            </w:r>
          </w:p>
        </w:tc>
        <w:tc>
          <w:tcPr>
            <w:tcW w:w="1767" w:type="dxa"/>
            <w:vAlign w:val="center"/>
          </w:tcPr>
          <w:p w:rsidR="00E7050B" w:rsidRPr="00417209" w:rsidRDefault="00417209" w:rsidP="00457814">
            <w:pPr>
              <w:tabs>
                <w:tab w:val="left" w:pos="242"/>
              </w:tabs>
              <w:spacing w:before="0"/>
              <w:rPr>
                <w:szCs w:val="22"/>
              </w:rPr>
            </w:pPr>
            <w:r>
              <w:rPr>
                <w:szCs w:val="22"/>
              </w:rPr>
              <w:tab/>
            </w:r>
            <w:r w:rsidR="00E7050B" w:rsidRPr="00417209">
              <w:rPr>
                <w:szCs w:val="22"/>
              </w:rPr>
              <w:t>COM5/5</w:t>
            </w:r>
          </w:p>
        </w:tc>
      </w:tr>
      <w:tr w:rsidR="00E7050B" w:rsidRPr="00417209" w:rsidTr="00075873">
        <w:trPr>
          <w:gridAfter w:val="3"/>
          <w:wAfter w:w="4601" w:type="dxa"/>
          <w:jc w:val="center"/>
        </w:trPr>
        <w:tc>
          <w:tcPr>
            <w:tcW w:w="1134" w:type="dxa"/>
            <w:vAlign w:val="center"/>
          </w:tcPr>
          <w:p w:rsidR="00E7050B" w:rsidRPr="00417209" w:rsidRDefault="00E7050B" w:rsidP="00BB5DD2">
            <w:pPr>
              <w:spacing w:before="0"/>
              <w:jc w:val="center"/>
              <w:rPr>
                <w:szCs w:val="22"/>
              </w:rPr>
            </w:pPr>
            <w:r w:rsidRPr="00417209">
              <w:rPr>
                <w:szCs w:val="22"/>
              </w:rPr>
              <w:t>757</w:t>
            </w:r>
          </w:p>
        </w:tc>
        <w:tc>
          <w:tcPr>
            <w:tcW w:w="1767" w:type="dxa"/>
            <w:vAlign w:val="center"/>
          </w:tcPr>
          <w:p w:rsidR="00E7050B" w:rsidRPr="00417209" w:rsidRDefault="00417209" w:rsidP="00457814">
            <w:pPr>
              <w:tabs>
                <w:tab w:val="left" w:pos="242"/>
              </w:tabs>
              <w:spacing w:before="0"/>
              <w:rPr>
                <w:szCs w:val="22"/>
              </w:rPr>
            </w:pPr>
            <w:r>
              <w:rPr>
                <w:szCs w:val="22"/>
              </w:rPr>
              <w:tab/>
            </w:r>
            <w:r w:rsidR="00E7050B" w:rsidRPr="00417209">
              <w:rPr>
                <w:szCs w:val="22"/>
              </w:rPr>
              <w:t>COM6/10</w:t>
            </w:r>
          </w:p>
        </w:tc>
      </w:tr>
      <w:tr w:rsidR="00E7050B" w:rsidRPr="00417209" w:rsidTr="00075873">
        <w:trPr>
          <w:gridAfter w:val="3"/>
          <w:wAfter w:w="4601" w:type="dxa"/>
          <w:jc w:val="center"/>
        </w:trPr>
        <w:tc>
          <w:tcPr>
            <w:tcW w:w="1134" w:type="dxa"/>
            <w:vAlign w:val="center"/>
          </w:tcPr>
          <w:p w:rsidR="00E7050B" w:rsidRPr="00417209" w:rsidRDefault="00E7050B" w:rsidP="00BB5DD2">
            <w:pPr>
              <w:spacing w:before="0"/>
              <w:jc w:val="center"/>
              <w:rPr>
                <w:szCs w:val="22"/>
              </w:rPr>
            </w:pPr>
            <w:r w:rsidRPr="00417209">
              <w:rPr>
                <w:szCs w:val="22"/>
              </w:rPr>
              <w:t>758</w:t>
            </w:r>
          </w:p>
        </w:tc>
        <w:tc>
          <w:tcPr>
            <w:tcW w:w="1767" w:type="dxa"/>
            <w:vAlign w:val="center"/>
          </w:tcPr>
          <w:p w:rsidR="00E7050B" w:rsidRPr="00417209" w:rsidRDefault="00417209" w:rsidP="00457814">
            <w:pPr>
              <w:tabs>
                <w:tab w:val="left" w:pos="242"/>
              </w:tabs>
              <w:spacing w:before="0"/>
              <w:rPr>
                <w:szCs w:val="22"/>
              </w:rPr>
            </w:pPr>
            <w:r>
              <w:rPr>
                <w:szCs w:val="22"/>
              </w:rPr>
              <w:tab/>
            </w:r>
            <w:r w:rsidR="00E7050B" w:rsidRPr="00417209">
              <w:rPr>
                <w:szCs w:val="22"/>
              </w:rPr>
              <w:t>COM6/15</w:t>
            </w:r>
          </w:p>
        </w:tc>
      </w:tr>
      <w:tr w:rsidR="00E7050B" w:rsidRPr="00417209" w:rsidTr="00075873">
        <w:trPr>
          <w:gridAfter w:val="3"/>
          <w:wAfter w:w="4601" w:type="dxa"/>
          <w:jc w:val="center"/>
        </w:trPr>
        <w:tc>
          <w:tcPr>
            <w:tcW w:w="1134" w:type="dxa"/>
            <w:vAlign w:val="center"/>
          </w:tcPr>
          <w:p w:rsidR="00E7050B" w:rsidRPr="00417209" w:rsidRDefault="00E7050B" w:rsidP="00BB5DD2">
            <w:pPr>
              <w:spacing w:before="0"/>
              <w:jc w:val="center"/>
              <w:rPr>
                <w:szCs w:val="22"/>
              </w:rPr>
            </w:pPr>
            <w:r w:rsidRPr="00417209">
              <w:rPr>
                <w:szCs w:val="22"/>
              </w:rPr>
              <w:t>807</w:t>
            </w:r>
          </w:p>
        </w:tc>
        <w:tc>
          <w:tcPr>
            <w:tcW w:w="1767" w:type="dxa"/>
            <w:vAlign w:val="center"/>
          </w:tcPr>
          <w:p w:rsidR="00E7050B" w:rsidRPr="00417209" w:rsidRDefault="00417209" w:rsidP="00457814">
            <w:pPr>
              <w:tabs>
                <w:tab w:val="left" w:pos="242"/>
              </w:tabs>
              <w:spacing w:before="0"/>
              <w:rPr>
                <w:szCs w:val="22"/>
              </w:rPr>
            </w:pPr>
            <w:r>
              <w:rPr>
                <w:szCs w:val="22"/>
              </w:rPr>
              <w:tab/>
            </w:r>
            <w:r w:rsidR="00E7050B" w:rsidRPr="00417209">
              <w:rPr>
                <w:szCs w:val="22"/>
              </w:rPr>
              <w:t>COM6/6</w:t>
            </w:r>
          </w:p>
        </w:tc>
      </w:tr>
      <w:tr w:rsidR="00E7050B" w:rsidRPr="00417209" w:rsidTr="00075873">
        <w:trPr>
          <w:gridAfter w:val="3"/>
          <w:wAfter w:w="4601" w:type="dxa"/>
          <w:jc w:val="center"/>
        </w:trPr>
        <w:tc>
          <w:tcPr>
            <w:tcW w:w="1134" w:type="dxa"/>
            <w:vAlign w:val="center"/>
          </w:tcPr>
          <w:p w:rsidR="00E7050B" w:rsidRPr="00417209" w:rsidRDefault="00E7050B" w:rsidP="00BB5DD2">
            <w:pPr>
              <w:spacing w:before="0"/>
              <w:jc w:val="center"/>
              <w:rPr>
                <w:szCs w:val="22"/>
              </w:rPr>
            </w:pPr>
            <w:r w:rsidRPr="00417209">
              <w:rPr>
                <w:szCs w:val="22"/>
              </w:rPr>
              <w:t>808</w:t>
            </w:r>
          </w:p>
        </w:tc>
        <w:tc>
          <w:tcPr>
            <w:tcW w:w="1767" w:type="dxa"/>
            <w:vAlign w:val="center"/>
          </w:tcPr>
          <w:p w:rsidR="00E7050B" w:rsidRPr="00417209" w:rsidRDefault="00417209" w:rsidP="00457814">
            <w:pPr>
              <w:tabs>
                <w:tab w:val="left" w:pos="242"/>
              </w:tabs>
              <w:spacing w:before="0"/>
              <w:rPr>
                <w:szCs w:val="22"/>
              </w:rPr>
            </w:pPr>
            <w:r>
              <w:rPr>
                <w:szCs w:val="22"/>
              </w:rPr>
              <w:tab/>
            </w:r>
            <w:r w:rsidR="00E7050B" w:rsidRPr="00417209">
              <w:rPr>
                <w:szCs w:val="22"/>
              </w:rPr>
              <w:t>COM6/7</w:t>
            </w:r>
          </w:p>
        </w:tc>
      </w:tr>
      <w:tr w:rsidR="00E7050B" w:rsidRPr="00417209" w:rsidTr="00075873">
        <w:trPr>
          <w:gridAfter w:val="3"/>
          <w:wAfter w:w="4601" w:type="dxa"/>
          <w:jc w:val="center"/>
        </w:trPr>
        <w:tc>
          <w:tcPr>
            <w:tcW w:w="1134" w:type="dxa"/>
            <w:vAlign w:val="center"/>
          </w:tcPr>
          <w:p w:rsidR="00E7050B" w:rsidRPr="00417209" w:rsidRDefault="00E7050B" w:rsidP="00BB5DD2">
            <w:pPr>
              <w:spacing w:before="0"/>
              <w:jc w:val="center"/>
              <w:rPr>
                <w:szCs w:val="22"/>
              </w:rPr>
            </w:pPr>
            <w:r w:rsidRPr="00417209">
              <w:rPr>
                <w:szCs w:val="22"/>
              </w:rPr>
              <w:t>907</w:t>
            </w:r>
          </w:p>
        </w:tc>
        <w:tc>
          <w:tcPr>
            <w:tcW w:w="1767" w:type="dxa"/>
            <w:vAlign w:val="center"/>
          </w:tcPr>
          <w:p w:rsidR="00E7050B" w:rsidRPr="00417209" w:rsidRDefault="00417209" w:rsidP="00457814">
            <w:pPr>
              <w:tabs>
                <w:tab w:val="left" w:pos="242"/>
              </w:tabs>
              <w:spacing w:before="0"/>
              <w:rPr>
                <w:szCs w:val="22"/>
              </w:rPr>
            </w:pPr>
            <w:r>
              <w:rPr>
                <w:szCs w:val="22"/>
              </w:rPr>
              <w:tab/>
            </w:r>
            <w:r w:rsidR="00E7050B" w:rsidRPr="00417209">
              <w:rPr>
                <w:szCs w:val="22"/>
              </w:rPr>
              <w:t>COM5/1</w:t>
            </w:r>
          </w:p>
        </w:tc>
      </w:tr>
      <w:tr w:rsidR="00E7050B" w:rsidRPr="00417209" w:rsidTr="00075873">
        <w:trPr>
          <w:gridAfter w:val="3"/>
          <w:wAfter w:w="4601" w:type="dxa"/>
          <w:jc w:val="center"/>
        </w:trPr>
        <w:tc>
          <w:tcPr>
            <w:tcW w:w="1134" w:type="dxa"/>
            <w:vAlign w:val="center"/>
          </w:tcPr>
          <w:p w:rsidR="00E7050B" w:rsidRPr="00417209" w:rsidRDefault="00E7050B" w:rsidP="00BB5DD2">
            <w:pPr>
              <w:spacing w:before="0"/>
              <w:jc w:val="center"/>
              <w:rPr>
                <w:szCs w:val="22"/>
              </w:rPr>
            </w:pPr>
            <w:r w:rsidRPr="00417209">
              <w:rPr>
                <w:szCs w:val="22"/>
              </w:rPr>
              <w:t>908</w:t>
            </w:r>
          </w:p>
        </w:tc>
        <w:tc>
          <w:tcPr>
            <w:tcW w:w="1767" w:type="dxa"/>
            <w:vAlign w:val="center"/>
          </w:tcPr>
          <w:p w:rsidR="00E7050B" w:rsidRPr="00417209" w:rsidRDefault="00417209" w:rsidP="00457814">
            <w:pPr>
              <w:tabs>
                <w:tab w:val="left" w:pos="242"/>
              </w:tabs>
              <w:spacing w:before="0"/>
              <w:rPr>
                <w:szCs w:val="22"/>
              </w:rPr>
            </w:pPr>
            <w:r>
              <w:rPr>
                <w:szCs w:val="22"/>
              </w:rPr>
              <w:tab/>
            </w:r>
            <w:r w:rsidR="00E7050B" w:rsidRPr="00417209">
              <w:rPr>
                <w:szCs w:val="22"/>
              </w:rPr>
              <w:t>COM5/2</w:t>
            </w:r>
          </w:p>
        </w:tc>
      </w:tr>
      <w:tr w:rsidR="00E7050B" w:rsidRPr="00417209" w:rsidTr="00075873">
        <w:trPr>
          <w:gridAfter w:val="3"/>
          <w:wAfter w:w="4601" w:type="dxa"/>
          <w:jc w:val="center"/>
        </w:trPr>
        <w:tc>
          <w:tcPr>
            <w:tcW w:w="1134" w:type="dxa"/>
            <w:vAlign w:val="center"/>
          </w:tcPr>
          <w:p w:rsidR="00E7050B" w:rsidRPr="00417209" w:rsidRDefault="00E7050B" w:rsidP="00BB5DD2">
            <w:pPr>
              <w:spacing w:before="0"/>
              <w:jc w:val="center"/>
              <w:rPr>
                <w:szCs w:val="22"/>
              </w:rPr>
            </w:pPr>
            <w:r w:rsidRPr="00417209">
              <w:rPr>
                <w:szCs w:val="22"/>
              </w:rPr>
              <w:t>909</w:t>
            </w:r>
          </w:p>
        </w:tc>
        <w:tc>
          <w:tcPr>
            <w:tcW w:w="1767" w:type="dxa"/>
            <w:vAlign w:val="center"/>
          </w:tcPr>
          <w:p w:rsidR="00E7050B" w:rsidRPr="00417209" w:rsidRDefault="00417209" w:rsidP="00457814">
            <w:pPr>
              <w:tabs>
                <w:tab w:val="left" w:pos="242"/>
              </w:tabs>
              <w:spacing w:before="0"/>
              <w:rPr>
                <w:szCs w:val="22"/>
              </w:rPr>
            </w:pPr>
            <w:r>
              <w:rPr>
                <w:szCs w:val="22"/>
              </w:rPr>
              <w:tab/>
            </w:r>
            <w:r w:rsidR="00E7050B" w:rsidRPr="00417209">
              <w:rPr>
                <w:szCs w:val="22"/>
              </w:rPr>
              <w:t>COM6/14</w:t>
            </w:r>
          </w:p>
        </w:tc>
      </w:tr>
      <w:tr w:rsidR="00E7050B" w:rsidRPr="00417209" w:rsidTr="00075873">
        <w:trPr>
          <w:gridAfter w:val="3"/>
          <w:wAfter w:w="4601" w:type="dxa"/>
          <w:jc w:val="center"/>
        </w:trPr>
        <w:tc>
          <w:tcPr>
            <w:tcW w:w="1134" w:type="dxa"/>
            <w:vAlign w:val="center"/>
          </w:tcPr>
          <w:p w:rsidR="00E7050B" w:rsidRPr="00417209" w:rsidRDefault="00E7050B" w:rsidP="00BB5DD2">
            <w:pPr>
              <w:spacing w:before="0"/>
              <w:jc w:val="center"/>
              <w:rPr>
                <w:szCs w:val="22"/>
              </w:rPr>
            </w:pPr>
            <w:r w:rsidRPr="00417209">
              <w:rPr>
                <w:szCs w:val="22"/>
              </w:rPr>
              <w:t>957</w:t>
            </w:r>
          </w:p>
        </w:tc>
        <w:tc>
          <w:tcPr>
            <w:tcW w:w="1767" w:type="dxa"/>
            <w:vAlign w:val="center"/>
          </w:tcPr>
          <w:p w:rsidR="00E7050B" w:rsidRPr="00417209" w:rsidRDefault="00417209" w:rsidP="00457814">
            <w:pPr>
              <w:tabs>
                <w:tab w:val="left" w:pos="242"/>
              </w:tabs>
              <w:spacing w:before="0"/>
              <w:rPr>
                <w:szCs w:val="22"/>
              </w:rPr>
            </w:pPr>
            <w:r>
              <w:rPr>
                <w:szCs w:val="22"/>
              </w:rPr>
              <w:tab/>
            </w:r>
            <w:r w:rsidR="00201050" w:rsidRPr="00417209">
              <w:rPr>
                <w:szCs w:val="22"/>
              </w:rPr>
              <w:t>PLEN/1</w:t>
            </w:r>
          </w:p>
        </w:tc>
      </w:tr>
    </w:tbl>
    <w:p w:rsidR="00626783" w:rsidRDefault="00626783" w:rsidP="00626783"/>
    <w:p w:rsidR="006B01EE" w:rsidRDefault="006B01EE" w:rsidP="00626783"/>
    <w:p w:rsidR="006B01EE" w:rsidRDefault="006B01EE" w:rsidP="00626783"/>
    <w:p w:rsidR="00BF498A" w:rsidRDefault="00BF498A" w:rsidP="00BF498A">
      <w:pPr>
        <w:pStyle w:val="AnnexNotitle"/>
        <w:spacing w:after="80"/>
      </w:pPr>
      <w:r>
        <w:rPr>
          <w:b w:val="0"/>
          <w:bCs/>
        </w:rPr>
        <w:lastRenderedPageBreak/>
        <w:t>ANNEX 2</w:t>
      </w:r>
    </w:p>
    <w:p w:rsidR="006B01EE" w:rsidRPr="00BF498A" w:rsidRDefault="001622FC" w:rsidP="001622FC">
      <w:pPr>
        <w:pStyle w:val="AnnexNotitle"/>
        <w:spacing w:before="240"/>
        <w:rPr>
          <w:szCs w:val="28"/>
        </w:rPr>
      </w:pPr>
      <w:r>
        <w:t xml:space="preserve">Table of correspondence between provisional and final </w:t>
      </w:r>
      <w:r w:rsidRPr="00DB7697">
        <w:t xml:space="preserve">numbers </w:t>
      </w:r>
      <w:r>
        <w:t xml:space="preserve">for </w:t>
      </w:r>
      <w:r>
        <w:br/>
      </w:r>
      <w:r w:rsidR="00C92783">
        <w:t>new Article 5 footnotes approved by WRC-12</w:t>
      </w:r>
      <w:r w:rsidR="00BF498A">
        <w:br/>
      </w:r>
    </w:p>
    <w:tbl>
      <w:tblPr>
        <w:tblW w:w="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2552"/>
      </w:tblGrid>
      <w:tr w:rsidR="001622FC" w:rsidRPr="00AA4B91" w:rsidTr="001622FC">
        <w:trPr>
          <w:jc w:val="center"/>
        </w:trPr>
        <w:tc>
          <w:tcPr>
            <w:tcW w:w="2552" w:type="dxa"/>
            <w:shd w:val="clear" w:color="auto" w:fill="D9D9D9" w:themeFill="background1" w:themeFillShade="D9"/>
          </w:tcPr>
          <w:p w:rsidR="001622FC" w:rsidRDefault="001622FC" w:rsidP="0093269E">
            <w:pPr>
              <w:pStyle w:val="Tablehead"/>
              <w:tabs>
                <w:tab w:val="left" w:pos="1588"/>
              </w:tabs>
            </w:pPr>
            <w:r>
              <w:t>Final No.</w:t>
            </w:r>
          </w:p>
        </w:tc>
        <w:tc>
          <w:tcPr>
            <w:tcW w:w="2552" w:type="dxa"/>
            <w:shd w:val="clear" w:color="auto" w:fill="D9D9D9" w:themeFill="background1" w:themeFillShade="D9"/>
          </w:tcPr>
          <w:p w:rsidR="001622FC" w:rsidRDefault="001622FC" w:rsidP="00AA4B91">
            <w:pPr>
              <w:pStyle w:val="Tablehead"/>
              <w:tabs>
                <w:tab w:val="left" w:pos="1588"/>
              </w:tabs>
            </w:pPr>
            <w:r>
              <w:t>Provisional No.</w:t>
            </w:r>
          </w:p>
        </w:tc>
      </w:tr>
      <w:tr w:rsidR="001622FC" w:rsidRPr="006B01EE" w:rsidTr="001622FC">
        <w:trPr>
          <w:jc w:val="center"/>
        </w:trPr>
        <w:tc>
          <w:tcPr>
            <w:tcW w:w="2552" w:type="dxa"/>
          </w:tcPr>
          <w:p w:rsidR="001622FC" w:rsidRPr="006B01EE" w:rsidRDefault="001622FC" w:rsidP="0093269E">
            <w:pPr>
              <w:spacing w:before="20" w:after="20"/>
              <w:jc w:val="center"/>
              <w:rPr>
                <w:szCs w:val="22"/>
              </w:rPr>
            </w:pPr>
            <w:r w:rsidRPr="006B01EE">
              <w:rPr>
                <w:sz w:val="22"/>
                <w:szCs w:val="22"/>
              </w:rPr>
              <w:t>5.54A</w:t>
            </w:r>
          </w:p>
        </w:tc>
        <w:tc>
          <w:tcPr>
            <w:tcW w:w="2552" w:type="dxa"/>
          </w:tcPr>
          <w:p w:rsidR="001622FC" w:rsidRPr="006B01EE" w:rsidRDefault="001622FC" w:rsidP="006B01EE">
            <w:pPr>
              <w:spacing w:before="20" w:after="20"/>
              <w:jc w:val="center"/>
              <w:rPr>
                <w:szCs w:val="22"/>
              </w:rPr>
            </w:pPr>
            <w:r w:rsidRPr="006B01EE">
              <w:rPr>
                <w:sz w:val="22"/>
                <w:szCs w:val="22"/>
              </w:rPr>
              <w:t>5.A116</w:t>
            </w:r>
          </w:p>
        </w:tc>
      </w:tr>
      <w:tr w:rsidR="001622FC" w:rsidRPr="006B01EE" w:rsidTr="001622FC">
        <w:trPr>
          <w:jc w:val="center"/>
        </w:trPr>
        <w:tc>
          <w:tcPr>
            <w:tcW w:w="2552" w:type="dxa"/>
          </w:tcPr>
          <w:p w:rsidR="001622FC" w:rsidRPr="006B01EE" w:rsidRDefault="001622FC" w:rsidP="0093269E">
            <w:pPr>
              <w:spacing w:before="20" w:after="20"/>
              <w:jc w:val="center"/>
              <w:rPr>
                <w:szCs w:val="22"/>
              </w:rPr>
            </w:pPr>
            <w:r w:rsidRPr="006B01EE">
              <w:rPr>
                <w:sz w:val="22"/>
                <w:szCs w:val="22"/>
              </w:rPr>
              <w:t>5.54B</w:t>
            </w:r>
          </w:p>
        </w:tc>
        <w:tc>
          <w:tcPr>
            <w:tcW w:w="2552" w:type="dxa"/>
          </w:tcPr>
          <w:p w:rsidR="001622FC" w:rsidRPr="006B01EE" w:rsidRDefault="001622FC" w:rsidP="006B01EE">
            <w:pPr>
              <w:spacing w:before="20" w:after="20"/>
              <w:jc w:val="center"/>
              <w:rPr>
                <w:szCs w:val="22"/>
              </w:rPr>
            </w:pPr>
            <w:r w:rsidRPr="006B01EE">
              <w:rPr>
                <w:sz w:val="22"/>
                <w:szCs w:val="22"/>
              </w:rPr>
              <w:t>5.B116</w:t>
            </w:r>
          </w:p>
        </w:tc>
      </w:tr>
      <w:tr w:rsidR="001622FC" w:rsidRPr="006B01EE" w:rsidTr="001622FC">
        <w:trPr>
          <w:jc w:val="center"/>
        </w:trPr>
        <w:tc>
          <w:tcPr>
            <w:tcW w:w="2552" w:type="dxa"/>
          </w:tcPr>
          <w:p w:rsidR="001622FC" w:rsidRPr="006B01EE" w:rsidRDefault="001622FC" w:rsidP="0093269E">
            <w:pPr>
              <w:spacing w:before="20" w:after="20"/>
              <w:jc w:val="center"/>
              <w:rPr>
                <w:szCs w:val="22"/>
              </w:rPr>
            </w:pPr>
            <w:r w:rsidRPr="006B01EE">
              <w:rPr>
                <w:sz w:val="22"/>
                <w:szCs w:val="22"/>
              </w:rPr>
              <w:t>5.54C</w:t>
            </w:r>
          </w:p>
        </w:tc>
        <w:tc>
          <w:tcPr>
            <w:tcW w:w="2552" w:type="dxa"/>
          </w:tcPr>
          <w:p w:rsidR="001622FC" w:rsidRPr="006B01EE" w:rsidRDefault="001622FC" w:rsidP="006B01EE">
            <w:pPr>
              <w:spacing w:before="20" w:after="20"/>
              <w:jc w:val="center"/>
              <w:rPr>
                <w:szCs w:val="22"/>
              </w:rPr>
            </w:pPr>
            <w:r w:rsidRPr="006B01EE">
              <w:rPr>
                <w:sz w:val="22"/>
                <w:szCs w:val="22"/>
              </w:rPr>
              <w:t>5.C116</w:t>
            </w:r>
          </w:p>
        </w:tc>
      </w:tr>
      <w:tr w:rsidR="001622FC" w:rsidRPr="006B01EE" w:rsidTr="001622FC">
        <w:trPr>
          <w:jc w:val="center"/>
        </w:trPr>
        <w:tc>
          <w:tcPr>
            <w:tcW w:w="2552" w:type="dxa"/>
          </w:tcPr>
          <w:p w:rsidR="001622FC" w:rsidRPr="006B01EE" w:rsidRDefault="001622FC" w:rsidP="0093269E">
            <w:pPr>
              <w:spacing w:before="20" w:after="20"/>
              <w:jc w:val="center"/>
              <w:rPr>
                <w:szCs w:val="22"/>
              </w:rPr>
            </w:pPr>
            <w:r w:rsidRPr="006B01EE">
              <w:rPr>
                <w:sz w:val="22"/>
                <w:szCs w:val="22"/>
              </w:rPr>
              <w:t>5.80A</w:t>
            </w:r>
          </w:p>
        </w:tc>
        <w:tc>
          <w:tcPr>
            <w:tcW w:w="2552" w:type="dxa"/>
          </w:tcPr>
          <w:p w:rsidR="001622FC" w:rsidRPr="006B01EE" w:rsidRDefault="001622FC" w:rsidP="006B01EE">
            <w:pPr>
              <w:spacing w:before="20" w:after="20"/>
              <w:jc w:val="center"/>
              <w:rPr>
                <w:szCs w:val="22"/>
              </w:rPr>
            </w:pPr>
            <w:r w:rsidRPr="006B01EE">
              <w:rPr>
                <w:sz w:val="22"/>
                <w:szCs w:val="22"/>
              </w:rPr>
              <w:t>5.A123</w:t>
            </w:r>
          </w:p>
        </w:tc>
      </w:tr>
      <w:tr w:rsidR="001622FC" w:rsidRPr="006B01EE" w:rsidTr="001622FC">
        <w:trPr>
          <w:jc w:val="center"/>
        </w:trPr>
        <w:tc>
          <w:tcPr>
            <w:tcW w:w="2552" w:type="dxa"/>
          </w:tcPr>
          <w:p w:rsidR="001622FC" w:rsidRPr="006B01EE" w:rsidRDefault="001622FC" w:rsidP="0093269E">
            <w:pPr>
              <w:spacing w:before="20" w:after="20"/>
              <w:jc w:val="center"/>
              <w:rPr>
                <w:szCs w:val="22"/>
              </w:rPr>
            </w:pPr>
            <w:r w:rsidRPr="006B01EE">
              <w:rPr>
                <w:sz w:val="22"/>
                <w:szCs w:val="22"/>
              </w:rPr>
              <w:t>5.80B</w:t>
            </w:r>
          </w:p>
        </w:tc>
        <w:tc>
          <w:tcPr>
            <w:tcW w:w="2552" w:type="dxa"/>
          </w:tcPr>
          <w:p w:rsidR="001622FC" w:rsidRPr="006B01EE" w:rsidRDefault="001622FC" w:rsidP="006B01EE">
            <w:pPr>
              <w:spacing w:before="20" w:after="20"/>
              <w:jc w:val="center"/>
              <w:rPr>
                <w:szCs w:val="22"/>
              </w:rPr>
            </w:pPr>
            <w:r w:rsidRPr="006B01EE">
              <w:rPr>
                <w:sz w:val="22"/>
                <w:szCs w:val="22"/>
              </w:rPr>
              <w:t>5.B123</w:t>
            </w:r>
          </w:p>
        </w:tc>
      </w:tr>
      <w:tr w:rsidR="001622FC" w:rsidRPr="006B01EE" w:rsidTr="001622FC">
        <w:trPr>
          <w:jc w:val="center"/>
        </w:trPr>
        <w:tc>
          <w:tcPr>
            <w:tcW w:w="2552" w:type="dxa"/>
          </w:tcPr>
          <w:p w:rsidR="001622FC" w:rsidRPr="006B01EE" w:rsidRDefault="001622FC" w:rsidP="0093269E">
            <w:pPr>
              <w:spacing w:before="20" w:after="20"/>
              <w:jc w:val="center"/>
              <w:rPr>
                <w:szCs w:val="22"/>
              </w:rPr>
            </w:pPr>
            <w:r w:rsidRPr="006B01EE">
              <w:rPr>
                <w:sz w:val="22"/>
                <w:szCs w:val="22"/>
              </w:rPr>
              <w:t>5.132A</w:t>
            </w:r>
          </w:p>
        </w:tc>
        <w:tc>
          <w:tcPr>
            <w:tcW w:w="2552" w:type="dxa"/>
          </w:tcPr>
          <w:p w:rsidR="001622FC" w:rsidRPr="006B01EE" w:rsidRDefault="001622FC" w:rsidP="006B01EE">
            <w:pPr>
              <w:spacing w:before="20" w:after="20"/>
              <w:jc w:val="center"/>
              <w:rPr>
                <w:szCs w:val="22"/>
              </w:rPr>
            </w:pPr>
            <w:r w:rsidRPr="006B01EE">
              <w:rPr>
                <w:sz w:val="22"/>
                <w:szCs w:val="22"/>
              </w:rPr>
              <w:t>5.</w:t>
            </w:r>
            <w:bookmarkStart w:id="9" w:name="OLE_LINK1"/>
            <w:bookmarkStart w:id="10" w:name="OLE_LINK2"/>
            <w:r w:rsidRPr="006B01EE">
              <w:rPr>
                <w:sz w:val="22"/>
                <w:szCs w:val="22"/>
              </w:rPr>
              <w:t>A115</w:t>
            </w:r>
            <w:bookmarkEnd w:id="9"/>
            <w:bookmarkEnd w:id="10"/>
          </w:p>
        </w:tc>
      </w:tr>
      <w:tr w:rsidR="001622FC" w:rsidRPr="006B01EE" w:rsidTr="001622FC">
        <w:trPr>
          <w:jc w:val="center"/>
        </w:trPr>
        <w:tc>
          <w:tcPr>
            <w:tcW w:w="2552" w:type="dxa"/>
          </w:tcPr>
          <w:p w:rsidR="001622FC" w:rsidRPr="006B01EE" w:rsidRDefault="001622FC" w:rsidP="0093269E">
            <w:pPr>
              <w:spacing w:before="20" w:after="20"/>
              <w:jc w:val="center"/>
              <w:rPr>
                <w:szCs w:val="22"/>
              </w:rPr>
            </w:pPr>
            <w:r w:rsidRPr="006B01EE">
              <w:rPr>
                <w:sz w:val="22"/>
                <w:szCs w:val="22"/>
              </w:rPr>
              <w:t>5.132B</w:t>
            </w:r>
          </w:p>
        </w:tc>
        <w:tc>
          <w:tcPr>
            <w:tcW w:w="2552" w:type="dxa"/>
          </w:tcPr>
          <w:p w:rsidR="001622FC" w:rsidRPr="006B01EE" w:rsidRDefault="001622FC" w:rsidP="006B01EE">
            <w:pPr>
              <w:spacing w:before="20" w:after="20"/>
              <w:jc w:val="center"/>
              <w:rPr>
                <w:szCs w:val="22"/>
              </w:rPr>
            </w:pPr>
            <w:r w:rsidRPr="006B01EE">
              <w:rPr>
                <w:sz w:val="22"/>
                <w:szCs w:val="22"/>
              </w:rPr>
              <w:t>5.B115</w:t>
            </w:r>
          </w:p>
        </w:tc>
      </w:tr>
      <w:tr w:rsidR="001622FC" w:rsidRPr="006B01EE" w:rsidTr="001622FC">
        <w:trPr>
          <w:jc w:val="center"/>
        </w:trPr>
        <w:tc>
          <w:tcPr>
            <w:tcW w:w="2552" w:type="dxa"/>
          </w:tcPr>
          <w:p w:rsidR="001622FC" w:rsidRPr="006B01EE" w:rsidRDefault="001622FC" w:rsidP="0093269E">
            <w:pPr>
              <w:spacing w:before="20" w:after="20"/>
              <w:jc w:val="center"/>
              <w:rPr>
                <w:szCs w:val="22"/>
              </w:rPr>
            </w:pPr>
            <w:r w:rsidRPr="006B01EE">
              <w:rPr>
                <w:sz w:val="22"/>
                <w:szCs w:val="22"/>
              </w:rPr>
              <w:t>5.133A</w:t>
            </w:r>
          </w:p>
        </w:tc>
        <w:tc>
          <w:tcPr>
            <w:tcW w:w="2552" w:type="dxa"/>
          </w:tcPr>
          <w:p w:rsidR="001622FC" w:rsidRPr="006B01EE" w:rsidRDefault="001622FC" w:rsidP="006B01EE">
            <w:pPr>
              <w:spacing w:before="20" w:after="20"/>
              <w:jc w:val="center"/>
              <w:rPr>
                <w:szCs w:val="22"/>
              </w:rPr>
            </w:pPr>
            <w:r w:rsidRPr="006B01EE">
              <w:rPr>
                <w:sz w:val="22"/>
                <w:szCs w:val="22"/>
              </w:rPr>
              <w:t>5.C115</w:t>
            </w:r>
          </w:p>
        </w:tc>
      </w:tr>
      <w:tr w:rsidR="001622FC" w:rsidRPr="006B01EE" w:rsidTr="001622FC">
        <w:trPr>
          <w:jc w:val="center"/>
        </w:trPr>
        <w:tc>
          <w:tcPr>
            <w:tcW w:w="2552" w:type="dxa"/>
          </w:tcPr>
          <w:p w:rsidR="001622FC" w:rsidRPr="006B01EE" w:rsidRDefault="001622FC" w:rsidP="0093269E">
            <w:pPr>
              <w:spacing w:before="20" w:after="20"/>
              <w:jc w:val="center"/>
              <w:rPr>
                <w:szCs w:val="22"/>
              </w:rPr>
            </w:pPr>
            <w:r w:rsidRPr="006B01EE">
              <w:rPr>
                <w:sz w:val="22"/>
                <w:szCs w:val="22"/>
              </w:rPr>
              <w:t>5.145B</w:t>
            </w:r>
          </w:p>
        </w:tc>
        <w:tc>
          <w:tcPr>
            <w:tcW w:w="2552" w:type="dxa"/>
          </w:tcPr>
          <w:p w:rsidR="001622FC" w:rsidRPr="006B01EE" w:rsidRDefault="001622FC" w:rsidP="006B01EE">
            <w:pPr>
              <w:spacing w:before="20" w:after="20"/>
              <w:jc w:val="center"/>
              <w:rPr>
                <w:szCs w:val="22"/>
              </w:rPr>
            </w:pPr>
            <w:r w:rsidRPr="006B01EE">
              <w:rPr>
                <w:sz w:val="22"/>
                <w:szCs w:val="22"/>
              </w:rPr>
              <w:t>5.D115</w:t>
            </w:r>
          </w:p>
        </w:tc>
      </w:tr>
      <w:tr w:rsidR="001622FC" w:rsidRPr="006B01EE" w:rsidTr="001622FC">
        <w:trPr>
          <w:jc w:val="center"/>
        </w:trPr>
        <w:tc>
          <w:tcPr>
            <w:tcW w:w="2552" w:type="dxa"/>
          </w:tcPr>
          <w:p w:rsidR="001622FC" w:rsidRPr="006B01EE" w:rsidRDefault="001622FC" w:rsidP="0093269E">
            <w:pPr>
              <w:spacing w:before="20" w:after="20"/>
              <w:jc w:val="center"/>
              <w:rPr>
                <w:szCs w:val="22"/>
              </w:rPr>
            </w:pPr>
            <w:r w:rsidRPr="006B01EE">
              <w:rPr>
                <w:sz w:val="22"/>
                <w:szCs w:val="22"/>
              </w:rPr>
              <w:t>5.145A</w:t>
            </w:r>
          </w:p>
        </w:tc>
        <w:tc>
          <w:tcPr>
            <w:tcW w:w="2552" w:type="dxa"/>
          </w:tcPr>
          <w:p w:rsidR="001622FC" w:rsidRPr="006B01EE" w:rsidRDefault="001622FC" w:rsidP="006B01EE">
            <w:pPr>
              <w:spacing w:before="20" w:after="20"/>
              <w:jc w:val="center"/>
              <w:rPr>
                <w:szCs w:val="22"/>
              </w:rPr>
            </w:pPr>
            <w:r w:rsidRPr="006B01EE">
              <w:rPr>
                <w:sz w:val="22"/>
                <w:szCs w:val="22"/>
              </w:rPr>
              <w:t>5.F115</w:t>
            </w:r>
          </w:p>
        </w:tc>
      </w:tr>
      <w:tr w:rsidR="001622FC" w:rsidRPr="006B01EE" w:rsidTr="001622FC">
        <w:trPr>
          <w:jc w:val="center"/>
        </w:trPr>
        <w:tc>
          <w:tcPr>
            <w:tcW w:w="2552" w:type="dxa"/>
          </w:tcPr>
          <w:p w:rsidR="001622FC" w:rsidRPr="006B01EE" w:rsidRDefault="001622FC" w:rsidP="0093269E">
            <w:pPr>
              <w:spacing w:before="20" w:after="20"/>
              <w:jc w:val="center"/>
              <w:rPr>
                <w:szCs w:val="22"/>
              </w:rPr>
            </w:pPr>
            <w:r w:rsidRPr="006B01EE">
              <w:rPr>
                <w:sz w:val="22"/>
                <w:szCs w:val="22"/>
              </w:rPr>
              <w:t>5.149A</w:t>
            </w:r>
          </w:p>
        </w:tc>
        <w:tc>
          <w:tcPr>
            <w:tcW w:w="2552" w:type="dxa"/>
          </w:tcPr>
          <w:p w:rsidR="001622FC" w:rsidRPr="006B01EE" w:rsidRDefault="001622FC" w:rsidP="006B01EE">
            <w:pPr>
              <w:spacing w:before="20" w:after="20"/>
              <w:jc w:val="center"/>
              <w:rPr>
                <w:szCs w:val="22"/>
              </w:rPr>
            </w:pPr>
            <w:r w:rsidRPr="006B01EE">
              <w:rPr>
                <w:sz w:val="22"/>
                <w:szCs w:val="22"/>
              </w:rPr>
              <w:t>5.E115</w:t>
            </w:r>
          </w:p>
        </w:tc>
      </w:tr>
      <w:tr w:rsidR="001622FC" w:rsidRPr="006B01EE" w:rsidTr="001622FC">
        <w:trPr>
          <w:jc w:val="center"/>
        </w:trPr>
        <w:tc>
          <w:tcPr>
            <w:tcW w:w="2552" w:type="dxa"/>
          </w:tcPr>
          <w:p w:rsidR="001622FC" w:rsidRPr="006B01EE" w:rsidRDefault="001622FC" w:rsidP="0093269E">
            <w:pPr>
              <w:spacing w:before="20" w:after="20"/>
              <w:jc w:val="center"/>
              <w:rPr>
                <w:szCs w:val="22"/>
              </w:rPr>
            </w:pPr>
            <w:r w:rsidRPr="006B01EE">
              <w:rPr>
                <w:sz w:val="22"/>
                <w:szCs w:val="22"/>
              </w:rPr>
              <w:t>5.158</w:t>
            </w:r>
          </w:p>
        </w:tc>
        <w:tc>
          <w:tcPr>
            <w:tcW w:w="2552" w:type="dxa"/>
          </w:tcPr>
          <w:p w:rsidR="001622FC" w:rsidRPr="006B01EE" w:rsidRDefault="001622FC" w:rsidP="006B01EE">
            <w:pPr>
              <w:spacing w:before="20" w:after="20"/>
              <w:jc w:val="center"/>
              <w:rPr>
                <w:szCs w:val="22"/>
              </w:rPr>
            </w:pPr>
            <w:r w:rsidRPr="006B01EE">
              <w:rPr>
                <w:sz w:val="22"/>
                <w:szCs w:val="22"/>
              </w:rPr>
              <w:t>5.G115</w:t>
            </w:r>
          </w:p>
        </w:tc>
      </w:tr>
      <w:tr w:rsidR="001622FC" w:rsidRPr="006B01EE" w:rsidTr="001622FC">
        <w:trPr>
          <w:jc w:val="center"/>
        </w:trPr>
        <w:tc>
          <w:tcPr>
            <w:tcW w:w="2552" w:type="dxa"/>
          </w:tcPr>
          <w:p w:rsidR="001622FC" w:rsidRPr="006B01EE" w:rsidRDefault="001622FC" w:rsidP="0093269E">
            <w:pPr>
              <w:spacing w:before="20" w:after="20"/>
              <w:jc w:val="center"/>
              <w:rPr>
                <w:szCs w:val="22"/>
              </w:rPr>
            </w:pPr>
            <w:r w:rsidRPr="006B01EE">
              <w:rPr>
                <w:sz w:val="22"/>
                <w:szCs w:val="22"/>
              </w:rPr>
              <w:t>5.159</w:t>
            </w:r>
          </w:p>
        </w:tc>
        <w:tc>
          <w:tcPr>
            <w:tcW w:w="2552" w:type="dxa"/>
          </w:tcPr>
          <w:p w:rsidR="001622FC" w:rsidRPr="006B01EE" w:rsidRDefault="001622FC" w:rsidP="006B01EE">
            <w:pPr>
              <w:spacing w:before="20" w:after="20"/>
              <w:jc w:val="center"/>
              <w:rPr>
                <w:szCs w:val="22"/>
              </w:rPr>
            </w:pPr>
            <w:r w:rsidRPr="006B01EE">
              <w:rPr>
                <w:sz w:val="22"/>
                <w:szCs w:val="22"/>
              </w:rPr>
              <w:t>5.H115</w:t>
            </w:r>
          </w:p>
        </w:tc>
      </w:tr>
      <w:tr w:rsidR="001622FC" w:rsidRPr="006B01EE" w:rsidTr="001622FC">
        <w:trPr>
          <w:jc w:val="center"/>
        </w:trPr>
        <w:tc>
          <w:tcPr>
            <w:tcW w:w="2552" w:type="dxa"/>
          </w:tcPr>
          <w:p w:rsidR="001622FC" w:rsidRPr="006B01EE" w:rsidRDefault="001622FC" w:rsidP="0093269E">
            <w:pPr>
              <w:spacing w:before="20" w:after="20"/>
              <w:jc w:val="center"/>
              <w:rPr>
                <w:szCs w:val="22"/>
              </w:rPr>
            </w:pPr>
            <w:r w:rsidRPr="006B01EE">
              <w:rPr>
                <w:sz w:val="22"/>
                <w:szCs w:val="22"/>
              </w:rPr>
              <w:t>5.161A</w:t>
            </w:r>
          </w:p>
        </w:tc>
        <w:tc>
          <w:tcPr>
            <w:tcW w:w="2552" w:type="dxa"/>
          </w:tcPr>
          <w:p w:rsidR="001622FC" w:rsidRPr="006B01EE" w:rsidRDefault="001622FC" w:rsidP="006B01EE">
            <w:pPr>
              <w:spacing w:before="20" w:after="20"/>
              <w:jc w:val="center"/>
              <w:rPr>
                <w:szCs w:val="22"/>
              </w:rPr>
            </w:pPr>
            <w:r w:rsidRPr="006B01EE">
              <w:rPr>
                <w:sz w:val="22"/>
                <w:szCs w:val="22"/>
              </w:rPr>
              <w:t>5.I115</w:t>
            </w:r>
          </w:p>
        </w:tc>
      </w:tr>
      <w:tr w:rsidR="001622FC" w:rsidRPr="006B01EE" w:rsidTr="001622FC">
        <w:trPr>
          <w:jc w:val="center"/>
        </w:trPr>
        <w:tc>
          <w:tcPr>
            <w:tcW w:w="2552" w:type="dxa"/>
          </w:tcPr>
          <w:p w:rsidR="001622FC" w:rsidRPr="006B01EE" w:rsidRDefault="001622FC" w:rsidP="0093269E">
            <w:pPr>
              <w:spacing w:before="20" w:after="20"/>
              <w:jc w:val="center"/>
              <w:rPr>
                <w:szCs w:val="22"/>
              </w:rPr>
            </w:pPr>
            <w:r w:rsidRPr="006B01EE">
              <w:rPr>
                <w:sz w:val="22"/>
                <w:szCs w:val="22"/>
              </w:rPr>
              <w:t>5.161B</w:t>
            </w:r>
          </w:p>
        </w:tc>
        <w:tc>
          <w:tcPr>
            <w:tcW w:w="2552" w:type="dxa"/>
          </w:tcPr>
          <w:p w:rsidR="001622FC" w:rsidRPr="006B01EE" w:rsidRDefault="001622FC" w:rsidP="006B01EE">
            <w:pPr>
              <w:spacing w:before="20" w:after="20"/>
              <w:jc w:val="center"/>
              <w:rPr>
                <w:szCs w:val="22"/>
              </w:rPr>
            </w:pPr>
            <w:r w:rsidRPr="006B01EE">
              <w:rPr>
                <w:sz w:val="22"/>
                <w:szCs w:val="22"/>
              </w:rPr>
              <w:t>5.J115</w:t>
            </w:r>
          </w:p>
        </w:tc>
      </w:tr>
      <w:tr w:rsidR="001622FC" w:rsidRPr="006B01EE" w:rsidTr="001622FC">
        <w:trPr>
          <w:jc w:val="center"/>
        </w:trPr>
        <w:tc>
          <w:tcPr>
            <w:tcW w:w="2552" w:type="dxa"/>
          </w:tcPr>
          <w:p w:rsidR="001622FC" w:rsidRPr="006B01EE" w:rsidRDefault="001622FC" w:rsidP="0093269E">
            <w:pPr>
              <w:spacing w:before="20" w:after="20"/>
              <w:jc w:val="center"/>
              <w:rPr>
                <w:szCs w:val="22"/>
              </w:rPr>
            </w:pPr>
            <w:r w:rsidRPr="006B01EE">
              <w:rPr>
                <w:sz w:val="22"/>
                <w:szCs w:val="22"/>
              </w:rPr>
              <w:t>5.225A</w:t>
            </w:r>
          </w:p>
        </w:tc>
        <w:tc>
          <w:tcPr>
            <w:tcW w:w="2552" w:type="dxa"/>
          </w:tcPr>
          <w:p w:rsidR="001622FC" w:rsidRPr="006B01EE" w:rsidRDefault="001622FC" w:rsidP="006B01EE">
            <w:pPr>
              <w:spacing w:before="20" w:after="20"/>
              <w:jc w:val="center"/>
              <w:rPr>
                <w:szCs w:val="22"/>
              </w:rPr>
            </w:pPr>
            <w:r w:rsidRPr="006B01EE">
              <w:rPr>
                <w:sz w:val="22"/>
                <w:szCs w:val="22"/>
              </w:rPr>
              <w:t>5.A114</w:t>
            </w:r>
          </w:p>
        </w:tc>
      </w:tr>
      <w:tr w:rsidR="001622FC" w:rsidRPr="006B01EE" w:rsidTr="001622FC">
        <w:trPr>
          <w:jc w:val="center"/>
        </w:trPr>
        <w:tc>
          <w:tcPr>
            <w:tcW w:w="2552" w:type="dxa"/>
          </w:tcPr>
          <w:p w:rsidR="001622FC" w:rsidRPr="006B01EE" w:rsidRDefault="001622FC" w:rsidP="0093269E">
            <w:pPr>
              <w:spacing w:before="20" w:after="20"/>
              <w:jc w:val="center"/>
              <w:rPr>
                <w:szCs w:val="22"/>
              </w:rPr>
            </w:pPr>
            <w:r w:rsidRPr="006B01EE">
              <w:rPr>
                <w:rFonts w:asciiTheme="majorBidi" w:hAnsiTheme="majorBidi" w:cstheme="majorBidi"/>
                <w:sz w:val="22"/>
                <w:szCs w:val="22"/>
              </w:rPr>
              <w:t>5.228</w:t>
            </w:r>
          </w:p>
        </w:tc>
        <w:tc>
          <w:tcPr>
            <w:tcW w:w="2552" w:type="dxa"/>
          </w:tcPr>
          <w:p w:rsidR="001622FC" w:rsidRPr="006B01EE" w:rsidRDefault="001622FC" w:rsidP="006B01EE">
            <w:pPr>
              <w:spacing w:before="20" w:after="20"/>
              <w:jc w:val="center"/>
              <w:rPr>
                <w:szCs w:val="22"/>
              </w:rPr>
            </w:pPr>
            <w:r w:rsidRPr="006B01EE">
              <w:rPr>
                <w:sz w:val="22"/>
                <w:szCs w:val="22"/>
              </w:rPr>
              <w:t>5.G110</w:t>
            </w:r>
          </w:p>
        </w:tc>
      </w:tr>
      <w:tr w:rsidR="001622FC" w:rsidRPr="006B01EE" w:rsidTr="001622FC">
        <w:trPr>
          <w:jc w:val="center"/>
        </w:trPr>
        <w:tc>
          <w:tcPr>
            <w:tcW w:w="2552" w:type="dxa"/>
          </w:tcPr>
          <w:p w:rsidR="001622FC" w:rsidRPr="006B01EE" w:rsidRDefault="001622FC" w:rsidP="0093269E">
            <w:pPr>
              <w:spacing w:before="20" w:after="20"/>
              <w:jc w:val="center"/>
              <w:rPr>
                <w:szCs w:val="22"/>
              </w:rPr>
            </w:pPr>
            <w:r w:rsidRPr="006B01EE">
              <w:rPr>
                <w:sz w:val="22"/>
                <w:szCs w:val="22"/>
              </w:rPr>
              <w:t>5.228A</w:t>
            </w:r>
          </w:p>
        </w:tc>
        <w:tc>
          <w:tcPr>
            <w:tcW w:w="2552" w:type="dxa"/>
          </w:tcPr>
          <w:p w:rsidR="001622FC" w:rsidRPr="006B01EE" w:rsidRDefault="001622FC" w:rsidP="006B01EE">
            <w:pPr>
              <w:spacing w:before="20" w:after="20"/>
              <w:jc w:val="center"/>
              <w:rPr>
                <w:szCs w:val="22"/>
              </w:rPr>
            </w:pPr>
            <w:r w:rsidRPr="006B01EE">
              <w:rPr>
                <w:sz w:val="22"/>
                <w:szCs w:val="22"/>
              </w:rPr>
              <w:t>5.A110</w:t>
            </w:r>
          </w:p>
        </w:tc>
      </w:tr>
      <w:tr w:rsidR="001622FC" w:rsidRPr="006B01EE" w:rsidTr="001622FC">
        <w:trPr>
          <w:jc w:val="center"/>
        </w:trPr>
        <w:tc>
          <w:tcPr>
            <w:tcW w:w="2552" w:type="dxa"/>
          </w:tcPr>
          <w:p w:rsidR="001622FC" w:rsidRPr="006B01EE" w:rsidRDefault="001622FC" w:rsidP="0093269E">
            <w:pPr>
              <w:spacing w:before="20" w:after="20"/>
              <w:jc w:val="center"/>
              <w:rPr>
                <w:szCs w:val="22"/>
              </w:rPr>
            </w:pPr>
            <w:r w:rsidRPr="006B01EE">
              <w:rPr>
                <w:sz w:val="22"/>
                <w:szCs w:val="22"/>
              </w:rPr>
              <w:t>5.228B</w:t>
            </w:r>
          </w:p>
        </w:tc>
        <w:tc>
          <w:tcPr>
            <w:tcW w:w="2552" w:type="dxa"/>
          </w:tcPr>
          <w:p w:rsidR="001622FC" w:rsidRPr="006B01EE" w:rsidRDefault="001622FC" w:rsidP="006B01EE">
            <w:pPr>
              <w:spacing w:before="20" w:after="20"/>
              <w:jc w:val="center"/>
              <w:rPr>
                <w:szCs w:val="22"/>
              </w:rPr>
            </w:pPr>
            <w:r w:rsidRPr="006B01EE">
              <w:rPr>
                <w:sz w:val="22"/>
                <w:szCs w:val="22"/>
              </w:rPr>
              <w:t>5.B110</w:t>
            </w:r>
          </w:p>
        </w:tc>
      </w:tr>
      <w:tr w:rsidR="001622FC" w:rsidRPr="006B01EE" w:rsidTr="001622FC">
        <w:trPr>
          <w:jc w:val="center"/>
        </w:trPr>
        <w:tc>
          <w:tcPr>
            <w:tcW w:w="2552" w:type="dxa"/>
          </w:tcPr>
          <w:p w:rsidR="001622FC" w:rsidRPr="006B01EE" w:rsidRDefault="001622FC" w:rsidP="0093269E">
            <w:pPr>
              <w:spacing w:before="20" w:after="20"/>
              <w:jc w:val="center"/>
              <w:rPr>
                <w:szCs w:val="22"/>
              </w:rPr>
            </w:pPr>
            <w:r w:rsidRPr="006B01EE">
              <w:rPr>
                <w:sz w:val="22"/>
                <w:szCs w:val="22"/>
              </w:rPr>
              <w:t>5.228C</w:t>
            </w:r>
          </w:p>
        </w:tc>
        <w:tc>
          <w:tcPr>
            <w:tcW w:w="2552" w:type="dxa"/>
          </w:tcPr>
          <w:p w:rsidR="001622FC" w:rsidRPr="006B01EE" w:rsidRDefault="001622FC" w:rsidP="006B01EE">
            <w:pPr>
              <w:spacing w:before="20" w:after="20"/>
              <w:jc w:val="center"/>
              <w:rPr>
                <w:szCs w:val="22"/>
              </w:rPr>
            </w:pPr>
            <w:r w:rsidRPr="006B01EE">
              <w:rPr>
                <w:sz w:val="22"/>
                <w:szCs w:val="22"/>
              </w:rPr>
              <w:t>5.C110</w:t>
            </w:r>
          </w:p>
        </w:tc>
      </w:tr>
      <w:tr w:rsidR="001622FC" w:rsidRPr="006B01EE" w:rsidTr="001622FC">
        <w:trPr>
          <w:jc w:val="center"/>
        </w:trPr>
        <w:tc>
          <w:tcPr>
            <w:tcW w:w="2552" w:type="dxa"/>
          </w:tcPr>
          <w:p w:rsidR="001622FC" w:rsidRPr="006B01EE" w:rsidRDefault="001622FC" w:rsidP="0093269E">
            <w:pPr>
              <w:spacing w:before="20" w:after="20"/>
              <w:jc w:val="center"/>
              <w:rPr>
                <w:szCs w:val="22"/>
              </w:rPr>
            </w:pPr>
            <w:r w:rsidRPr="006B01EE">
              <w:rPr>
                <w:sz w:val="22"/>
                <w:szCs w:val="22"/>
              </w:rPr>
              <w:t>5.228D</w:t>
            </w:r>
          </w:p>
        </w:tc>
        <w:tc>
          <w:tcPr>
            <w:tcW w:w="2552" w:type="dxa"/>
          </w:tcPr>
          <w:p w:rsidR="001622FC" w:rsidRPr="006B01EE" w:rsidRDefault="001622FC" w:rsidP="006B01EE">
            <w:pPr>
              <w:spacing w:before="20" w:after="20"/>
              <w:jc w:val="center"/>
              <w:rPr>
                <w:szCs w:val="22"/>
              </w:rPr>
            </w:pPr>
            <w:r w:rsidRPr="006B01EE">
              <w:rPr>
                <w:sz w:val="22"/>
                <w:szCs w:val="22"/>
              </w:rPr>
              <w:t>5.D110</w:t>
            </w:r>
          </w:p>
        </w:tc>
      </w:tr>
      <w:tr w:rsidR="001622FC" w:rsidRPr="006B01EE" w:rsidTr="001622FC">
        <w:trPr>
          <w:jc w:val="center"/>
        </w:trPr>
        <w:tc>
          <w:tcPr>
            <w:tcW w:w="2552" w:type="dxa"/>
          </w:tcPr>
          <w:p w:rsidR="001622FC" w:rsidRPr="006B01EE" w:rsidRDefault="001622FC" w:rsidP="0093269E">
            <w:pPr>
              <w:spacing w:before="20" w:after="20"/>
              <w:jc w:val="center"/>
              <w:rPr>
                <w:szCs w:val="22"/>
              </w:rPr>
            </w:pPr>
            <w:r w:rsidRPr="006B01EE">
              <w:rPr>
                <w:sz w:val="22"/>
                <w:szCs w:val="22"/>
              </w:rPr>
              <w:t>5.228E</w:t>
            </w:r>
          </w:p>
        </w:tc>
        <w:tc>
          <w:tcPr>
            <w:tcW w:w="2552" w:type="dxa"/>
          </w:tcPr>
          <w:p w:rsidR="001622FC" w:rsidRPr="006B01EE" w:rsidRDefault="001622FC" w:rsidP="006B01EE">
            <w:pPr>
              <w:spacing w:before="20" w:after="20"/>
              <w:jc w:val="center"/>
              <w:rPr>
                <w:szCs w:val="22"/>
              </w:rPr>
            </w:pPr>
            <w:r w:rsidRPr="006B01EE">
              <w:rPr>
                <w:sz w:val="22"/>
                <w:szCs w:val="22"/>
              </w:rPr>
              <w:t>5.E110</w:t>
            </w:r>
          </w:p>
        </w:tc>
      </w:tr>
      <w:tr w:rsidR="001622FC" w:rsidRPr="006B01EE" w:rsidTr="001622FC">
        <w:trPr>
          <w:jc w:val="center"/>
        </w:trPr>
        <w:tc>
          <w:tcPr>
            <w:tcW w:w="2552" w:type="dxa"/>
          </w:tcPr>
          <w:p w:rsidR="001622FC" w:rsidRPr="006B01EE" w:rsidRDefault="001622FC" w:rsidP="0093269E">
            <w:pPr>
              <w:spacing w:before="20" w:after="20"/>
              <w:jc w:val="center"/>
              <w:rPr>
                <w:szCs w:val="22"/>
              </w:rPr>
            </w:pPr>
            <w:r w:rsidRPr="006B01EE">
              <w:rPr>
                <w:rFonts w:asciiTheme="majorBidi" w:hAnsiTheme="majorBidi" w:cstheme="majorBidi"/>
                <w:sz w:val="22"/>
                <w:szCs w:val="22"/>
              </w:rPr>
              <w:t>5.228F</w:t>
            </w:r>
          </w:p>
        </w:tc>
        <w:tc>
          <w:tcPr>
            <w:tcW w:w="2552" w:type="dxa"/>
          </w:tcPr>
          <w:p w:rsidR="001622FC" w:rsidRPr="006B01EE" w:rsidRDefault="001622FC" w:rsidP="006B01EE">
            <w:pPr>
              <w:spacing w:before="20" w:after="20"/>
              <w:jc w:val="center"/>
              <w:rPr>
                <w:szCs w:val="22"/>
              </w:rPr>
            </w:pPr>
            <w:r w:rsidRPr="006B01EE">
              <w:rPr>
                <w:sz w:val="22"/>
                <w:szCs w:val="22"/>
              </w:rPr>
              <w:t>5.F110</w:t>
            </w:r>
          </w:p>
        </w:tc>
      </w:tr>
      <w:tr w:rsidR="001622FC" w:rsidRPr="006B01EE" w:rsidTr="001622FC">
        <w:trPr>
          <w:jc w:val="center"/>
        </w:trPr>
        <w:tc>
          <w:tcPr>
            <w:tcW w:w="2552" w:type="dxa"/>
          </w:tcPr>
          <w:p w:rsidR="001622FC" w:rsidRPr="006B01EE" w:rsidRDefault="001622FC" w:rsidP="0093269E">
            <w:pPr>
              <w:spacing w:before="20" w:after="20"/>
              <w:jc w:val="center"/>
              <w:rPr>
                <w:szCs w:val="22"/>
              </w:rPr>
            </w:pPr>
            <w:r w:rsidRPr="006B01EE">
              <w:rPr>
                <w:sz w:val="22"/>
                <w:szCs w:val="22"/>
              </w:rPr>
              <w:t>5.312A</w:t>
            </w:r>
          </w:p>
        </w:tc>
        <w:tc>
          <w:tcPr>
            <w:tcW w:w="2552" w:type="dxa"/>
          </w:tcPr>
          <w:p w:rsidR="001622FC" w:rsidRPr="006B01EE" w:rsidRDefault="001622FC" w:rsidP="006B01EE">
            <w:pPr>
              <w:spacing w:before="20" w:after="20"/>
              <w:jc w:val="center"/>
              <w:rPr>
                <w:szCs w:val="22"/>
              </w:rPr>
            </w:pPr>
            <w:r w:rsidRPr="006B01EE">
              <w:rPr>
                <w:sz w:val="22"/>
                <w:szCs w:val="22"/>
              </w:rPr>
              <w:t>5.3XX</w:t>
            </w:r>
          </w:p>
        </w:tc>
      </w:tr>
      <w:tr w:rsidR="001622FC" w:rsidRPr="006B01EE" w:rsidTr="001622FC">
        <w:trPr>
          <w:jc w:val="center"/>
        </w:trPr>
        <w:tc>
          <w:tcPr>
            <w:tcW w:w="2552" w:type="dxa"/>
          </w:tcPr>
          <w:p w:rsidR="001622FC" w:rsidRPr="006B01EE" w:rsidRDefault="001622FC" w:rsidP="0093269E">
            <w:pPr>
              <w:spacing w:before="20" w:after="20"/>
              <w:jc w:val="center"/>
              <w:rPr>
                <w:szCs w:val="22"/>
              </w:rPr>
            </w:pPr>
            <w:r w:rsidRPr="006B01EE">
              <w:rPr>
                <w:sz w:val="22"/>
                <w:szCs w:val="22"/>
              </w:rPr>
              <w:t>5.398A</w:t>
            </w:r>
          </w:p>
        </w:tc>
        <w:tc>
          <w:tcPr>
            <w:tcW w:w="2552" w:type="dxa"/>
          </w:tcPr>
          <w:p w:rsidR="001622FC" w:rsidRPr="006B01EE" w:rsidRDefault="001622FC" w:rsidP="006B01EE">
            <w:pPr>
              <w:spacing w:before="20" w:after="20"/>
              <w:jc w:val="center"/>
              <w:rPr>
                <w:szCs w:val="22"/>
              </w:rPr>
            </w:pPr>
            <w:r w:rsidRPr="006B01EE">
              <w:rPr>
                <w:sz w:val="22"/>
                <w:szCs w:val="22"/>
              </w:rPr>
              <w:t>5.A118</w:t>
            </w:r>
          </w:p>
        </w:tc>
      </w:tr>
      <w:tr w:rsidR="001622FC" w:rsidRPr="006B01EE" w:rsidTr="001622FC">
        <w:trPr>
          <w:jc w:val="center"/>
        </w:trPr>
        <w:tc>
          <w:tcPr>
            <w:tcW w:w="2552" w:type="dxa"/>
          </w:tcPr>
          <w:p w:rsidR="001622FC" w:rsidRPr="006B01EE" w:rsidRDefault="001622FC" w:rsidP="0093269E">
            <w:pPr>
              <w:spacing w:before="20" w:after="20"/>
              <w:jc w:val="center"/>
              <w:rPr>
                <w:szCs w:val="22"/>
              </w:rPr>
            </w:pPr>
            <w:r w:rsidRPr="006B01EE">
              <w:rPr>
                <w:sz w:val="22"/>
                <w:szCs w:val="22"/>
              </w:rPr>
              <w:t>5.401</w:t>
            </w:r>
          </w:p>
        </w:tc>
        <w:tc>
          <w:tcPr>
            <w:tcW w:w="2552" w:type="dxa"/>
          </w:tcPr>
          <w:p w:rsidR="001622FC" w:rsidRPr="006B01EE" w:rsidRDefault="001622FC" w:rsidP="006B01EE">
            <w:pPr>
              <w:spacing w:before="20" w:after="20"/>
              <w:jc w:val="center"/>
              <w:rPr>
                <w:szCs w:val="22"/>
              </w:rPr>
            </w:pPr>
            <w:r w:rsidRPr="006B01EE">
              <w:rPr>
                <w:sz w:val="22"/>
                <w:szCs w:val="22"/>
              </w:rPr>
              <w:t>5.B118</w:t>
            </w:r>
          </w:p>
        </w:tc>
      </w:tr>
      <w:tr w:rsidR="001622FC" w:rsidRPr="006B01EE" w:rsidTr="001622FC">
        <w:trPr>
          <w:jc w:val="center"/>
        </w:trPr>
        <w:tc>
          <w:tcPr>
            <w:tcW w:w="2552" w:type="dxa"/>
          </w:tcPr>
          <w:p w:rsidR="001622FC" w:rsidRPr="006B01EE" w:rsidRDefault="001622FC" w:rsidP="0093269E">
            <w:pPr>
              <w:spacing w:before="20" w:after="20"/>
              <w:jc w:val="center"/>
              <w:rPr>
                <w:szCs w:val="22"/>
              </w:rPr>
            </w:pPr>
            <w:r w:rsidRPr="006B01EE">
              <w:rPr>
                <w:sz w:val="22"/>
                <w:szCs w:val="22"/>
              </w:rPr>
              <w:t>5.443AA</w:t>
            </w:r>
          </w:p>
        </w:tc>
        <w:tc>
          <w:tcPr>
            <w:tcW w:w="2552" w:type="dxa"/>
          </w:tcPr>
          <w:p w:rsidR="001622FC" w:rsidRPr="006B01EE" w:rsidRDefault="001622FC" w:rsidP="006B01EE">
            <w:pPr>
              <w:spacing w:before="20" w:after="20"/>
              <w:jc w:val="center"/>
              <w:rPr>
                <w:szCs w:val="22"/>
              </w:rPr>
            </w:pPr>
            <w:r w:rsidRPr="006B01EE">
              <w:rPr>
                <w:sz w:val="22"/>
                <w:szCs w:val="22"/>
              </w:rPr>
              <w:t>5.B103</w:t>
            </w:r>
          </w:p>
        </w:tc>
      </w:tr>
      <w:tr w:rsidR="001622FC" w:rsidRPr="006B01EE" w:rsidTr="001622FC">
        <w:trPr>
          <w:jc w:val="center"/>
        </w:trPr>
        <w:tc>
          <w:tcPr>
            <w:tcW w:w="2552" w:type="dxa"/>
          </w:tcPr>
          <w:p w:rsidR="001622FC" w:rsidRPr="006B01EE" w:rsidRDefault="001622FC" w:rsidP="0093269E">
            <w:pPr>
              <w:spacing w:before="20" w:after="20"/>
              <w:jc w:val="center"/>
              <w:rPr>
                <w:szCs w:val="22"/>
              </w:rPr>
            </w:pPr>
            <w:r w:rsidRPr="006B01EE">
              <w:rPr>
                <w:sz w:val="22"/>
                <w:szCs w:val="22"/>
              </w:rPr>
              <w:t>5.443C</w:t>
            </w:r>
          </w:p>
        </w:tc>
        <w:tc>
          <w:tcPr>
            <w:tcW w:w="2552" w:type="dxa"/>
          </w:tcPr>
          <w:p w:rsidR="001622FC" w:rsidRPr="006B01EE" w:rsidRDefault="001622FC" w:rsidP="006B01EE">
            <w:pPr>
              <w:spacing w:before="20" w:after="20"/>
              <w:jc w:val="center"/>
              <w:rPr>
                <w:szCs w:val="22"/>
              </w:rPr>
            </w:pPr>
            <w:r w:rsidRPr="006B01EE">
              <w:rPr>
                <w:sz w:val="22"/>
                <w:szCs w:val="22"/>
              </w:rPr>
              <w:t>5.C103</w:t>
            </w:r>
          </w:p>
        </w:tc>
      </w:tr>
      <w:tr w:rsidR="001622FC" w:rsidRPr="006B01EE" w:rsidTr="001622FC">
        <w:trPr>
          <w:jc w:val="center"/>
        </w:trPr>
        <w:tc>
          <w:tcPr>
            <w:tcW w:w="2552" w:type="dxa"/>
          </w:tcPr>
          <w:p w:rsidR="001622FC" w:rsidRPr="006B01EE" w:rsidRDefault="001622FC" w:rsidP="0093269E">
            <w:pPr>
              <w:spacing w:before="20" w:after="20"/>
              <w:jc w:val="center"/>
              <w:rPr>
                <w:szCs w:val="22"/>
              </w:rPr>
            </w:pPr>
            <w:r w:rsidRPr="006B01EE">
              <w:rPr>
                <w:sz w:val="22"/>
                <w:szCs w:val="22"/>
              </w:rPr>
              <w:t>5.443D</w:t>
            </w:r>
          </w:p>
        </w:tc>
        <w:tc>
          <w:tcPr>
            <w:tcW w:w="2552" w:type="dxa"/>
          </w:tcPr>
          <w:p w:rsidR="001622FC" w:rsidRPr="006B01EE" w:rsidRDefault="001622FC" w:rsidP="006B01EE">
            <w:pPr>
              <w:spacing w:before="20" w:after="20"/>
              <w:jc w:val="center"/>
              <w:rPr>
                <w:szCs w:val="22"/>
              </w:rPr>
            </w:pPr>
            <w:r w:rsidRPr="006B01EE">
              <w:rPr>
                <w:sz w:val="22"/>
                <w:szCs w:val="22"/>
              </w:rPr>
              <w:t>5.D103</w:t>
            </w:r>
          </w:p>
        </w:tc>
      </w:tr>
      <w:tr w:rsidR="001622FC" w:rsidRPr="006B01EE" w:rsidTr="001622FC">
        <w:trPr>
          <w:jc w:val="center"/>
        </w:trPr>
        <w:tc>
          <w:tcPr>
            <w:tcW w:w="2552" w:type="dxa"/>
          </w:tcPr>
          <w:p w:rsidR="001622FC" w:rsidRPr="006B01EE" w:rsidRDefault="001622FC" w:rsidP="0093269E">
            <w:pPr>
              <w:spacing w:before="20" w:after="20"/>
              <w:jc w:val="center"/>
              <w:rPr>
                <w:szCs w:val="22"/>
              </w:rPr>
            </w:pPr>
            <w:r w:rsidRPr="006B01EE">
              <w:rPr>
                <w:sz w:val="22"/>
                <w:szCs w:val="22"/>
              </w:rPr>
              <w:t>5.457</w:t>
            </w:r>
          </w:p>
        </w:tc>
        <w:tc>
          <w:tcPr>
            <w:tcW w:w="2552" w:type="dxa"/>
          </w:tcPr>
          <w:p w:rsidR="001622FC" w:rsidRPr="006B01EE" w:rsidRDefault="001622FC" w:rsidP="006B01EE">
            <w:pPr>
              <w:spacing w:before="20" w:after="20"/>
              <w:jc w:val="center"/>
              <w:rPr>
                <w:szCs w:val="22"/>
              </w:rPr>
            </w:pPr>
            <w:r w:rsidRPr="006B01EE">
              <w:rPr>
                <w:sz w:val="22"/>
                <w:szCs w:val="22"/>
              </w:rPr>
              <w:t>5.A120</w:t>
            </w:r>
          </w:p>
        </w:tc>
      </w:tr>
      <w:tr w:rsidR="001622FC" w:rsidRPr="006B01EE" w:rsidTr="001622FC">
        <w:trPr>
          <w:jc w:val="center"/>
        </w:trPr>
        <w:tc>
          <w:tcPr>
            <w:tcW w:w="2552" w:type="dxa"/>
          </w:tcPr>
          <w:p w:rsidR="001622FC" w:rsidRPr="006B01EE" w:rsidRDefault="001622FC" w:rsidP="0093269E">
            <w:pPr>
              <w:spacing w:before="20" w:after="20"/>
              <w:jc w:val="center"/>
              <w:rPr>
                <w:szCs w:val="22"/>
              </w:rPr>
            </w:pPr>
            <w:r w:rsidRPr="006B01EE">
              <w:rPr>
                <w:sz w:val="22"/>
                <w:szCs w:val="22"/>
              </w:rPr>
              <w:t>5.511E</w:t>
            </w:r>
          </w:p>
        </w:tc>
        <w:tc>
          <w:tcPr>
            <w:tcW w:w="2552" w:type="dxa"/>
          </w:tcPr>
          <w:p w:rsidR="001622FC" w:rsidRPr="006B01EE" w:rsidRDefault="001622FC" w:rsidP="006B01EE">
            <w:pPr>
              <w:spacing w:before="20" w:after="20"/>
              <w:jc w:val="center"/>
              <w:rPr>
                <w:szCs w:val="22"/>
              </w:rPr>
            </w:pPr>
            <w:r w:rsidRPr="006B01EE">
              <w:rPr>
                <w:sz w:val="22"/>
                <w:szCs w:val="22"/>
              </w:rPr>
              <w:t>5.A121</w:t>
            </w:r>
          </w:p>
        </w:tc>
      </w:tr>
      <w:tr w:rsidR="001622FC" w:rsidRPr="006B01EE" w:rsidTr="001622FC">
        <w:trPr>
          <w:jc w:val="center"/>
        </w:trPr>
        <w:tc>
          <w:tcPr>
            <w:tcW w:w="2552" w:type="dxa"/>
          </w:tcPr>
          <w:p w:rsidR="001622FC" w:rsidRPr="006B01EE" w:rsidRDefault="001622FC" w:rsidP="0093269E">
            <w:pPr>
              <w:spacing w:before="20" w:after="20"/>
              <w:jc w:val="center"/>
              <w:rPr>
                <w:szCs w:val="22"/>
              </w:rPr>
            </w:pPr>
            <w:r w:rsidRPr="006B01EE">
              <w:rPr>
                <w:sz w:val="22"/>
                <w:szCs w:val="22"/>
              </w:rPr>
              <w:t>5.511F</w:t>
            </w:r>
          </w:p>
        </w:tc>
        <w:tc>
          <w:tcPr>
            <w:tcW w:w="2552" w:type="dxa"/>
          </w:tcPr>
          <w:p w:rsidR="001622FC" w:rsidRPr="006B01EE" w:rsidRDefault="001622FC" w:rsidP="006B01EE">
            <w:pPr>
              <w:spacing w:before="20" w:after="20"/>
              <w:jc w:val="center"/>
              <w:rPr>
                <w:szCs w:val="22"/>
              </w:rPr>
            </w:pPr>
            <w:r w:rsidRPr="006B01EE">
              <w:rPr>
                <w:sz w:val="22"/>
                <w:szCs w:val="22"/>
              </w:rPr>
              <w:t>5.B121</w:t>
            </w:r>
          </w:p>
        </w:tc>
      </w:tr>
      <w:tr w:rsidR="001622FC" w:rsidRPr="006B01EE" w:rsidTr="001622FC">
        <w:trPr>
          <w:jc w:val="center"/>
        </w:trPr>
        <w:tc>
          <w:tcPr>
            <w:tcW w:w="2552" w:type="dxa"/>
          </w:tcPr>
          <w:p w:rsidR="001622FC" w:rsidRPr="006B01EE" w:rsidRDefault="001622FC" w:rsidP="0093269E">
            <w:pPr>
              <w:spacing w:before="20" w:after="20"/>
              <w:jc w:val="center"/>
              <w:rPr>
                <w:szCs w:val="22"/>
              </w:rPr>
            </w:pPr>
            <w:r w:rsidRPr="006B01EE">
              <w:rPr>
                <w:sz w:val="22"/>
                <w:szCs w:val="22"/>
              </w:rPr>
              <w:t>5.530A</w:t>
            </w:r>
          </w:p>
        </w:tc>
        <w:tc>
          <w:tcPr>
            <w:tcW w:w="2552" w:type="dxa"/>
          </w:tcPr>
          <w:p w:rsidR="001622FC" w:rsidRPr="006B01EE" w:rsidRDefault="001622FC" w:rsidP="006B01EE">
            <w:pPr>
              <w:spacing w:before="20" w:after="20"/>
              <w:jc w:val="center"/>
              <w:rPr>
                <w:szCs w:val="22"/>
              </w:rPr>
            </w:pPr>
            <w:r w:rsidRPr="006B01EE">
              <w:rPr>
                <w:sz w:val="22"/>
                <w:szCs w:val="22"/>
              </w:rPr>
              <w:t>5.D113</w:t>
            </w:r>
          </w:p>
        </w:tc>
      </w:tr>
      <w:tr w:rsidR="001622FC" w:rsidRPr="006B01EE" w:rsidTr="001622FC">
        <w:trPr>
          <w:jc w:val="center"/>
        </w:trPr>
        <w:tc>
          <w:tcPr>
            <w:tcW w:w="2552" w:type="dxa"/>
          </w:tcPr>
          <w:p w:rsidR="001622FC" w:rsidRPr="006B01EE" w:rsidRDefault="001622FC" w:rsidP="0093269E">
            <w:pPr>
              <w:spacing w:before="20" w:after="20"/>
              <w:jc w:val="center"/>
              <w:rPr>
                <w:szCs w:val="22"/>
              </w:rPr>
            </w:pPr>
            <w:r w:rsidRPr="006B01EE">
              <w:rPr>
                <w:sz w:val="22"/>
                <w:szCs w:val="22"/>
              </w:rPr>
              <w:t>5.530B</w:t>
            </w:r>
          </w:p>
        </w:tc>
        <w:tc>
          <w:tcPr>
            <w:tcW w:w="2552" w:type="dxa"/>
          </w:tcPr>
          <w:p w:rsidR="001622FC" w:rsidRPr="006B01EE" w:rsidRDefault="001622FC" w:rsidP="006B01EE">
            <w:pPr>
              <w:spacing w:before="20" w:after="20"/>
              <w:jc w:val="center"/>
              <w:rPr>
                <w:szCs w:val="22"/>
              </w:rPr>
            </w:pPr>
            <w:r w:rsidRPr="006B01EE">
              <w:rPr>
                <w:sz w:val="22"/>
                <w:szCs w:val="22"/>
              </w:rPr>
              <w:t>5.B113</w:t>
            </w:r>
          </w:p>
        </w:tc>
      </w:tr>
      <w:tr w:rsidR="001622FC" w:rsidRPr="006B01EE" w:rsidTr="001622FC">
        <w:trPr>
          <w:jc w:val="center"/>
        </w:trPr>
        <w:tc>
          <w:tcPr>
            <w:tcW w:w="2552" w:type="dxa"/>
          </w:tcPr>
          <w:p w:rsidR="001622FC" w:rsidRPr="006B01EE" w:rsidRDefault="001622FC" w:rsidP="0093269E">
            <w:pPr>
              <w:spacing w:before="20" w:after="20"/>
              <w:jc w:val="center"/>
              <w:rPr>
                <w:szCs w:val="22"/>
              </w:rPr>
            </w:pPr>
            <w:r w:rsidRPr="006B01EE">
              <w:rPr>
                <w:sz w:val="22"/>
                <w:szCs w:val="22"/>
              </w:rPr>
              <w:t>5.530C</w:t>
            </w:r>
          </w:p>
        </w:tc>
        <w:tc>
          <w:tcPr>
            <w:tcW w:w="2552" w:type="dxa"/>
          </w:tcPr>
          <w:p w:rsidR="001622FC" w:rsidRPr="006B01EE" w:rsidRDefault="001622FC" w:rsidP="006B01EE">
            <w:pPr>
              <w:spacing w:before="20" w:after="20"/>
              <w:jc w:val="center"/>
              <w:rPr>
                <w:szCs w:val="22"/>
              </w:rPr>
            </w:pPr>
            <w:r w:rsidRPr="006B01EE">
              <w:rPr>
                <w:sz w:val="22"/>
                <w:szCs w:val="22"/>
              </w:rPr>
              <w:t>5.C113</w:t>
            </w:r>
          </w:p>
        </w:tc>
      </w:tr>
      <w:tr w:rsidR="001622FC" w:rsidRPr="006B01EE" w:rsidTr="001622FC">
        <w:trPr>
          <w:jc w:val="center"/>
        </w:trPr>
        <w:tc>
          <w:tcPr>
            <w:tcW w:w="2552" w:type="dxa"/>
          </w:tcPr>
          <w:p w:rsidR="001622FC" w:rsidRPr="006B01EE" w:rsidRDefault="001622FC" w:rsidP="0093269E">
            <w:pPr>
              <w:spacing w:before="20" w:after="20"/>
              <w:jc w:val="center"/>
              <w:rPr>
                <w:szCs w:val="22"/>
              </w:rPr>
            </w:pPr>
            <w:r w:rsidRPr="006B01EE">
              <w:rPr>
                <w:sz w:val="22"/>
                <w:szCs w:val="22"/>
              </w:rPr>
              <w:t>5.530D</w:t>
            </w:r>
          </w:p>
        </w:tc>
        <w:tc>
          <w:tcPr>
            <w:tcW w:w="2552" w:type="dxa"/>
          </w:tcPr>
          <w:p w:rsidR="001622FC" w:rsidRPr="006B01EE" w:rsidRDefault="001622FC" w:rsidP="006B01EE">
            <w:pPr>
              <w:spacing w:before="20" w:after="20"/>
              <w:jc w:val="center"/>
              <w:rPr>
                <w:szCs w:val="22"/>
              </w:rPr>
            </w:pPr>
            <w:r w:rsidRPr="006B01EE">
              <w:rPr>
                <w:sz w:val="22"/>
                <w:szCs w:val="22"/>
              </w:rPr>
              <w:t>5.F113</w:t>
            </w:r>
          </w:p>
        </w:tc>
      </w:tr>
      <w:tr w:rsidR="001622FC" w:rsidRPr="006B01EE" w:rsidTr="001622FC">
        <w:trPr>
          <w:jc w:val="center"/>
        </w:trPr>
        <w:tc>
          <w:tcPr>
            <w:tcW w:w="2552" w:type="dxa"/>
          </w:tcPr>
          <w:p w:rsidR="001622FC" w:rsidRPr="006B01EE" w:rsidRDefault="001622FC" w:rsidP="0093269E">
            <w:pPr>
              <w:spacing w:before="20" w:after="20"/>
              <w:jc w:val="center"/>
              <w:rPr>
                <w:szCs w:val="22"/>
              </w:rPr>
            </w:pPr>
            <w:r w:rsidRPr="006B01EE">
              <w:rPr>
                <w:sz w:val="22"/>
                <w:szCs w:val="22"/>
              </w:rPr>
              <w:t>5.532A</w:t>
            </w:r>
          </w:p>
        </w:tc>
        <w:tc>
          <w:tcPr>
            <w:tcW w:w="2552" w:type="dxa"/>
          </w:tcPr>
          <w:p w:rsidR="001622FC" w:rsidRPr="006B01EE" w:rsidRDefault="001622FC" w:rsidP="006B01EE">
            <w:pPr>
              <w:spacing w:before="20" w:after="20"/>
              <w:jc w:val="center"/>
              <w:rPr>
                <w:szCs w:val="22"/>
              </w:rPr>
            </w:pPr>
            <w:r w:rsidRPr="006B01EE">
              <w:rPr>
                <w:sz w:val="22"/>
                <w:szCs w:val="22"/>
              </w:rPr>
              <w:t>5.A111</w:t>
            </w:r>
          </w:p>
        </w:tc>
      </w:tr>
      <w:tr w:rsidR="001622FC" w:rsidRPr="006B01EE" w:rsidTr="001622FC">
        <w:trPr>
          <w:jc w:val="center"/>
        </w:trPr>
        <w:tc>
          <w:tcPr>
            <w:tcW w:w="2552" w:type="dxa"/>
          </w:tcPr>
          <w:p w:rsidR="001622FC" w:rsidRPr="006B01EE" w:rsidRDefault="001622FC" w:rsidP="0093269E">
            <w:pPr>
              <w:spacing w:before="20" w:after="20"/>
              <w:jc w:val="center"/>
              <w:rPr>
                <w:szCs w:val="22"/>
              </w:rPr>
            </w:pPr>
            <w:r w:rsidRPr="006B01EE">
              <w:rPr>
                <w:sz w:val="22"/>
                <w:szCs w:val="22"/>
              </w:rPr>
              <w:t>5.532B</w:t>
            </w:r>
          </w:p>
        </w:tc>
        <w:tc>
          <w:tcPr>
            <w:tcW w:w="2552" w:type="dxa"/>
          </w:tcPr>
          <w:p w:rsidR="001622FC" w:rsidRPr="006B01EE" w:rsidRDefault="001622FC" w:rsidP="006B01EE">
            <w:pPr>
              <w:spacing w:before="20" w:after="20"/>
              <w:jc w:val="center"/>
              <w:rPr>
                <w:szCs w:val="22"/>
              </w:rPr>
            </w:pPr>
            <w:r w:rsidRPr="006B01EE">
              <w:rPr>
                <w:sz w:val="22"/>
                <w:szCs w:val="22"/>
              </w:rPr>
              <w:t>5.A113</w:t>
            </w:r>
          </w:p>
        </w:tc>
      </w:tr>
    </w:tbl>
    <w:p w:rsidR="00075FB6" w:rsidRDefault="00626783" w:rsidP="00626783">
      <w:pPr>
        <w:jc w:val="center"/>
      </w:pPr>
      <w:r>
        <w:t>_______________</w:t>
      </w:r>
    </w:p>
    <w:sectPr w:rsidR="00075FB6" w:rsidSect="00136E76">
      <w:headerReference w:type="even" r:id="rId11"/>
      <w:headerReference w:type="default" r:id="rId12"/>
      <w:footerReference w:type="even" r:id="rId13"/>
      <w:footerReference w:type="default" r:id="rId14"/>
      <w:headerReference w:type="first" r:id="rId15"/>
      <w:footerReference w:type="first" r:id="rId16"/>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AF3" w:rsidRDefault="00457AF3">
      <w:pPr>
        <w:spacing w:before="0"/>
      </w:pPr>
      <w:r>
        <w:separator/>
      </w:r>
    </w:p>
  </w:endnote>
  <w:endnote w:type="continuationSeparator" w:id="0">
    <w:p w:rsidR="00457AF3" w:rsidRDefault="00457AF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Futura Lt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TimesNewRoman">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50C" w:rsidRDefault="005C05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D07" w:rsidRPr="003B6DFC" w:rsidRDefault="005C050C" w:rsidP="00C9418D">
    <w:pPr>
      <w:pStyle w:val="Footer"/>
      <w:rPr>
        <w:lang w:val="es-ES_tradnl"/>
      </w:rPr>
    </w:pPr>
    <w:r w:rsidRPr="003B6DFC">
      <w:rPr>
        <w:lang w:val="es-ES_tradnl"/>
      </w:rPr>
      <w:t>Y:\APP\BR\CIRCS_DMS\CR\300\336_</w:t>
    </w:r>
    <w:r w:rsidR="00C9418D" w:rsidRPr="003B6DFC">
      <w:rPr>
        <w:lang w:val="es-ES_tradnl"/>
      </w:rPr>
      <w:t>E</w:t>
    </w:r>
    <w:r w:rsidRPr="003B6DFC">
      <w:rPr>
        <w:lang w:val="es-ES_tradnl"/>
      </w:rPr>
      <w:tab/>
    </w:r>
    <w:r w:rsidRPr="003B6DFC">
      <w:rPr>
        <w:lang w:val="es-ES_tradnl"/>
      </w:rPr>
      <w:tab/>
      <w:t>16/07/2012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107" w:type="dxa"/>
        <w:right w:w="107" w:type="dxa"/>
      </w:tblCellMar>
      <w:tblLook w:val="0000" w:firstRow="0" w:lastRow="0" w:firstColumn="0" w:lastColumn="0" w:noHBand="0" w:noVBand="0"/>
    </w:tblPr>
    <w:tblGrid>
      <w:gridCol w:w="1994"/>
      <w:gridCol w:w="3020"/>
      <w:gridCol w:w="2313"/>
      <w:gridCol w:w="2526"/>
    </w:tblGrid>
    <w:tr w:rsidR="00133D07">
      <w:trPr>
        <w:cantSplit/>
      </w:trPr>
      <w:tc>
        <w:tcPr>
          <w:tcW w:w="1062" w:type="pct"/>
          <w:tcBorders>
            <w:top w:val="single" w:sz="6" w:space="0" w:color="auto"/>
          </w:tcBorders>
          <w:tcMar>
            <w:top w:w="57" w:type="dxa"/>
          </w:tcMar>
        </w:tcPr>
        <w:p w:rsidR="00133D07" w:rsidRDefault="00E47027">
          <w:pPr>
            <w:pStyle w:val="itu"/>
          </w:pPr>
          <w:r>
            <w:t>Place des Nations</w:t>
          </w:r>
        </w:p>
      </w:tc>
      <w:tc>
        <w:tcPr>
          <w:tcW w:w="1583" w:type="pct"/>
          <w:tcBorders>
            <w:top w:val="single" w:sz="6" w:space="0" w:color="auto"/>
          </w:tcBorders>
          <w:tcMar>
            <w:top w:w="57" w:type="dxa"/>
          </w:tcMar>
        </w:tcPr>
        <w:p w:rsidR="00133D07" w:rsidRDefault="00E47027">
          <w:pPr>
            <w:pStyle w:val="itu"/>
          </w:pPr>
          <w:r>
            <w:t>Telephone</w:t>
          </w:r>
          <w:r>
            <w:tab/>
            <w:t>+41 22 730 51 11</w:t>
          </w:r>
        </w:p>
      </w:tc>
      <w:tc>
        <w:tcPr>
          <w:tcW w:w="1224" w:type="pct"/>
          <w:tcBorders>
            <w:top w:val="single" w:sz="6" w:space="0" w:color="auto"/>
          </w:tcBorders>
          <w:tcMar>
            <w:top w:w="57" w:type="dxa"/>
          </w:tcMar>
        </w:tcPr>
        <w:p w:rsidR="00133D07" w:rsidRDefault="00E47027">
          <w:pPr>
            <w:pStyle w:val="itu"/>
          </w:pPr>
          <w:r>
            <w:t xml:space="preserve">Telex 421 000 </w:t>
          </w:r>
          <w:proofErr w:type="spellStart"/>
          <w:r>
            <w:t>uit</w:t>
          </w:r>
          <w:proofErr w:type="spellEnd"/>
          <w:r>
            <w:t xml:space="preserve"> </w:t>
          </w:r>
          <w:proofErr w:type="spellStart"/>
          <w:r>
            <w:t>ch</w:t>
          </w:r>
          <w:proofErr w:type="spellEnd"/>
        </w:p>
      </w:tc>
      <w:tc>
        <w:tcPr>
          <w:tcW w:w="1131" w:type="pct"/>
          <w:tcBorders>
            <w:top w:val="single" w:sz="6" w:space="0" w:color="auto"/>
          </w:tcBorders>
          <w:tcMar>
            <w:top w:w="57" w:type="dxa"/>
          </w:tcMar>
        </w:tcPr>
        <w:p w:rsidR="00133D07" w:rsidRDefault="00E47027">
          <w:pPr>
            <w:pStyle w:val="itu"/>
          </w:pPr>
          <w:r>
            <w:t>E-mail:</w:t>
          </w:r>
          <w:r>
            <w:tab/>
            <w:t>itumail@itu.int</w:t>
          </w:r>
        </w:p>
      </w:tc>
    </w:tr>
    <w:tr w:rsidR="00133D07">
      <w:trPr>
        <w:cantSplit/>
      </w:trPr>
      <w:tc>
        <w:tcPr>
          <w:tcW w:w="1062" w:type="pct"/>
        </w:tcPr>
        <w:p w:rsidR="00133D07" w:rsidRDefault="00E47027">
          <w:pPr>
            <w:pStyle w:val="itu"/>
          </w:pPr>
          <w:r>
            <w:t>CH-1211 Geneva 20</w:t>
          </w:r>
        </w:p>
      </w:tc>
      <w:tc>
        <w:tcPr>
          <w:tcW w:w="1583" w:type="pct"/>
        </w:tcPr>
        <w:p w:rsidR="00133D07" w:rsidRDefault="00E47027">
          <w:pPr>
            <w:pStyle w:val="itu"/>
          </w:pPr>
          <w:r>
            <w:t>Telefax</w:t>
          </w:r>
          <w:r>
            <w:tab/>
            <w:t>Gr3:</w:t>
          </w:r>
          <w:r>
            <w:tab/>
            <w:t>+41 22 733 72 56</w:t>
          </w:r>
        </w:p>
      </w:tc>
      <w:tc>
        <w:tcPr>
          <w:tcW w:w="1224" w:type="pct"/>
        </w:tcPr>
        <w:p w:rsidR="00133D07" w:rsidRDefault="00E47027">
          <w:pPr>
            <w:pStyle w:val="itu"/>
          </w:pPr>
          <w:r>
            <w:t>Telegram ITU GENEVE</w:t>
          </w:r>
        </w:p>
      </w:tc>
      <w:tc>
        <w:tcPr>
          <w:tcW w:w="1131" w:type="pct"/>
        </w:tcPr>
        <w:p w:rsidR="00133D07" w:rsidRDefault="00E47027">
          <w:pPr>
            <w:pStyle w:val="itu"/>
          </w:pPr>
          <w:r>
            <w:tab/>
          </w:r>
          <w:hyperlink r:id="rId1" w:history="1">
            <w:r>
              <w:t>http://www.itu.int/</w:t>
            </w:r>
          </w:hyperlink>
        </w:p>
      </w:tc>
    </w:tr>
    <w:tr w:rsidR="00133D07">
      <w:trPr>
        <w:cantSplit/>
      </w:trPr>
      <w:tc>
        <w:tcPr>
          <w:tcW w:w="1062" w:type="pct"/>
        </w:tcPr>
        <w:p w:rsidR="00133D07" w:rsidRDefault="00E47027">
          <w:pPr>
            <w:pStyle w:val="itu"/>
          </w:pPr>
          <w:r>
            <w:t>Switzerland</w:t>
          </w:r>
        </w:p>
      </w:tc>
      <w:tc>
        <w:tcPr>
          <w:tcW w:w="1583" w:type="pct"/>
        </w:tcPr>
        <w:p w:rsidR="00133D07" w:rsidRDefault="00E47027">
          <w:pPr>
            <w:pStyle w:val="itu"/>
          </w:pPr>
          <w:r>
            <w:tab/>
            <w:t>Gr4:</w:t>
          </w:r>
          <w:r>
            <w:tab/>
            <w:t>+41 22 730 65 00</w:t>
          </w:r>
        </w:p>
      </w:tc>
      <w:tc>
        <w:tcPr>
          <w:tcW w:w="1224" w:type="pct"/>
        </w:tcPr>
        <w:p w:rsidR="00133D07" w:rsidRDefault="00EB2BC9">
          <w:pPr>
            <w:pStyle w:val="itu"/>
          </w:pPr>
        </w:p>
      </w:tc>
      <w:tc>
        <w:tcPr>
          <w:tcW w:w="1131" w:type="pct"/>
        </w:tcPr>
        <w:p w:rsidR="00133D07" w:rsidRDefault="00EB2BC9">
          <w:pPr>
            <w:pStyle w:val="itu"/>
          </w:pPr>
        </w:p>
      </w:tc>
    </w:tr>
  </w:tbl>
  <w:p w:rsidR="00133D07" w:rsidRPr="009E1957" w:rsidRDefault="00EB2BC9" w:rsidP="001E15AA">
    <w:pPr>
      <w:spacing w:before="0"/>
      <w:rPr>
        <w:lang w:val="es-ES_trad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AF3" w:rsidRDefault="00457AF3">
      <w:pPr>
        <w:spacing w:before="0"/>
      </w:pPr>
      <w:r>
        <w:separator/>
      </w:r>
    </w:p>
  </w:footnote>
  <w:footnote w:type="continuationSeparator" w:id="0">
    <w:p w:rsidR="00457AF3" w:rsidRDefault="00457AF3">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50C" w:rsidRDefault="005C05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D07" w:rsidRDefault="00E47027">
    <w:pPr>
      <w:pStyle w:val="Header"/>
      <w:rPr>
        <w:rStyle w:val="PageNumber"/>
      </w:rPr>
    </w:pPr>
    <w:r>
      <w:rPr>
        <w:lang w:val="en-US"/>
      </w:rPr>
      <w:t xml:space="preserve">- </w:t>
    </w:r>
    <w:r w:rsidR="001E6C74">
      <w:rPr>
        <w:rStyle w:val="PageNumber"/>
      </w:rPr>
      <w:fldChar w:fldCharType="begin"/>
    </w:r>
    <w:r>
      <w:rPr>
        <w:rStyle w:val="PageNumber"/>
      </w:rPr>
      <w:instrText xml:space="preserve"> PAGE </w:instrText>
    </w:r>
    <w:r w:rsidR="001E6C74">
      <w:rPr>
        <w:rStyle w:val="PageNumber"/>
      </w:rPr>
      <w:fldChar w:fldCharType="separate"/>
    </w:r>
    <w:r w:rsidR="00EB2BC9">
      <w:rPr>
        <w:rStyle w:val="PageNumber"/>
        <w:noProof/>
      </w:rPr>
      <w:t>2</w:t>
    </w:r>
    <w:r w:rsidR="001E6C74">
      <w:rPr>
        <w:rStyle w:val="PageNumber"/>
      </w:rPr>
      <w:fldChar w:fldCharType="end"/>
    </w:r>
    <w:r>
      <w:rPr>
        <w:rStyle w:val="PageNumber"/>
      </w:rPr>
      <w:t xml:space="preserve"> -</w:t>
    </w:r>
  </w:p>
  <w:p w:rsidR="00133D07" w:rsidRPr="001E15AA" w:rsidRDefault="00E47027" w:rsidP="00EA295D">
    <w:pPr>
      <w:pStyle w:val="Header"/>
      <w:rPr>
        <w:lang w:val="en-US"/>
      </w:rPr>
    </w:pPr>
    <w:r>
      <w:rPr>
        <w:lang w:val="en-US"/>
      </w:rPr>
      <w:t>CR/</w:t>
    </w:r>
    <w:r w:rsidR="00EA295D">
      <w:rPr>
        <w:lang w:val="en-US"/>
      </w:rPr>
      <w:t>336</w:t>
    </w:r>
    <w:r>
      <w:rPr>
        <w:lang w:val="en-US"/>
      </w:rPr>
      <w: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50C" w:rsidRDefault="005C05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70F03"/>
    <w:multiLevelType w:val="hybridMultilevel"/>
    <w:tmpl w:val="387A0C56"/>
    <w:lvl w:ilvl="0" w:tplc="FFFFFFFF">
      <w:start w:val="1"/>
      <w:numFmt w:val="bullet"/>
      <w:lvlText w:val=""/>
      <w:legacy w:legacy="1" w:legacySpace="0" w:legacyIndent="283"/>
      <w:lvlJc w:val="left"/>
      <w:pPr>
        <w:ind w:left="850" w:hanging="283"/>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C7F56AB"/>
    <w:multiLevelType w:val="hybridMultilevel"/>
    <w:tmpl w:val="91C82A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56F75"/>
    <w:rsid w:val="00010E99"/>
    <w:rsid w:val="00013262"/>
    <w:rsid w:val="000501B6"/>
    <w:rsid w:val="000629E2"/>
    <w:rsid w:val="00062FB1"/>
    <w:rsid w:val="00075873"/>
    <w:rsid w:val="00075FB6"/>
    <w:rsid w:val="00076B99"/>
    <w:rsid w:val="000B76B6"/>
    <w:rsid w:val="000D356D"/>
    <w:rsid w:val="000D494D"/>
    <w:rsid w:val="000E1A4E"/>
    <w:rsid w:val="0010144B"/>
    <w:rsid w:val="001038A2"/>
    <w:rsid w:val="00107651"/>
    <w:rsid w:val="001366B9"/>
    <w:rsid w:val="00152A01"/>
    <w:rsid w:val="00156F75"/>
    <w:rsid w:val="001622FC"/>
    <w:rsid w:val="00163D18"/>
    <w:rsid w:val="00182958"/>
    <w:rsid w:val="001A0477"/>
    <w:rsid w:val="001A3E55"/>
    <w:rsid w:val="001C3194"/>
    <w:rsid w:val="001D0F77"/>
    <w:rsid w:val="001D1DA1"/>
    <w:rsid w:val="001E6C74"/>
    <w:rsid w:val="001F1D0D"/>
    <w:rsid w:val="001F2D14"/>
    <w:rsid w:val="00201050"/>
    <w:rsid w:val="00216C62"/>
    <w:rsid w:val="00217645"/>
    <w:rsid w:val="0024493E"/>
    <w:rsid w:val="00263629"/>
    <w:rsid w:val="002644AB"/>
    <w:rsid w:val="002A4150"/>
    <w:rsid w:val="002B6F27"/>
    <w:rsid w:val="002C53C4"/>
    <w:rsid w:val="002C65A5"/>
    <w:rsid w:val="002E1BDB"/>
    <w:rsid w:val="002E2A15"/>
    <w:rsid w:val="002E4AA5"/>
    <w:rsid w:val="002F0DC5"/>
    <w:rsid w:val="00334B1D"/>
    <w:rsid w:val="0033752D"/>
    <w:rsid w:val="003527B0"/>
    <w:rsid w:val="00360367"/>
    <w:rsid w:val="00365395"/>
    <w:rsid w:val="003751E6"/>
    <w:rsid w:val="00377468"/>
    <w:rsid w:val="00393D2E"/>
    <w:rsid w:val="003A6C12"/>
    <w:rsid w:val="003A735D"/>
    <w:rsid w:val="003B6DFC"/>
    <w:rsid w:val="003D45AA"/>
    <w:rsid w:val="004064FD"/>
    <w:rsid w:val="00417209"/>
    <w:rsid w:val="00452A61"/>
    <w:rsid w:val="00457483"/>
    <w:rsid w:val="00457814"/>
    <w:rsid w:val="00457AF3"/>
    <w:rsid w:val="00457BF9"/>
    <w:rsid w:val="004620EC"/>
    <w:rsid w:val="004870E8"/>
    <w:rsid w:val="004907CC"/>
    <w:rsid w:val="004954BC"/>
    <w:rsid w:val="004A5FA8"/>
    <w:rsid w:val="004A7BD6"/>
    <w:rsid w:val="004B6911"/>
    <w:rsid w:val="004D102A"/>
    <w:rsid w:val="004D4143"/>
    <w:rsid w:val="00500674"/>
    <w:rsid w:val="005032C6"/>
    <w:rsid w:val="00516954"/>
    <w:rsid w:val="00526DAC"/>
    <w:rsid w:val="00527793"/>
    <w:rsid w:val="00530A55"/>
    <w:rsid w:val="00530ECC"/>
    <w:rsid w:val="005338DA"/>
    <w:rsid w:val="00537355"/>
    <w:rsid w:val="00540EEF"/>
    <w:rsid w:val="00547645"/>
    <w:rsid w:val="0054795E"/>
    <w:rsid w:val="00573511"/>
    <w:rsid w:val="00587A36"/>
    <w:rsid w:val="00591BD6"/>
    <w:rsid w:val="005920A0"/>
    <w:rsid w:val="005B716B"/>
    <w:rsid w:val="005C050C"/>
    <w:rsid w:val="005C0FA9"/>
    <w:rsid w:val="005E39A2"/>
    <w:rsid w:val="005E3AB2"/>
    <w:rsid w:val="005F16A8"/>
    <w:rsid w:val="00626560"/>
    <w:rsid w:val="00626593"/>
    <w:rsid w:val="00626783"/>
    <w:rsid w:val="006356FE"/>
    <w:rsid w:val="0065136F"/>
    <w:rsid w:val="006932B4"/>
    <w:rsid w:val="0069563A"/>
    <w:rsid w:val="006A4D69"/>
    <w:rsid w:val="006B01EE"/>
    <w:rsid w:val="006B18FF"/>
    <w:rsid w:val="006C2680"/>
    <w:rsid w:val="006D2B5D"/>
    <w:rsid w:val="006D64B0"/>
    <w:rsid w:val="006E2565"/>
    <w:rsid w:val="006F259E"/>
    <w:rsid w:val="006F79F8"/>
    <w:rsid w:val="0074102F"/>
    <w:rsid w:val="00742141"/>
    <w:rsid w:val="007450C8"/>
    <w:rsid w:val="007479B2"/>
    <w:rsid w:val="00750FB1"/>
    <w:rsid w:val="00767555"/>
    <w:rsid w:val="0077214B"/>
    <w:rsid w:val="00786226"/>
    <w:rsid w:val="00792259"/>
    <w:rsid w:val="007964F5"/>
    <w:rsid w:val="007A38C2"/>
    <w:rsid w:val="007C3066"/>
    <w:rsid w:val="007C49FA"/>
    <w:rsid w:val="007E54D5"/>
    <w:rsid w:val="007F29AA"/>
    <w:rsid w:val="007F6FC6"/>
    <w:rsid w:val="00804012"/>
    <w:rsid w:val="00810D4F"/>
    <w:rsid w:val="008173B6"/>
    <w:rsid w:val="00824ADF"/>
    <w:rsid w:val="0083128B"/>
    <w:rsid w:val="0087737D"/>
    <w:rsid w:val="00885386"/>
    <w:rsid w:val="0089629A"/>
    <w:rsid w:val="0089780E"/>
    <w:rsid w:val="008D5DE2"/>
    <w:rsid w:val="008E46B2"/>
    <w:rsid w:val="009020C4"/>
    <w:rsid w:val="009275C2"/>
    <w:rsid w:val="00933055"/>
    <w:rsid w:val="00947E87"/>
    <w:rsid w:val="00960B85"/>
    <w:rsid w:val="00971DB2"/>
    <w:rsid w:val="00980BD1"/>
    <w:rsid w:val="00986A33"/>
    <w:rsid w:val="00986F9F"/>
    <w:rsid w:val="00992C71"/>
    <w:rsid w:val="009A3D7D"/>
    <w:rsid w:val="009B270F"/>
    <w:rsid w:val="009B344F"/>
    <w:rsid w:val="009B655E"/>
    <w:rsid w:val="009B77CD"/>
    <w:rsid w:val="009C32CF"/>
    <w:rsid w:val="009C43DE"/>
    <w:rsid w:val="009C55CB"/>
    <w:rsid w:val="009D4B95"/>
    <w:rsid w:val="009E3AC3"/>
    <w:rsid w:val="009F06B3"/>
    <w:rsid w:val="009F19ED"/>
    <w:rsid w:val="00A0312F"/>
    <w:rsid w:val="00A17B5A"/>
    <w:rsid w:val="00A21438"/>
    <w:rsid w:val="00A55F32"/>
    <w:rsid w:val="00A66E40"/>
    <w:rsid w:val="00A70B17"/>
    <w:rsid w:val="00A7787C"/>
    <w:rsid w:val="00A821C9"/>
    <w:rsid w:val="00A94E72"/>
    <w:rsid w:val="00AA4B91"/>
    <w:rsid w:val="00AC2C49"/>
    <w:rsid w:val="00AC4E7B"/>
    <w:rsid w:val="00AD088B"/>
    <w:rsid w:val="00AD6193"/>
    <w:rsid w:val="00AD7BBF"/>
    <w:rsid w:val="00AF1981"/>
    <w:rsid w:val="00B11AC7"/>
    <w:rsid w:val="00B154CA"/>
    <w:rsid w:val="00B42021"/>
    <w:rsid w:val="00B54DF5"/>
    <w:rsid w:val="00B621B3"/>
    <w:rsid w:val="00BB5DD2"/>
    <w:rsid w:val="00BD3525"/>
    <w:rsid w:val="00BF498A"/>
    <w:rsid w:val="00C05CD7"/>
    <w:rsid w:val="00C10B58"/>
    <w:rsid w:val="00C2122E"/>
    <w:rsid w:val="00C305A1"/>
    <w:rsid w:val="00C377D7"/>
    <w:rsid w:val="00C46271"/>
    <w:rsid w:val="00C61B85"/>
    <w:rsid w:val="00C62FC2"/>
    <w:rsid w:val="00C81D9D"/>
    <w:rsid w:val="00C92783"/>
    <w:rsid w:val="00C9418D"/>
    <w:rsid w:val="00CA35AF"/>
    <w:rsid w:val="00CA5656"/>
    <w:rsid w:val="00CC0098"/>
    <w:rsid w:val="00CC5AE9"/>
    <w:rsid w:val="00CD1009"/>
    <w:rsid w:val="00CD1D65"/>
    <w:rsid w:val="00D05C77"/>
    <w:rsid w:val="00D419B1"/>
    <w:rsid w:val="00D42E11"/>
    <w:rsid w:val="00D519A4"/>
    <w:rsid w:val="00D51E66"/>
    <w:rsid w:val="00D557D4"/>
    <w:rsid w:val="00D62227"/>
    <w:rsid w:val="00D633B8"/>
    <w:rsid w:val="00D72D73"/>
    <w:rsid w:val="00D757E5"/>
    <w:rsid w:val="00D80617"/>
    <w:rsid w:val="00D903AA"/>
    <w:rsid w:val="00DA5299"/>
    <w:rsid w:val="00DB3965"/>
    <w:rsid w:val="00DB6A59"/>
    <w:rsid w:val="00DD626E"/>
    <w:rsid w:val="00DE2387"/>
    <w:rsid w:val="00DE666B"/>
    <w:rsid w:val="00DF6F07"/>
    <w:rsid w:val="00E125C3"/>
    <w:rsid w:val="00E215ED"/>
    <w:rsid w:val="00E321FF"/>
    <w:rsid w:val="00E3664D"/>
    <w:rsid w:val="00E47027"/>
    <w:rsid w:val="00E479CC"/>
    <w:rsid w:val="00E53528"/>
    <w:rsid w:val="00E570DF"/>
    <w:rsid w:val="00E61478"/>
    <w:rsid w:val="00E617D4"/>
    <w:rsid w:val="00E65DC6"/>
    <w:rsid w:val="00E7050B"/>
    <w:rsid w:val="00E84865"/>
    <w:rsid w:val="00EA295D"/>
    <w:rsid w:val="00EB2BC9"/>
    <w:rsid w:val="00EE0C3E"/>
    <w:rsid w:val="00F30B4D"/>
    <w:rsid w:val="00F35DCA"/>
    <w:rsid w:val="00F55377"/>
    <w:rsid w:val="00F56207"/>
    <w:rsid w:val="00F6016E"/>
    <w:rsid w:val="00F82AB2"/>
    <w:rsid w:val="00F953EC"/>
    <w:rsid w:val="00FA00BE"/>
    <w:rsid w:val="00FA0434"/>
    <w:rsid w:val="00FB10F1"/>
    <w:rsid w:val="00FB3FC2"/>
    <w:rsid w:val="00FE3DF6"/>
    <w:rsid w:val="00FF10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F75"/>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ref">
    <w:name w:val="App_ref"/>
    <w:basedOn w:val="DefaultParagraphFont"/>
    <w:rsid w:val="00156F75"/>
  </w:style>
  <w:style w:type="character" w:styleId="PageNumber">
    <w:name w:val="page number"/>
    <w:basedOn w:val="DefaultParagraphFont"/>
    <w:rsid w:val="00156F75"/>
  </w:style>
  <w:style w:type="paragraph" w:customStyle="1" w:styleId="enumlev1">
    <w:name w:val="enumlev1"/>
    <w:basedOn w:val="Normal"/>
    <w:rsid w:val="00156F75"/>
    <w:pPr>
      <w:spacing w:before="80"/>
      <w:ind w:left="794" w:hanging="794"/>
    </w:pPr>
  </w:style>
  <w:style w:type="paragraph" w:styleId="Footer">
    <w:name w:val="footer"/>
    <w:basedOn w:val="Normal"/>
    <w:link w:val="FooterChar"/>
    <w:rsid w:val="00156F75"/>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rsid w:val="00156F75"/>
    <w:rPr>
      <w:rFonts w:ascii="Times New Roman" w:eastAsia="Times New Roman" w:hAnsi="Times New Roman" w:cs="Times New Roman"/>
      <w:caps/>
      <w:noProof/>
      <w:sz w:val="16"/>
      <w:szCs w:val="20"/>
      <w:lang w:val="en-GB" w:eastAsia="en-US"/>
    </w:rPr>
  </w:style>
  <w:style w:type="paragraph" w:styleId="Header">
    <w:name w:val="header"/>
    <w:basedOn w:val="Normal"/>
    <w:link w:val="HeaderChar"/>
    <w:rsid w:val="00156F75"/>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rsid w:val="00156F75"/>
    <w:rPr>
      <w:rFonts w:ascii="Times New Roman" w:eastAsia="Times New Roman" w:hAnsi="Times New Roman" w:cs="Times New Roman"/>
      <w:sz w:val="18"/>
      <w:szCs w:val="20"/>
      <w:lang w:val="en-GB" w:eastAsia="en-US"/>
    </w:rPr>
  </w:style>
  <w:style w:type="paragraph" w:customStyle="1" w:styleId="itu">
    <w:name w:val="itu"/>
    <w:basedOn w:val="Normal"/>
    <w:rsid w:val="00156F75"/>
    <w:pPr>
      <w:tabs>
        <w:tab w:val="clear" w:pos="794"/>
        <w:tab w:val="clear" w:pos="1191"/>
        <w:tab w:val="clear" w:pos="1588"/>
        <w:tab w:val="clear" w:pos="1985"/>
        <w:tab w:val="left" w:pos="709"/>
        <w:tab w:val="left" w:pos="1134"/>
      </w:tabs>
      <w:spacing w:before="0"/>
    </w:pPr>
    <w:rPr>
      <w:rFonts w:ascii="Futura Lt BT" w:hAnsi="Futura Lt BT"/>
      <w:sz w:val="18"/>
    </w:rPr>
  </w:style>
  <w:style w:type="paragraph" w:customStyle="1" w:styleId="toc0">
    <w:name w:val="toc 0"/>
    <w:basedOn w:val="Normal"/>
    <w:next w:val="TOC1"/>
    <w:rsid w:val="00156F75"/>
    <w:pPr>
      <w:tabs>
        <w:tab w:val="clear" w:pos="794"/>
        <w:tab w:val="clear" w:pos="1191"/>
        <w:tab w:val="clear" w:pos="1588"/>
        <w:tab w:val="clear" w:pos="1985"/>
        <w:tab w:val="right" w:pos="9639"/>
      </w:tabs>
    </w:pPr>
    <w:rPr>
      <w:b/>
    </w:rPr>
  </w:style>
  <w:style w:type="paragraph" w:customStyle="1" w:styleId="CharChar">
    <w:name w:val="Char Char"/>
    <w:basedOn w:val="Normal"/>
    <w:rsid w:val="00156F75"/>
    <w:pPr>
      <w:tabs>
        <w:tab w:val="clear" w:pos="794"/>
        <w:tab w:val="clear" w:pos="1191"/>
        <w:tab w:val="clear" w:pos="1588"/>
        <w:tab w:val="clear" w:pos="1985"/>
      </w:tabs>
      <w:overflowPunct/>
      <w:autoSpaceDE/>
      <w:autoSpaceDN/>
      <w:adjustRightInd/>
      <w:spacing w:before="0" w:after="160" w:line="240" w:lineRule="exact"/>
      <w:textAlignment w:val="auto"/>
    </w:pPr>
    <w:rPr>
      <w:rFonts w:ascii="Arial" w:hAnsi="Arial"/>
      <w:kern w:val="16"/>
      <w:sz w:val="20"/>
      <w:lang w:val="tr-TR"/>
    </w:rPr>
  </w:style>
  <w:style w:type="paragraph" w:styleId="TOC1">
    <w:name w:val="toc 1"/>
    <w:basedOn w:val="Normal"/>
    <w:next w:val="Normal"/>
    <w:autoRedefine/>
    <w:uiPriority w:val="39"/>
    <w:semiHidden/>
    <w:unhideWhenUsed/>
    <w:rsid w:val="00156F75"/>
    <w:pPr>
      <w:tabs>
        <w:tab w:val="clear" w:pos="794"/>
        <w:tab w:val="clear" w:pos="1191"/>
        <w:tab w:val="clear" w:pos="1588"/>
        <w:tab w:val="clear" w:pos="1985"/>
      </w:tabs>
      <w:spacing w:after="100"/>
    </w:pPr>
  </w:style>
  <w:style w:type="paragraph" w:styleId="BalloonText">
    <w:name w:val="Balloon Text"/>
    <w:basedOn w:val="Normal"/>
    <w:link w:val="BalloonTextChar"/>
    <w:uiPriority w:val="99"/>
    <w:semiHidden/>
    <w:unhideWhenUsed/>
    <w:rsid w:val="00156F75"/>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F75"/>
    <w:rPr>
      <w:rFonts w:ascii="Tahoma" w:eastAsia="Times New Roman" w:hAnsi="Tahoma" w:cs="Tahoma"/>
      <w:sz w:val="16"/>
      <w:szCs w:val="16"/>
      <w:lang w:val="en-GB" w:eastAsia="en-US"/>
    </w:rPr>
  </w:style>
  <w:style w:type="paragraph" w:customStyle="1" w:styleId="Call">
    <w:name w:val="Call"/>
    <w:basedOn w:val="Normal"/>
    <w:next w:val="Normal"/>
    <w:rsid w:val="00947E87"/>
    <w:pPr>
      <w:keepNext/>
      <w:keepLines/>
      <w:tabs>
        <w:tab w:val="clear" w:pos="794"/>
        <w:tab w:val="clear" w:pos="1191"/>
        <w:tab w:val="clear" w:pos="1588"/>
        <w:tab w:val="clear" w:pos="1985"/>
        <w:tab w:val="left" w:pos="1134"/>
        <w:tab w:val="left" w:pos="1871"/>
        <w:tab w:val="left" w:pos="2268"/>
      </w:tabs>
      <w:spacing w:before="160"/>
      <w:ind w:left="1134"/>
    </w:pPr>
    <w:rPr>
      <w:i/>
    </w:rPr>
  </w:style>
  <w:style w:type="paragraph" w:customStyle="1" w:styleId="CharChar0">
    <w:name w:val="Char Char"/>
    <w:basedOn w:val="Normal"/>
    <w:rsid w:val="00182958"/>
    <w:pPr>
      <w:tabs>
        <w:tab w:val="clear" w:pos="794"/>
        <w:tab w:val="clear" w:pos="1191"/>
        <w:tab w:val="clear" w:pos="1588"/>
        <w:tab w:val="clear" w:pos="1985"/>
      </w:tabs>
      <w:overflowPunct/>
      <w:autoSpaceDE/>
      <w:autoSpaceDN/>
      <w:adjustRightInd/>
      <w:spacing w:before="0" w:after="160" w:line="240" w:lineRule="exact"/>
      <w:textAlignment w:val="auto"/>
    </w:pPr>
    <w:rPr>
      <w:rFonts w:ascii="Arial" w:hAnsi="Arial"/>
      <w:kern w:val="16"/>
      <w:sz w:val="20"/>
      <w:lang w:val="tr-TR"/>
    </w:rPr>
  </w:style>
  <w:style w:type="paragraph" w:styleId="FootnoteText">
    <w:name w:val="footnote text"/>
    <w:basedOn w:val="Normal"/>
    <w:link w:val="FootnoteTextChar"/>
    <w:uiPriority w:val="99"/>
    <w:semiHidden/>
    <w:unhideWhenUsed/>
    <w:rsid w:val="00F6016E"/>
    <w:pPr>
      <w:spacing w:before="0"/>
    </w:pPr>
    <w:rPr>
      <w:sz w:val="20"/>
    </w:rPr>
  </w:style>
  <w:style w:type="character" w:customStyle="1" w:styleId="FootnoteTextChar">
    <w:name w:val="Footnote Text Char"/>
    <w:basedOn w:val="DefaultParagraphFont"/>
    <w:link w:val="FootnoteText"/>
    <w:uiPriority w:val="99"/>
    <w:semiHidden/>
    <w:rsid w:val="00F6016E"/>
    <w:rPr>
      <w:rFonts w:ascii="Times New Roman" w:eastAsia="Times New Roman" w:hAnsi="Times New Roman" w:cs="Times New Roman"/>
      <w:sz w:val="20"/>
      <w:szCs w:val="20"/>
      <w:lang w:val="en-GB" w:eastAsia="en-US"/>
    </w:rPr>
  </w:style>
  <w:style w:type="character" w:styleId="FootnoteReference">
    <w:name w:val="footnote reference"/>
    <w:basedOn w:val="DefaultParagraphFont"/>
    <w:uiPriority w:val="99"/>
    <w:semiHidden/>
    <w:unhideWhenUsed/>
    <w:rsid w:val="00F6016E"/>
    <w:rPr>
      <w:vertAlign w:val="superscript"/>
    </w:rPr>
  </w:style>
  <w:style w:type="character" w:styleId="Hyperlink">
    <w:name w:val="Hyperlink"/>
    <w:basedOn w:val="DefaultParagraphFont"/>
    <w:uiPriority w:val="99"/>
    <w:unhideWhenUsed/>
    <w:rsid w:val="00FA0434"/>
    <w:rPr>
      <w:color w:val="0000FF" w:themeColor="hyperlink"/>
      <w:u w:val="single"/>
    </w:rPr>
  </w:style>
  <w:style w:type="paragraph" w:customStyle="1" w:styleId="AnnexNotitle">
    <w:name w:val="Annex_No &amp; title"/>
    <w:basedOn w:val="Normal"/>
    <w:next w:val="Normal"/>
    <w:uiPriority w:val="99"/>
    <w:rsid w:val="00626783"/>
    <w:pPr>
      <w:keepNext/>
      <w:keepLines/>
      <w:spacing w:before="480"/>
      <w:jc w:val="center"/>
    </w:pPr>
    <w:rPr>
      <w:b/>
      <w:sz w:val="28"/>
    </w:rPr>
  </w:style>
  <w:style w:type="paragraph" w:customStyle="1" w:styleId="Tablehead">
    <w:name w:val="Table_head"/>
    <w:basedOn w:val="Normal"/>
    <w:next w:val="Tabletext"/>
    <w:uiPriority w:val="99"/>
    <w:rsid w:val="00626783"/>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uiPriority w:val="99"/>
    <w:rsid w:val="0062678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styleId="ListParagraph">
    <w:name w:val="List Paragraph"/>
    <w:basedOn w:val="Normal"/>
    <w:uiPriority w:val="34"/>
    <w:qFormat/>
    <w:rsid w:val="004064FD"/>
    <w:pPr>
      <w:ind w:left="720"/>
      <w:contextualSpacing/>
    </w:pPr>
  </w:style>
  <w:style w:type="table" w:styleId="TableGrid">
    <w:name w:val="Table Grid"/>
    <w:basedOn w:val="TableNormal"/>
    <w:uiPriority w:val="59"/>
    <w:rsid w:val="00BB5D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F75"/>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ref">
    <w:name w:val="App_ref"/>
    <w:basedOn w:val="DefaultParagraphFont"/>
    <w:rsid w:val="00156F75"/>
  </w:style>
  <w:style w:type="character" w:styleId="PageNumber">
    <w:name w:val="page number"/>
    <w:basedOn w:val="DefaultParagraphFont"/>
    <w:rsid w:val="00156F75"/>
  </w:style>
  <w:style w:type="paragraph" w:customStyle="1" w:styleId="enumlev1">
    <w:name w:val="enumlev1"/>
    <w:basedOn w:val="Normal"/>
    <w:rsid w:val="00156F75"/>
    <w:pPr>
      <w:spacing w:before="80"/>
      <w:ind w:left="794" w:hanging="794"/>
    </w:pPr>
  </w:style>
  <w:style w:type="paragraph" w:styleId="Footer">
    <w:name w:val="footer"/>
    <w:basedOn w:val="Normal"/>
    <w:link w:val="FooterChar"/>
    <w:rsid w:val="00156F75"/>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rsid w:val="00156F75"/>
    <w:rPr>
      <w:rFonts w:ascii="Times New Roman" w:eastAsia="Times New Roman" w:hAnsi="Times New Roman" w:cs="Times New Roman"/>
      <w:caps/>
      <w:noProof/>
      <w:sz w:val="16"/>
      <w:szCs w:val="20"/>
      <w:lang w:val="en-GB" w:eastAsia="en-US"/>
    </w:rPr>
  </w:style>
  <w:style w:type="paragraph" w:styleId="Header">
    <w:name w:val="header"/>
    <w:basedOn w:val="Normal"/>
    <w:link w:val="HeaderChar"/>
    <w:rsid w:val="00156F75"/>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rsid w:val="00156F75"/>
    <w:rPr>
      <w:rFonts w:ascii="Times New Roman" w:eastAsia="Times New Roman" w:hAnsi="Times New Roman" w:cs="Times New Roman"/>
      <w:sz w:val="18"/>
      <w:szCs w:val="20"/>
      <w:lang w:val="en-GB" w:eastAsia="en-US"/>
    </w:rPr>
  </w:style>
  <w:style w:type="paragraph" w:customStyle="1" w:styleId="itu">
    <w:name w:val="itu"/>
    <w:basedOn w:val="Normal"/>
    <w:rsid w:val="00156F75"/>
    <w:pPr>
      <w:tabs>
        <w:tab w:val="clear" w:pos="794"/>
        <w:tab w:val="clear" w:pos="1191"/>
        <w:tab w:val="clear" w:pos="1588"/>
        <w:tab w:val="clear" w:pos="1985"/>
        <w:tab w:val="left" w:pos="709"/>
        <w:tab w:val="left" w:pos="1134"/>
      </w:tabs>
      <w:spacing w:before="0"/>
    </w:pPr>
    <w:rPr>
      <w:rFonts w:ascii="Futura Lt BT" w:hAnsi="Futura Lt BT"/>
      <w:sz w:val="18"/>
    </w:rPr>
  </w:style>
  <w:style w:type="paragraph" w:customStyle="1" w:styleId="toc0">
    <w:name w:val="toc 0"/>
    <w:basedOn w:val="Normal"/>
    <w:next w:val="TOC1"/>
    <w:rsid w:val="00156F75"/>
    <w:pPr>
      <w:tabs>
        <w:tab w:val="clear" w:pos="794"/>
        <w:tab w:val="clear" w:pos="1191"/>
        <w:tab w:val="clear" w:pos="1588"/>
        <w:tab w:val="clear" w:pos="1985"/>
        <w:tab w:val="right" w:pos="9639"/>
      </w:tabs>
    </w:pPr>
    <w:rPr>
      <w:b/>
    </w:rPr>
  </w:style>
  <w:style w:type="paragraph" w:customStyle="1" w:styleId="CharChar">
    <w:name w:val="Char Char"/>
    <w:basedOn w:val="Normal"/>
    <w:rsid w:val="00156F75"/>
    <w:pPr>
      <w:tabs>
        <w:tab w:val="clear" w:pos="794"/>
        <w:tab w:val="clear" w:pos="1191"/>
        <w:tab w:val="clear" w:pos="1588"/>
        <w:tab w:val="clear" w:pos="1985"/>
      </w:tabs>
      <w:overflowPunct/>
      <w:autoSpaceDE/>
      <w:autoSpaceDN/>
      <w:adjustRightInd/>
      <w:spacing w:before="0" w:after="160" w:line="240" w:lineRule="exact"/>
      <w:textAlignment w:val="auto"/>
    </w:pPr>
    <w:rPr>
      <w:rFonts w:ascii="Arial" w:hAnsi="Arial"/>
      <w:kern w:val="16"/>
      <w:sz w:val="20"/>
      <w:lang w:val="tr-TR"/>
    </w:rPr>
  </w:style>
  <w:style w:type="paragraph" w:styleId="TOC1">
    <w:name w:val="toc 1"/>
    <w:basedOn w:val="Normal"/>
    <w:next w:val="Normal"/>
    <w:autoRedefine/>
    <w:uiPriority w:val="39"/>
    <w:semiHidden/>
    <w:unhideWhenUsed/>
    <w:rsid w:val="00156F75"/>
    <w:pPr>
      <w:tabs>
        <w:tab w:val="clear" w:pos="794"/>
        <w:tab w:val="clear" w:pos="1191"/>
        <w:tab w:val="clear" w:pos="1588"/>
        <w:tab w:val="clear" w:pos="1985"/>
      </w:tabs>
      <w:spacing w:after="100"/>
    </w:pPr>
  </w:style>
  <w:style w:type="paragraph" w:styleId="BalloonText">
    <w:name w:val="Balloon Text"/>
    <w:basedOn w:val="Normal"/>
    <w:link w:val="BalloonTextChar"/>
    <w:uiPriority w:val="99"/>
    <w:semiHidden/>
    <w:unhideWhenUsed/>
    <w:rsid w:val="00156F75"/>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F75"/>
    <w:rPr>
      <w:rFonts w:ascii="Tahoma" w:eastAsia="Times New Roman" w:hAnsi="Tahoma" w:cs="Tahoma"/>
      <w:sz w:val="16"/>
      <w:szCs w:val="16"/>
      <w:lang w:val="en-GB" w:eastAsia="en-US"/>
    </w:rPr>
  </w:style>
  <w:style w:type="paragraph" w:customStyle="1" w:styleId="Call">
    <w:name w:val="Call"/>
    <w:basedOn w:val="Normal"/>
    <w:next w:val="Normal"/>
    <w:rsid w:val="00947E87"/>
    <w:pPr>
      <w:keepNext/>
      <w:keepLines/>
      <w:tabs>
        <w:tab w:val="clear" w:pos="794"/>
        <w:tab w:val="clear" w:pos="1191"/>
        <w:tab w:val="clear" w:pos="1588"/>
        <w:tab w:val="clear" w:pos="1985"/>
        <w:tab w:val="left" w:pos="1134"/>
        <w:tab w:val="left" w:pos="1871"/>
        <w:tab w:val="left" w:pos="2268"/>
      </w:tabs>
      <w:spacing w:before="160"/>
      <w:ind w:left="1134"/>
    </w:pPr>
    <w:rPr>
      <w:i/>
    </w:rPr>
  </w:style>
  <w:style w:type="paragraph" w:customStyle="1" w:styleId="CharChar0">
    <w:name w:val="Char Char"/>
    <w:basedOn w:val="Normal"/>
    <w:rsid w:val="00182958"/>
    <w:pPr>
      <w:tabs>
        <w:tab w:val="clear" w:pos="794"/>
        <w:tab w:val="clear" w:pos="1191"/>
        <w:tab w:val="clear" w:pos="1588"/>
        <w:tab w:val="clear" w:pos="1985"/>
      </w:tabs>
      <w:overflowPunct/>
      <w:autoSpaceDE/>
      <w:autoSpaceDN/>
      <w:adjustRightInd/>
      <w:spacing w:before="0" w:after="160" w:line="240" w:lineRule="exact"/>
      <w:textAlignment w:val="auto"/>
    </w:pPr>
    <w:rPr>
      <w:rFonts w:ascii="Arial" w:hAnsi="Arial"/>
      <w:kern w:val="16"/>
      <w:sz w:val="20"/>
      <w:lang w:val="tr-TR"/>
    </w:rPr>
  </w:style>
  <w:style w:type="paragraph" w:styleId="FootnoteText">
    <w:name w:val="footnote text"/>
    <w:basedOn w:val="Normal"/>
    <w:link w:val="FootnoteTextChar"/>
    <w:uiPriority w:val="99"/>
    <w:semiHidden/>
    <w:unhideWhenUsed/>
    <w:rsid w:val="00F6016E"/>
    <w:pPr>
      <w:spacing w:before="0"/>
    </w:pPr>
    <w:rPr>
      <w:sz w:val="20"/>
    </w:rPr>
  </w:style>
  <w:style w:type="character" w:customStyle="1" w:styleId="FootnoteTextChar">
    <w:name w:val="Footnote Text Char"/>
    <w:basedOn w:val="DefaultParagraphFont"/>
    <w:link w:val="FootnoteText"/>
    <w:uiPriority w:val="99"/>
    <w:semiHidden/>
    <w:rsid w:val="00F6016E"/>
    <w:rPr>
      <w:rFonts w:ascii="Times New Roman" w:eastAsia="Times New Roman" w:hAnsi="Times New Roman" w:cs="Times New Roman"/>
      <w:sz w:val="20"/>
      <w:szCs w:val="20"/>
      <w:lang w:val="en-GB" w:eastAsia="en-US"/>
    </w:rPr>
  </w:style>
  <w:style w:type="character" w:styleId="FootnoteReference">
    <w:name w:val="footnote reference"/>
    <w:basedOn w:val="DefaultParagraphFont"/>
    <w:uiPriority w:val="99"/>
    <w:semiHidden/>
    <w:unhideWhenUsed/>
    <w:rsid w:val="00F6016E"/>
    <w:rPr>
      <w:vertAlign w:val="superscript"/>
    </w:rPr>
  </w:style>
  <w:style w:type="character" w:styleId="Hyperlink">
    <w:name w:val="Hyperlink"/>
    <w:basedOn w:val="DefaultParagraphFont"/>
    <w:uiPriority w:val="99"/>
    <w:unhideWhenUsed/>
    <w:rsid w:val="00FA0434"/>
    <w:rPr>
      <w:color w:val="0000FF" w:themeColor="hyperlink"/>
      <w:u w:val="single"/>
    </w:rPr>
  </w:style>
  <w:style w:type="paragraph" w:customStyle="1" w:styleId="AnnexNotitle">
    <w:name w:val="Annex_No &amp; title"/>
    <w:basedOn w:val="Normal"/>
    <w:next w:val="Normal"/>
    <w:uiPriority w:val="99"/>
    <w:rsid w:val="00626783"/>
    <w:pPr>
      <w:keepNext/>
      <w:keepLines/>
      <w:spacing w:before="480"/>
      <w:jc w:val="center"/>
    </w:pPr>
    <w:rPr>
      <w:b/>
      <w:sz w:val="28"/>
    </w:rPr>
  </w:style>
  <w:style w:type="paragraph" w:customStyle="1" w:styleId="Tablehead">
    <w:name w:val="Table_head"/>
    <w:basedOn w:val="Normal"/>
    <w:next w:val="Tabletext"/>
    <w:uiPriority w:val="99"/>
    <w:rsid w:val="00626783"/>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uiPriority w:val="99"/>
    <w:rsid w:val="0062678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styleId="ListParagraph">
    <w:name w:val="List Paragraph"/>
    <w:basedOn w:val="Normal"/>
    <w:uiPriority w:val="34"/>
    <w:qFormat/>
    <w:rsid w:val="004064FD"/>
    <w:pPr>
      <w:ind w:left="720"/>
      <w:contextualSpacing/>
    </w:pPr>
  </w:style>
  <w:style w:type="table" w:styleId="TableGrid">
    <w:name w:val="Table Grid"/>
    <w:basedOn w:val="TableNormal"/>
    <w:uiPriority w:val="59"/>
    <w:rsid w:val="00BB5D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05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itu.int/ITU-R/go/rcpm-wrc-15-studies"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47978-B778-4B1A-9017-4D889C7C9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2620</Words>
  <Characters>14936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17521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ITU</dc:creator>
  <cp:lastModifiedBy>Gimenez</cp:lastModifiedBy>
  <cp:revision>6</cp:revision>
  <cp:lastPrinted>2012-07-16T14:53:00Z</cp:lastPrinted>
  <dcterms:created xsi:type="dcterms:W3CDTF">2012-07-16T07:37:00Z</dcterms:created>
  <dcterms:modified xsi:type="dcterms:W3CDTF">2012-07-17T09:25:00Z</dcterms:modified>
</cp:coreProperties>
</file>