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2"/>
        <w:tblW w:w="0" w:type="auto"/>
        <w:tblLook w:val="01E0" w:firstRow="1" w:lastRow="1" w:firstColumn="1" w:lastColumn="1" w:noHBand="0" w:noVBand="0"/>
      </w:tblPr>
      <w:tblGrid>
        <w:gridCol w:w="8188"/>
        <w:gridCol w:w="1667"/>
      </w:tblGrid>
      <w:tr w:rsidR="00156F75" w:rsidRPr="00D40E4D" w:rsidTr="00886D6D">
        <w:tc>
          <w:tcPr>
            <w:tcW w:w="8188" w:type="dxa"/>
            <w:shd w:val="clear" w:color="auto" w:fill="auto"/>
            <w:vAlign w:val="center"/>
          </w:tcPr>
          <w:p w:rsidR="00156F75" w:rsidRPr="00D40E4D" w:rsidRDefault="00156F75" w:rsidP="00886D6D">
            <w:pPr>
              <w:spacing w:before="0"/>
            </w:pPr>
            <w:r w:rsidRPr="00D40E4D">
              <w:rPr>
                <w:rFonts w:ascii="Futura Lt BT" w:hAnsi="Futura Lt BT"/>
                <w:sz w:val="44"/>
              </w:rPr>
              <w:t>I</w:t>
            </w:r>
            <w:r w:rsidRPr="00D40E4D">
              <w:rPr>
                <w:rFonts w:ascii="Futura Lt BT" w:hAnsi="Futura Lt BT"/>
                <w:sz w:val="36"/>
              </w:rPr>
              <w:t xml:space="preserve">NTERNATIONAL </w:t>
            </w:r>
            <w:r w:rsidRPr="00D40E4D">
              <w:rPr>
                <w:rFonts w:ascii="Futura Lt BT" w:hAnsi="Futura Lt BT"/>
                <w:sz w:val="44"/>
              </w:rPr>
              <w:t>T</w:t>
            </w:r>
            <w:r w:rsidRPr="00D40E4D">
              <w:rPr>
                <w:rFonts w:ascii="Futura Lt BT" w:hAnsi="Futura Lt BT"/>
                <w:sz w:val="36"/>
              </w:rPr>
              <w:t xml:space="preserve">ELECOMMUNICATION </w:t>
            </w:r>
            <w:r w:rsidRPr="00D40E4D">
              <w:rPr>
                <w:rFonts w:ascii="Futura Lt BT" w:hAnsi="Futura Lt BT"/>
                <w:sz w:val="44"/>
              </w:rPr>
              <w:t>U</w:t>
            </w:r>
            <w:r w:rsidRPr="00D40E4D">
              <w:rPr>
                <w:rFonts w:ascii="Futura Lt BT" w:hAnsi="Futura Lt BT"/>
                <w:sz w:val="36"/>
              </w:rPr>
              <w:t>NION</w:t>
            </w:r>
          </w:p>
        </w:tc>
        <w:tc>
          <w:tcPr>
            <w:tcW w:w="1667" w:type="dxa"/>
            <w:shd w:val="clear" w:color="auto" w:fill="auto"/>
          </w:tcPr>
          <w:p w:rsidR="00156F75" w:rsidRPr="00D40E4D" w:rsidRDefault="00156F75" w:rsidP="00886D6D">
            <w:pPr>
              <w:spacing w:before="0"/>
              <w:jc w:val="right"/>
            </w:pPr>
            <w:r w:rsidRPr="00D40E4D">
              <w:rPr>
                <w:noProof/>
                <w:lang w:val="en-US" w:eastAsia="zh-CN"/>
              </w:rPr>
              <w:drawing>
                <wp:inline distT="0" distB="0" distL="0" distR="0">
                  <wp:extent cx="838200" cy="942975"/>
                  <wp:effectExtent l="0" t="0" r="0" b="9525"/>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42975"/>
                          </a:xfrm>
                          <a:prstGeom prst="rect">
                            <a:avLst/>
                          </a:prstGeom>
                          <a:noFill/>
                          <a:ln>
                            <a:noFill/>
                          </a:ln>
                        </pic:spPr>
                      </pic:pic>
                    </a:graphicData>
                  </a:graphic>
                </wp:inline>
              </w:drawing>
            </w:r>
          </w:p>
        </w:tc>
      </w:tr>
    </w:tbl>
    <w:p w:rsidR="00156F75" w:rsidRPr="00D40E4D" w:rsidRDefault="00156F75" w:rsidP="00156F75">
      <w:pPr>
        <w:spacing w:before="0"/>
        <w:rPr>
          <w:vanish/>
        </w:rPr>
      </w:pPr>
    </w:p>
    <w:tbl>
      <w:tblPr>
        <w:tblW w:w="0" w:type="auto"/>
        <w:tblLayout w:type="fixed"/>
        <w:tblLook w:val="0000" w:firstRow="0" w:lastRow="0" w:firstColumn="0" w:lastColumn="0" w:noHBand="0" w:noVBand="0"/>
      </w:tblPr>
      <w:tblGrid>
        <w:gridCol w:w="5075"/>
      </w:tblGrid>
      <w:tr w:rsidR="00156F75" w:rsidRPr="00D40E4D" w:rsidTr="00886D6D">
        <w:trPr>
          <w:cantSplit/>
        </w:trPr>
        <w:tc>
          <w:tcPr>
            <w:tcW w:w="5075" w:type="dxa"/>
          </w:tcPr>
          <w:p w:rsidR="00156F75" w:rsidRPr="00D40E4D" w:rsidRDefault="00156F75" w:rsidP="00886D6D">
            <w:pPr>
              <w:rPr>
                <w:b/>
                <w:smallCaps/>
                <w:sz w:val="20"/>
                <w:lang w:val="fr-CH"/>
              </w:rPr>
            </w:pPr>
            <w:r w:rsidRPr="00D40E4D">
              <w:rPr>
                <w:i/>
                <w:sz w:val="28"/>
                <w:lang w:val="fr-CH"/>
              </w:rPr>
              <w:t>Radiocommunication Bureau</w:t>
            </w:r>
          </w:p>
          <w:p w:rsidR="00156F75" w:rsidRPr="00D40E4D" w:rsidRDefault="00156F75" w:rsidP="00886D6D">
            <w:pPr>
              <w:tabs>
                <w:tab w:val="clear" w:pos="794"/>
                <w:tab w:val="clear" w:pos="1191"/>
                <w:tab w:val="clear" w:pos="1588"/>
                <w:tab w:val="clear" w:pos="1985"/>
                <w:tab w:val="center" w:pos="1701"/>
              </w:tabs>
              <w:spacing w:before="0"/>
              <w:rPr>
                <w:b/>
                <w:smallCaps/>
                <w:sz w:val="20"/>
              </w:rPr>
            </w:pPr>
            <w:r w:rsidRPr="00D40E4D">
              <w:rPr>
                <w:b/>
                <w:sz w:val="18"/>
                <w:lang w:val="fr-CH"/>
              </w:rPr>
              <w:tab/>
            </w:r>
            <w:r w:rsidRPr="00D40E4D">
              <w:rPr>
                <w:i/>
                <w:sz w:val="18"/>
                <w:lang w:val="fr-CH"/>
              </w:rPr>
              <w:t xml:space="preserve">(Direct Fax N°. </w:t>
            </w:r>
            <w:r w:rsidRPr="00D40E4D">
              <w:rPr>
                <w:i/>
                <w:sz w:val="18"/>
              </w:rPr>
              <w:t>+41 22 730 57 85)</w:t>
            </w:r>
          </w:p>
        </w:tc>
      </w:tr>
    </w:tbl>
    <w:p w:rsidR="00156F75" w:rsidRPr="00D40E4D" w:rsidRDefault="00156F75" w:rsidP="00156F75">
      <w:pPr>
        <w:tabs>
          <w:tab w:val="left" w:pos="7513"/>
        </w:tabs>
      </w:pPr>
    </w:p>
    <w:p w:rsidR="00156F75" w:rsidRPr="00D40E4D" w:rsidRDefault="00156F75" w:rsidP="00156F75">
      <w:pPr>
        <w:tabs>
          <w:tab w:val="left" w:pos="7513"/>
        </w:tabs>
      </w:pPr>
    </w:p>
    <w:tbl>
      <w:tblPr>
        <w:tblW w:w="10020" w:type="dxa"/>
        <w:tblLayout w:type="fixed"/>
        <w:tblLook w:val="0000" w:firstRow="0" w:lastRow="0" w:firstColumn="0" w:lastColumn="0" w:noHBand="0" w:noVBand="0"/>
      </w:tblPr>
      <w:tblGrid>
        <w:gridCol w:w="2518"/>
        <w:gridCol w:w="7502"/>
      </w:tblGrid>
      <w:tr w:rsidR="00156F75" w:rsidRPr="00D40E4D" w:rsidTr="00886D6D">
        <w:trPr>
          <w:cantSplit/>
        </w:trPr>
        <w:tc>
          <w:tcPr>
            <w:tcW w:w="2518" w:type="dxa"/>
          </w:tcPr>
          <w:p w:rsidR="00156F75" w:rsidRPr="00D40E4D" w:rsidRDefault="00156F75" w:rsidP="00886D6D">
            <w:pPr>
              <w:tabs>
                <w:tab w:val="left" w:pos="7513"/>
              </w:tabs>
              <w:jc w:val="center"/>
              <w:rPr>
                <w:b/>
              </w:rPr>
            </w:pPr>
            <w:bookmarkStart w:id="0" w:name="dletter"/>
            <w:bookmarkEnd w:id="0"/>
            <w:r w:rsidRPr="00D40E4D">
              <w:t>Circular Letter</w:t>
            </w:r>
          </w:p>
          <w:p w:rsidR="00156F75" w:rsidRPr="00D40E4D" w:rsidRDefault="00156F75" w:rsidP="002452DA">
            <w:pPr>
              <w:tabs>
                <w:tab w:val="clear" w:pos="794"/>
                <w:tab w:val="clear" w:pos="1191"/>
                <w:tab w:val="clear" w:pos="1588"/>
              </w:tabs>
              <w:spacing w:before="0"/>
              <w:jc w:val="center"/>
              <w:rPr>
                <w:b/>
                <w:bCs/>
              </w:rPr>
            </w:pPr>
            <w:bookmarkStart w:id="1" w:name="dnum"/>
            <w:bookmarkEnd w:id="1"/>
            <w:r w:rsidRPr="00D40E4D">
              <w:rPr>
                <w:b/>
                <w:bCs/>
              </w:rPr>
              <w:t>CR/</w:t>
            </w:r>
            <w:r w:rsidR="00C6100E">
              <w:rPr>
                <w:b/>
                <w:bCs/>
              </w:rPr>
              <w:t>333</w:t>
            </w:r>
          </w:p>
        </w:tc>
        <w:tc>
          <w:tcPr>
            <w:tcW w:w="7502" w:type="dxa"/>
          </w:tcPr>
          <w:p w:rsidR="00156F75" w:rsidRPr="00D40E4D" w:rsidRDefault="00267D0A" w:rsidP="00CE4CE9">
            <w:pPr>
              <w:tabs>
                <w:tab w:val="left" w:pos="7513"/>
              </w:tabs>
              <w:jc w:val="right"/>
              <w:rPr>
                <w:bCs/>
              </w:rPr>
            </w:pPr>
            <w:bookmarkStart w:id="2" w:name="ddate"/>
            <w:bookmarkEnd w:id="2"/>
            <w:r>
              <w:rPr>
                <w:bCs/>
              </w:rPr>
              <w:t>2</w:t>
            </w:r>
            <w:r w:rsidR="00C6100E">
              <w:rPr>
                <w:bCs/>
              </w:rPr>
              <w:t xml:space="preserve"> May</w:t>
            </w:r>
            <w:r w:rsidR="007F6FC6" w:rsidRPr="00D40E4D">
              <w:rPr>
                <w:bCs/>
              </w:rPr>
              <w:t xml:space="preserve"> </w:t>
            </w:r>
            <w:r w:rsidR="00E479CC" w:rsidRPr="00D40E4D">
              <w:rPr>
                <w:bCs/>
              </w:rPr>
              <w:t>2012</w:t>
            </w:r>
          </w:p>
        </w:tc>
      </w:tr>
    </w:tbl>
    <w:p w:rsidR="00156F75" w:rsidRPr="00D40E4D" w:rsidRDefault="00156F75" w:rsidP="00156F75">
      <w:pPr>
        <w:tabs>
          <w:tab w:val="left" w:pos="7513"/>
        </w:tabs>
        <w:spacing w:before="480"/>
        <w:jc w:val="center"/>
        <w:rPr>
          <w:b/>
        </w:rPr>
      </w:pPr>
      <w:r w:rsidRPr="00D40E4D">
        <w:rPr>
          <w:b/>
          <w:bCs/>
        </w:rPr>
        <w:t>To Administrations of Member States of ITU</w:t>
      </w:r>
    </w:p>
    <w:p w:rsidR="00156F75" w:rsidRPr="00D40E4D" w:rsidRDefault="00156F75" w:rsidP="002452DA">
      <w:pPr>
        <w:tabs>
          <w:tab w:val="clear" w:pos="794"/>
          <w:tab w:val="clear" w:pos="1191"/>
          <w:tab w:val="clear" w:pos="1588"/>
          <w:tab w:val="clear" w:pos="1985"/>
        </w:tabs>
        <w:spacing w:before="720"/>
        <w:ind w:left="1440" w:hanging="1440"/>
      </w:pPr>
      <w:r w:rsidRPr="00D40E4D">
        <w:rPr>
          <w:b/>
        </w:rPr>
        <w:t>Subject</w:t>
      </w:r>
      <w:r w:rsidRPr="00D40E4D">
        <w:t>:</w:t>
      </w:r>
      <w:r w:rsidRPr="00D40E4D">
        <w:tab/>
      </w:r>
      <w:bookmarkStart w:id="3" w:name="dtitle1"/>
      <w:bookmarkEnd w:id="3"/>
      <w:r w:rsidR="002452DA">
        <w:t>WRC-12 decisions included in the Minutes of Plenary meeting relating to space services procedures</w:t>
      </w:r>
      <w:r w:rsidR="00A27EC3" w:rsidRPr="00D40E4D">
        <w:rPr>
          <w:lang w:val="en-US"/>
        </w:rPr>
        <w:t xml:space="preserve"> </w:t>
      </w:r>
    </w:p>
    <w:p w:rsidR="00156F75" w:rsidRPr="00D40E4D" w:rsidRDefault="00156F75" w:rsidP="00156F75">
      <w:pPr>
        <w:tabs>
          <w:tab w:val="clear" w:pos="794"/>
          <w:tab w:val="clear" w:pos="1191"/>
          <w:tab w:val="clear" w:pos="1588"/>
          <w:tab w:val="clear" w:pos="1985"/>
          <w:tab w:val="left" w:pos="709"/>
        </w:tabs>
        <w:spacing w:before="480"/>
        <w:ind w:left="709" w:hanging="709"/>
        <w:rPr>
          <w:b/>
          <w:bCs/>
        </w:rPr>
      </w:pPr>
      <w:r w:rsidRPr="00D40E4D">
        <w:rPr>
          <w:b/>
          <w:bCs/>
        </w:rPr>
        <w:t>To the Director-General</w:t>
      </w:r>
    </w:p>
    <w:p w:rsidR="001A4ACE" w:rsidRPr="00D40E4D" w:rsidRDefault="001A4ACE" w:rsidP="00156F75">
      <w:pPr>
        <w:tabs>
          <w:tab w:val="clear" w:pos="794"/>
          <w:tab w:val="clear" w:pos="1191"/>
          <w:tab w:val="clear" w:pos="1588"/>
          <w:tab w:val="clear" w:pos="1985"/>
          <w:tab w:val="left" w:pos="709"/>
        </w:tabs>
        <w:spacing w:before="480"/>
        <w:ind w:left="709" w:hanging="709"/>
      </w:pPr>
    </w:p>
    <w:p w:rsidR="00156F75" w:rsidRPr="00D40E4D" w:rsidRDefault="00156F75" w:rsidP="001A4ACE">
      <w:pPr>
        <w:pStyle w:val="NoSpacing"/>
      </w:pPr>
      <w:r w:rsidRPr="00D40E4D">
        <w:t>Dear Sir/Madam</w:t>
      </w:r>
    </w:p>
    <w:p w:rsidR="00555202" w:rsidRPr="00D40E4D" w:rsidRDefault="00555202" w:rsidP="001A4ACE">
      <w:pPr>
        <w:pStyle w:val="NoSpacing"/>
      </w:pPr>
    </w:p>
    <w:p w:rsidR="00C8049D" w:rsidRDefault="00156F75" w:rsidP="00A2653E">
      <w:pPr>
        <w:pStyle w:val="NoSpacing"/>
        <w:tabs>
          <w:tab w:val="clear" w:pos="794"/>
          <w:tab w:val="left" w:pos="709"/>
        </w:tabs>
        <w:spacing w:before="240"/>
        <w:ind w:firstLine="709"/>
        <w:rPr>
          <w:lang w:val="en-US"/>
        </w:rPr>
      </w:pPr>
      <w:r w:rsidRPr="00D40E4D">
        <w:rPr>
          <w:lang w:val="en-US"/>
        </w:rPr>
        <w:t xml:space="preserve">The World </w:t>
      </w:r>
      <w:proofErr w:type="spellStart"/>
      <w:r w:rsidRPr="00D40E4D">
        <w:rPr>
          <w:lang w:val="en-US"/>
        </w:rPr>
        <w:t>Radiocommunication</w:t>
      </w:r>
      <w:proofErr w:type="spellEnd"/>
      <w:r w:rsidRPr="00D40E4D">
        <w:rPr>
          <w:lang w:val="en-US"/>
        </w:rPr>
        <w:t xml:space="preserve"> Conference, Geneva, 20</w:t>
      </w:r>
      <w:r w:rsidR="00BB665D" w:rsidRPr="00D40E4D">
        <w:rPr>
          <w:lang w:val="en-US"/>
        </w:rPr>
        <w:t>12</w:t>
      </w:r>
      <w:r w:rsidRPr="00D40E4D">
        <w:rPr>
          <w:lang w:val="en-US"/>
        </w:rPr>
        <w:t xml:space="preserve"> (WRC-</w:t>
      </w:r>
      <w:r w:rsidR="00BB665D" w:rsidRPr="00D40E4D">
        <w:rPr>
          <w:lang w:val="en-US"/>
        </w:rPr>
        <w:t>12</w:t>
      </w:r>
      <w:r w:rsidRPr="00D40E4D">
        <w:rPr>
          <w:lang w:val="en-US"/>
        </w:rPr>
        <w:t>), adopted a partial revision of the Radio Regulations and decided that the revised provisions shall en</w:t>
      </w:r>
      <w:r w:rsidR="00AC4E7B" w:rsidRPr="00D40E4D">
        <w:rPr>
          <w:lang w:val="en-US"/>
        </w:rPr>
        <w:t>ter into force on 1</w:t>
      </w:r>
      <w:r w:rsidR="002909D6">
        <w:rPr>
          <w:lang w:val="en-US"/>
        </w:rPr>
        <w:t> </w:t>
      </w:r>
      <w:r w:rsidR="00AC4E7B" w:rsidRPr="00D40E4D">
        <w:rPr>
          <w:lang w:val="en-US"/>
        </w:rPr>
        <w:t>January 2013</w:t>
      </w:r>
      <w:r w:rsidRPr="00D40E4D">
        <w:rPr>
          <w:lang w:val="en-US"/>
        </w:rPr>
        <w:t xml:space="preserve">, with the exception of those provisions for which another date was specifically indicated. </w:t>
      </w:r>
      <w:r w:rsidR="002452DA">
        <w:rPr>
          <w:lang w:val="en-US"/>
        </w:rPr>
        <w:t xml:space="preserve">In addition, some issues thoroughly discussed in Committee 5 </w:t>
      </w:r>
      <w:r w:rsidR="003F54CD">
        <w:rPr>
          <w:lang w:val="en-US"/>
        </w:rPr>
        <w:t xml:space="preserve">of the Conference </w:t>
      </w:r>
      <w:r w:rsidR="002452DA">
        <w:rPr>
          <w:lang w:val="en-US"/>
        </w:rPr>
        <w:t xml:space="preserve">and associated to the revision of provisions of the Radio regulations </w:t>
      </w:r>
      <w:r w:rsidR="0047312C">
        <w:rPr>
          <w:lang w:val="en-US"/>
        </w:rPr>
        <w:t xml:space="preserve">referring to space services </w:t>
      </w:r>
      <w:r w:rsidR="002452DA">
        <w:rPr>
          <w:lang w:val="en-US"/>
        </w:rPr>
        <w:t xml:space="preserve">were proposed for inclusion in the minutes of </w:t>
      </w:r>
      <w:proofErr w:type="gramStart"/>
      <w:r w:rsidR="002452DA">
        <w:rPr>
          <w:lang w:val="en-US"/>
        </w:rPr>
        <w:t>Plenary</w:t>
      </w:r>
      <w:proofErr w:type="gramEnd"/>
      <w:r w:rsidR="002452DA">
        <w:rPr>
          <w:lang w:val="en-US"/>
        </w:rPr>
        <w:t xml:space="preserve"> meeting</w:t>
      </w:r>
      <w:r w:rsidR="0047312C">
        <w:rPr>
          <w:lang w:val="en-US"/>
        </w:rPr>
        <w:t>s</w:t>
      </w:r>
      <w:r w:rsidR="002452DA">
        <w:rPr>
          <w:lang w:val="en-US"/>
        </w:rPr>
        <w:t xml:space="preserve">. </w:t>
      </w:r>
      <w:r w:rsidRPr="00D40E4D">
        <w:rPr>
          <w:lang w:val="en-US"/>
        </w:rPr>
        <w:t xml:space="preserve">The purpose of this Circular </w:t>
      </w:r>
      <w:proofErr w:type="gramStart"/>
      <w:r w:rsidRPr="00D40E4D">
        <w:rPr>
          <w:lang w:val="en-US"/>
        </w:rPr>
        <w:t>Letter,</w:t>
      </w:r>
      <w:proofErr w:type="gramEnd"/>
      <w:r w:rsidR="00BB665D" w:rsidRPr="00D40E4D">
        <w:rPr>
          <w:lang w:val="en-US"/>
        </w:rPr>
        <w:t xml:space="preserve"> is to </w:t>
      </w:r>
      <w:r w:rsidR="001910BA">
        <w:rPr>
          <w:lang w:val="en-US"/>
        </w:rPr>
        <w:t xml:space="preserve">gather and </w:t>
      </w:r>
      <w:r w:rsidR="00BB665D" w:rsidRPr="00D40E4D">
        <w:rPr>
          <w:lang w:val="en-US"/>
        </w:rPr>
        <w:t xml:space="preserve">bring to the notice of administrations the </w:t>
      </w:r>
      <w:r w:rsidR="001910BA">
        <w:rPr>
          <w:lang w:val="en-US"/>
        </w:rPr>
        <w:t>conclusions by WRC-12 on the agreed texts included in the minutes of its Plenary meeting</w:t>
      </w:r>
      <w:r w:rsidR="0047312C">
        <w:rPr>
          <w:lang w:val="en-US"/>
        </w:rPr>
        <w:t>s</w:t>
      </w:r>
      <w:r w:rsidR="001910BA">
        <w:rPr>
          <w:lang w:val="en-US"/>
        </w:rPr>
        <w:t xml:space="preserve"> dealing with space service procedures.</w:t>
      </w:r>
    </w:p>
    <w:p w:rsidR="00BB1182" w:rsidRPr="007C5B1D" w:rsidRDefault="00BB1182" w:rsidP="003254B9">
      <w:pPr>
        <w:pStyle w:val="NoSpacing"/>
        <w:spacing w:before="480"/>
        <w:rPr>
          <w:b/>
          <w:bCs/>
          <w:i/>
          <w:iCs/>
          <w:lang w:val="en-US"/>
        </w:rPr>
      </w:pPr>
      <w:r w:rsidRPr="007C5B1D">
        <w:rPr>
          <w:b/>
          <w:bCs/>
          <w:i/>
          <w:iCs/>
          <w:lang w:val="en-US"/>
        </w:rPr>
        <w:t>Minutes of the 9</w:t>
      </w:r>
      <w:r w:rsidRPr="007C5B1D">
        <w:rPr>
          <w:b/>
          <w:bCs/>
          <w:i/>
          <w:iCs/>
          <w:vertAlign w:val="superscript"/>
          <w:lang w:val="en-US"/>
        </w:rPr>
        <w:t>th</w:t>
      </w:r>
      <w:r w:rsidRPr="007C5B1D">
        <w:rPr>
          <w:b/>
          <w:bCs/>
          <w:i/>
          <w:iCs/>
          <w:lang w:val="en-US"/>
        </w:rPr>
        <w:t xml:space="preserve"> Plenary Meeting (Doc. CMR12/550)</w:t>
      </w:r>
    </w:p>
    <w:p w:rsidR="00BB1182" w:rsidRPr="00BB1182" w:rsidRDefault="00BB1182" w:rsidP="00A2653E">
      <w:pPr>
        <w:pStyle w:val="NoSpacing"/>
        <w:tabs>
          <w:tab w:val="clear" w:pos="794"/>
          <w:tab w:val="left" w:pos="709"/>
        </w:tabs>
        <w:spacing w:before="240"/>
        <w:ind w:firstLine="709"/>
        <w:rPr>
          <w:lang w:val="en-US"/>
        </w:rPr>
      </w:pPr>
      <w:r>
        <w:rPr>
          <w:lang w:val="en-US"/>
        </w:rPr>
        <w:t xml:space="preserve">Together with </w:t>
      </w:r>
      <w:r>
        <w:t xml:space="preserve">the revisions of </w:t>
      </w:r>
      <w:proofErr w:type="spellStart"/>
      <w:r>
        <w:t>Nos</w:t>
      </w:r>
      <w:proofErr w:type="spellEnd"/>
      <w:r>
        <w:t xml:space="preserve"> 11.41, 11.42 and 11.42A, WRC-12 approved as decisions of the conference the following texts:</w:t>
      </w:r>
    </w:p>
    <w:p w:rsidR="009A5B03" w:rsidRDefault="00BB1182" w:rsidP="00BB1182">
      <w:pPr>
        <w:pStyle w:val="NoSpacing"/>
        <w:spacing w:before="240"/>
        <w:rPr>
          <w:lang w:val="en-US"/>
        </w:rPr>
      </w:pPr>
      <w:r w:rsidRPr="00BB1182">
        <w:t>“In adopting the modifications to Nos. 11.41 and 11.42 as well as the addition of No. 11.42A, WRC-12 recognizes that, by applying No. 11.41 to record an assignment in the MIFR under this provision, the notifying administration commits itself that it would comply with No. 11.42, as modified by this conference, for frequency assignments to space and terrestrial services allocated in the same frequency band with equal rights.”</w:t>
      </w:r>
      <w:r w:rsidRPr="00BB1182">
        <w:rPr>
          <w:lang w:val="en-US"/>
        </w:rPr>
        <w:t xml:space="preserve"> </w:t>
      </w:r>
      <w:r>
        <w:rPr>
          <w:lang w:val="en-US"/>
        </w:rPr>
        <w:t>(§4.3 Doc. CMR12/550)</w:t>
      </w:r>
    </w:p>
    <w:p w:rsidR="009A5B03" w:rsidRDefault="009A5B03">
      <w:pPr>
        <w:tabs>
          <w:tab w:val="clear" w:pos="794"/>
          <w:tab w:val="clear" w:pos="1191"/>
          <w:tab w:val="clear" w:pos="1588"/>
          <w:tab w:val="clear" w:pos="1985"/>
        </w:tabs>
        <w:overflowPunct/>
        <w:autoSpaceDE/>
        <w:autoSpaceDN/>
        <w:adjustRightInd/>
        <w:spacing w:before="0" w:after="200" w:line="276" w:lineRule="auto"/>
        <w:textAlignment w:val="auto"/>
        <w:rPr>
          <w:lang w:val="en-US"/>
        </w:rPr>
      </w:pPr>
      <w:r>
        <w:rPr>
          <w:lang w:val="en-US"/>
        </w:rPr>
        <w:br w:type="page"/>
      </w:r>
    </w:p>
    <w:p w:rsidR="00C8049D" w:rsidRPr="007C5B1D" w:rsidRDefault="001910BA" w:rsidP="003254B9">
      <w:pPr>
        <w:pStyle w:val="NoSpacing"/>
        <w:spacing w:before="600"/>
        <w:rPr>
          <w:b/>
          <w:bCs/>
          <w:i/>
          <w:iCs/>
          <w:lang w:val="en-US"/>
        </w:rPr>
      </w:pPr>
      <w:bookmarkStart w:id="4" w:name="_GoBack"/>
      <w:bookmarkEnd w:id="4"/>
      <w:r w:rsidRPr="007C5B1D">
        <w:rPr>
          <w:b/>
          <w:bCs/>
          <w:i/>
          <w:iCs/>
          <w:lang w:val="en-US"/>
        </w:rPr>
        <w:lastRenderedPageBreak/>
        <w:t>Minutes of th</w:t>
      </w:r>
      <w:r w:rsidR="0047312C" w:rsidRPr="007C5B1D">
        <w:rPr>
          <w:b/>
          <w:bCs/>
          <w:i/>
          <w:iCs/>
          <w:lang w:val="en-US"/>
        </w:rPr>
        <w:t>e 12</w:t>
      </w:r>
      <w:r w:rsidR="0047312C" w:rsidRPr="007C5B1D">
        <w:rPr>
          <w:b/>
          <w:bCs/>
          <w:i/>
          <w:iCs/>
          <w:vertAlign w:val="superscript"/>
          <w:lang w:val="en-US"/>
        </w:rPr>
        <w:t>th</w:t>
      </w:r>
      <w:r w:rsidR="0047312C" w:rsidRPr="007C5B1D">
        <w:rPr>
          <w:b/>
          <w:bCs/>
          <w:i/>
          <w:iCs/>
          <w:lang w:val="en-US"/>
        </w:rPr>
        <w:t xml:space="preserve"> </w:t>
      </w:r>
      <w:r w:rsidR="003F54CD" w:rsidRPr="007C5B1D">
        <w:rPr>
          <w:b/>
          <w:bCs/>
          <w:i/>
          <w:iCs/>
          <w:lang w:val="en-US"/>
        </w:rPr>
        <w:t>Plenary Meeting (Doc.</w:t>
      </w:r>
      <w:r w:rsidRPr="007C5B1D">
        <w:rPr>
          <w:b/>
          <w:bCs/>
          <w:i/>
          <w:iCs/>
          <w:lang w:val="en-US"/>
        </w:rPr>
        <w:t xml:space="preserve"> CMR12/55</w:t>
      </w:r>
      <w:r w:rsidR="0047312C" w:rsidRPr="007C5B1D">
        <w:rPr>
          <w:b/>
          <w:bCs/>
          <w:i/>
          <w:iCs/>
          <w:lang w:val="en-US"/>
        </w:rPr>
        <w:t>3</w:t>
      </w:r>
      <w:r w:rsidRPr="007C5B1D">
        <w:rPr>
          <w:b/>
          <w:bCs/>
          <w:i/>
          <w:iCs/>
          <w:lang w:val="en-US"/>
        </w:rPr>
        <w:t>)</w:t>
      </w:r>
    </w:p>
    <w:p w:rsidR="00DD1881" w:rsidRDefault="0047312C" w:rsidP="00A2653E">
      <w:pPr>
        <w:pStyle w:val="NoSpacing"/>
        <w:tabs>
          <w:tab w:val="clear" w:pos="794"/>
          <w:tab w:val="left" w:pos="709"/>
        </w:tabs>
        <w:spacing w:before="240"/>
        <w:ind w:firstLine="709"/>
        <w:rPr>
          <w:lang w:val="en-US"/>
        </w:rPr>
      </w:pPr>
      <w:r>
        <w:rPr>
          <w:lang w:val="en-US"/>
        </w:rPr>
        <w:t>In response to a question on the applicability to Appendix 30B of the extension of satellite suspension periods from two to three years, WRC-12 approved the application of the three year suspension period under Appendix 30B as well as the approach proposed by the Bureau to implement that extended period via rules of procedure</w:t>
      </w:r>
      <w:r w:rsidR="009A79E9">
        <w:rPr>
          <w:lang w:val="en-US"/>
        </w:rPr>
        <w:t>.</w:t>
      </w:r>
      <w:r w:rsidR="009A79E9" w:rsidRPr="009A79E9">
        <w:rPr>
          <w:lang w:val="en-US"/>
        </w:rPr>
        <w:t xml:space="preserve"> </w:t>
      </w:r>
      <w:r w:rsidR="009A79E9">
        <w:rPr>
          <w:lang w:val="en-US"/>
        </w:rPr>
        <w:t>(§9.2 Doc. CMR12/553)</w:t>
      </w:r>
    </w:p>
    <w:p w:rsidR="0047312C" w:rsidRPr="007C5B1D" w:rsidRDefault="00DD1881" w:rsidP="003254B9">
      <w:pPr>
        <w:pStyle w:val="NoSpacing"/>
        <w:spacing w:before="480"/>
        <w:rPr>
          <w:b/>
          <w:bCs/>
          <w:i/>
          <w:iCs/>
          <w:lang w:val="en-US"/>
        </w:rPr>
      </w:pPr>
      <w:r w:rsidRPr="007C5B1D">
        <w:rPr>
          <w:b/>
          <w:bCs/>
          <w:i/>
          <w:iCs/>
          <w:lang w:val="en-US"/>
        </w:rPr>
        <w:t>M</w:t>
      </w:r>
      <w:r w:rsidR="0047312C" w:rsidRPr="007C5B1D">
        <w:rPr>
          <w:b/>
          <w:bCs/>
          <w:i/>
          <w:iCs/>
          <w:lang w:val="en-US"/>
        </w:rPr>
        <w:t>inutes of the 13</w:t>
      </w:r>
      <w:r w:rsidR="0047312C" w:rsidRPr="007C5B1D">
        <w:rPr>
          <w:b/>
          <w:bCs/>
          <w:i/>
          <w:iCs/>
          <w:vertAlign w:val="superscript"/>
          <w:lang w:val="en-US"/>
        </w:rPr>
        <w:t>th</w:t>
      </w:r>
      <w:r w:rsidR="0047312C" w:rsidRPr="007C5B1D">
        <w:rPr>
          <w:b/>
          <w:bCs/>
          <w:i/>
          <w:iCs/>
          <w:lang w:val="en-US"/>
        </w:rPr>
        <w:t xml:space="preserve"> Plenary Meeting (Doc</w:t>
      </w:r>
      <w:r w:rsidR="003F54CD" w:rsidRPr="007C5B1D">
        <w:rPr>
          <w:b/>
          <w:bCs/>
          <w:i/>
          <w:iCs/>
          <w:lang w:val="en-US"/>
        </w:rPr>
        <w:t>.</w:t>
      </w:r>
      <w:r w:rsidR="0047312C" w:rsidRPr="007C5B1D">
        <w:rPr>
          <w:b/>
          <w:bCs/>
          <w:i/>
          <w:iCs/>
          <w:lang w:val="en-US"/>
        </w:rPr>
        <w:t xml:space="preserve"> CMR12/554)</w:t>
      </w:r>
    </w:p>
    <w:p w:rsidR="00C6100E" w:rsidRDefault="00825280" w:rsidP="007C5B1D">
      <w:pPr>
        <w:pStyle w:val="NoSpacing"/>
        <w:numPr>
          <w:ilvl w:val="0"/>
          <w:numId w:val="3"/>
        </w:numPr>
        <w:tabs>
          <w:tab w:val="clear" w:pos="794"/>
          <w:tab w:val="left" w:pos="709"/>
        </w:tabs>
        <w:spacing w:before="240"/>
        <w:ind w:left="0" w:firstLine="0"/>
        <w:rPr>
          <w:lang w:val="en-US"/>
        </w:rPr>
      </w:pPr>
      <w:r>
        <w:rPr>
          <w:lang w:val="en-US"/>
        </w:rPr>
        <w:t xml:space="preserve">Regarding satellite leasing, </w:t>
      </w:r>
      <w:r>
        <w:t>“</w:t>
      </w:r>
      <w:r w:rsidRPr="00B74D31">
        <w:t>WRC-12 recognizes that an administration can bring into use, or continue the use of, frequency assignments for one of its satellite networks by using a space station which is under the responsibility of another administration or intergovernmental organization, provided that this latter administration or intergovernmental organization, after having been informed, does not object, within 90 days from the date of receipt of information, to the use of this space station for such purposes. This requirement shall not be applied retroactively and applies to assignments brought into use after the end of WRC-12.</w:t>
      </w:r>
      <w:r>
        <w:t>”</w:t>
      </w:r>
      <w:r w:rsidR="003F54CD" w:rsidRPr="003F54CD">
        <w:rPr>
          <w:lang w:val="en-US"/>
        </w:rPr>
        <w:t xml:space="preserve"> </w:t>
      </w:r>
      <w:r w:rsidR="003F54CD">
        <w:rPr>
          <w:lang w:val="en-US"/>
        </w:rPr>
        <w:t>(§3.12 Doc. CMR12/554)</w:t>
      </w:r>
    </w:p>
    <w:p w:rsidR="00422157" w:rsidRPr="00422157" w:rsidRDefault="00825280" w:rsidP="007C5B1D">
      <w:pPr>
        <w:pStyle w:val="NoSpacing"/>
        <w:numPr>
          <w:ilvl w:val="0"/>
          <w:numId w:val="3"/>
        </w:numPr>
        <w:tabs>
          <w:tab w:val="clear" w:pos="794"/>
          <w:tab w:val="left" w:pos="709"/>
        </w:tabs>
        <w:spacing w:before="240"/>
        <w:ind w:left="0" w:firstLine="0"/>
      </w:pPr>
      <w:r>
        <w:t xml:space="preserve">In response to the issue of the consolidation of frequency assignments for different GSO networks submitted by an administration at the same orbital position, </w:t>
      </w:r>
      <w:r w:rsidR="00422157">
        <w:t>WRC-12 “</w:t>
      </w:r>
      <w:r w:rsidR="00422157" w:rsidRPr="00422157">
        <w:t xml:space="preserve"> concluded to instruct:</w:t>
      </w:r>
    </w:p>
    <w:p w:rsidR="00422157" w:rsidRPr="00422157" w:rsidRDefault="00422157" w:rsidP="003254B9">
      <w:pPr>
        <w:tabs>
          <w:tab w:val="clear" w:pos="794"/>
          <w:tab w:val="clear" w:pos="1191"/>
          <w:tab w:val="clear" w:pos="1588"/>
          <w:tab w:val="clear" w:pos="1985"/>
          <w:tab w:val="left" w:pos="1276"/>
          <w:tab w:val="left" w:pos="1871"/>
          <w:tab w:val="left" w:pos="2608"/>
          <w:tab w:val="left" w:pos="3345"/>
        </w:tabs>
        <w:ind w:left="1276" w:hanging="425"/>
      </w:pPr>
      <w:r w:rsidRPr="00422157">
        <w:t>a)</w:t>
      </w:r>
      <w:r w:rsidRPr="00422157">
        <w:tab/>
        <w:t>the Bureau to develop and submit to the Radio Regulations Board the detailed description of the Bureau’s practices and actions, especially with respect to consolidating frequency assignments of different GSO networks submitted by an administration at the same orbital position, into frequency assignments of a single satellite network;</w:t>
      </w:r>
    </w:p>
    <w:p w:rsidR="00422157" w:rsidRDefault="00422157" w:rsidP="003F54CD">
      <w:pPr>
        <w:tabs>
          <w:tab w:val="clear" w:pos="794"/>
          <w:tab w:val="clear" w:pos="1191"/>
          <w:tab w:val="clear" w:pos="1588"/>
          <w:tab w:val="clear" w:pos="1985"/>
          <w:tab w:val="left" w:pos="1276"/>
          <w:tab w:val="left" w:pos="1871"/>
          <w:tab w:val="left" w:pos="2608"/>
          <w:tab w:val="left" w:pos="3345"/>
        </w:tabs>
        <w:spacing w:before="240"/>
        <w:ind w:left="1276" w:hanging="425"/>
      </w:pPr>
      <w:r w:rsidRPr="00422157">
        <w:t>b)</w:t>
      </w:r>
      <w:r w:rsidRPr="00422157">
        <w:tab/>
      </w:r>
      <w:proofErr w:type="gramStart"/>
      <w:r w:rsidRPr="00422157">
        <w:t>the</w:t>
      </w:r>
      <w:proofErr w:type="gramEnd"/>
      <w:r w:rsidRPr="00422157">
        <w:t xml:space="preserve"> Radio Regulations Board to develop the relevant Rules of Procedure.”</w:t>
      </w:r>
      <w:r w:rsidR="003F54CD">
        <w:t xml:space="preserve"> </w:t>
      </w:r>
      <w:r w:rsidR="003F54CD">
        <w:br/>
      </w:r>
      <w:r w:rsidR="003F54CD">
        <w:rPr>
          <w:lang w:val="en-US"/>
        </w:rPr>
        <w:t>(§3.16 Doc. CMR12/554)</w:t>
      </w:r>
    </w:p>
    <w:p w:rsidR="00422157" w:rsidRPr="007C5B1D" w:rsidRDefault="00886D6D" w:rsidP="007C5B1D">
      <w:pPr>
        <w:pStyle w:val="ListParagraph"/>
        <w:numPr>
          <w:ilvl w:val="0"/>
          <w:numId w:val="5"/>
        </w:numPr>
        <w:tabs>
          <w:tab w:val="clear" w:pos="794"/>
          <w:tab w:val="clear" w:pos="1191"/>
          <w:tab w:val="clear" w:pos="1588"/>
          <w:tab w:val="clear" w:pos="1985"/>
          <w:tab w:val="left" w:pos="709"/>
          <w:tab w:val="left" w:pos="1560"/>
          <w:tab w:val="left" w:pos="1871"/>
          <w:tab w:val="left" w:pos="2608"/>
          <w:tab w:val="left" w:pos="3345"/>
        </w:tabs>
        <w:spacing w:before="240"/>
        <w:ind w:left="0" w:firstLine="0"/>
      </w:pPr>
      <w:r>
        <w:t>Relating to the C</w:t>
      </w:r>
      <w:r w:rsidR="0094765C">
        <w:t>onference’s modification of No. 13.6, “</w:t>
      </w:r>
      <w:r>
        <w:t>c</w:t>
      </w:r>
      <w:r w:rsidR="0094765C" w:rsidRPr="00B74D31">
        <w:t xml:space="preserve">onsidering Document 139, WRC-12 recognizes that the Bureau, when applying </w:t>
      </w:r>
      <w:r w:rsidR="0094765C">
        <w:t>No. </w:t>
      </w:r>
      <w:r w:rsidR="0094765C" w:rsidRPr="007C5B1D">
        <w:rPr>
          <w:bCs/>
        </w:rPr>
        <w:t>13.6</w:t>
      </w:r>
      <w:r w:rsidR="0094765C" w:rsidRPr="00B74D31">
        <w:t>, requests administrations to provide information about the characteristics and use of satellite networks. In response, administrations need to provide to the BR information on the actual use of the notified characteristics of commercial satellite networks.</w:t>
      </w:r>
      <w:r w:rsidR="0094765C">
        <w:t>”</w:t>
      </w:r>
      <w:r w:rsidR="003F54CD" w:rsidRPr="007C5B1D">
        <w:rPr>
          <w:lang w:val="en-US"/>
        </w:rPr>
        <w:t xml:space="preserve"> (§3.18 Doc. CMR12/554)</w:t>
      </w:r>
    </w:p>
    <w:p w:rsidR="007C5B1D" w:rsidRDefault="007C5B1D" w:rsidP="007C5B1D">
      <w:pPr>
        <w:pStyle w:val="ListParagraph"/>
        <w:tabs>
          <w:tab w:val="clear" w:pos="794"/>
          <w:tab w:val="clear" w:pos="1191"/>
          <w:tab w:val="clear" w:pos="1588"/>
          <w:tab w:val="clear" w:pos="1985"/>
          <w:tab w:val="left" w:pos="709"/>
          <w:tab w:val="left" w:pos="1560"/>
          <w:tab w:val="left" w:pos="1871"/>
          <w:tab w:val="left" w:pos="2608"/>
          <w:tab w:val="left" w:pos="3345"/>
        </w:tabs>
        <w:spacing w:before="0"/>
        <w:ind w:left="0"/>
      </w:pPr>
    </w:p>
    <w:p w:rsidR="0094765C" w:rsidRDefault="001E6E88" w:rsidP="007C5B1D">
      <w:pPr>
        <w:pStyle w:val="ListParagraph"/>
        <w:numPr>
          <w:ilvl w:val="0"/>
          <w:numId w:val="5"/>
        </w:numPr>
        <w:tabs>
          <w:tab w:val="clear" w:pos="794"/>
          <w:tab w:val="clear" w:pos="1191"/>
          <w:tab w:val="clear" w:pos="1588"/>
          <w:tab w:val="clear" w:pos="1985"/>
          <w:tab w:val="left" w:pos="709"/>
          <w:tab w:val="left" w:pos="1871"/>
          <w:tab w:val="left" w:pos="2608"/>
          <w:tab w:val="left" w:pos="3345"/>
        </w:tabs>
        <w:spacing w:before="240"/>
        <w:ind w:left="0" w:firstLine="0"/>
      </w:pPr>
      <w:r>
        <w:t xml:space="preserve">In addition to the revisions of </w:t>
      </w:r>
      <w:proofErr w:type="spellStart"/>
      <w:r>
        <w:t>Nos</w:t>
      </w:r>
      <w:proofErr w:type="spellEnd"/>
      <w:r>
        <w:t xml:space="preserve"> 11.44, 11.44.1, 11.44B and 11.49, WRC-12 approved as decisions of the conference the following texts:</w:t>
      </w:r>
    </w:p>
    <w:p w:rsidR="001E6E88" w:rsidRDefault="001E6E88" w:rsidP="003F54CD">
      <w:pPr>
        <w:tabs>
          <w:tab w:val="clear" w:pos="794"/>
          <w:tab w:val="clear" w:pos="1191"/>
          <w:tab w:val="clear" w:pos="1588"/>
          <w:tab w:val="clear" w:pos="1985"/>
          <w:tab w:val="left" w:pos="1134"/>
          <w:tab w:val="left" w:pos="1871"/>
          <w:tab w:val="left" w:pos="2268"/>
        </w:tabs>
        <w:spacing w:before="240"/>
        <w:rPr>
          <w:rFonts w:eastAsia="SimSun"/>
          <w:lang w:eastAsia="zh-CN"/>
        </w:rPr>
      </w:pPr>
      <w:r w:rsidRPr="001E6E88">
        <w:rPr>
          <w:rFonts w:eastAsia="SimSun"/>
          <w:lang w:eastAsia="zh-CN"/>
        </w:rPr>
        <w:t xml:space="preserve">“In case of a satellite failure, especially that of a newly launched satellite, during the ninety-day bringing into use period that renders the satellite technically incapable of operating in a given frequency band, </w:t>
      </w:r>
      <w:r w:rsidRPr="001E6E88">
        <w:rPr>
          <w:color w:val="000000"/>
        </w:rPr>
        <w:t>the notifying administration</w:t>
      </w:r>
      <w:r w:rsidRPr="001E6E88">
        <w:rPr>
          <w:rFonts w:eastAsia="SimSun"/>
          <w:lang w:eastAsia="zh-CN"/>
        </w:rPr>
        <w:t xml:space="preserve"> may submit the case to the Board for its consideration and careful investigation, taking into account all supporting materials, including details on the satellite that failed, to enable the Board to decide on the matter, as appropriate. In considering such a matter, the Board may determine on a case-by-case basis whether it is appropriate to apply the provisions of No. 11.49 to the relevant frequency assignments in this case. </w:t>
      </w:r>
      <w:r w:rsidR="00886D6D">
        <w:rPr>
          <w:rFonts w:eastAsia="SimSun"/>
          <w:lang w:eastAsia="zh-CN"/>
        </w:rPr>
        <w:br/>
      </w:r>
      <w:r w:rsidRPr="001E6E88">
        <w:rPr>
          <w:rFonts w:eastAsia="SimSun"/>
          <w:lang w:eastAsia="zh-CN"/>
        </w:rPr>
        <w:t>The ITU-R is invited to study, as a matter of urgency, to determine what regulatory changes, if any, should be made to the RR under agenda item 7 for WRC-15 to address the issues above.</w:t>
      </w:r>
      <w:r w:rsidR="00886D6D">
        <w:rPr>
          <w:rFonts w:eastAsia="SimSun"/>
          <w:lang w:eastAsia="zh-CN"/>
        </w:rPr>
        <w:br/>
      </w:r>
      <w:r w:rsidRPr="001E6E88">
        <w:rPr>
          <w:rFonts w:eastAsia="SimSun"/>
          <w:lang w:eastAsia="zh-CN"/>
        </w:rPr>
        <w:t xml:space="preserve">In parallel with the above ITU-R study activity, the Board is instructed to consider the development of a </w:t>
      </w:r>
      <w:proofErr w:type="spellStart"/>
      <w:r w:rsidRPr="001E6E88">
        <w:rPr>
          <w:rFonts w:eastAsia="SimSun"/>
          <w:lang w:eastAsia="zh-CN"/>
        </w:rPr>
        <w:t>RoP</w:t>
      </w:r>
      <w:proofErr w:type="spellEnd"/>
      <w:r w:rsidRPr="001E6E88">
        <w:rPr>
          <w:rFonts w:eastAsia="SimSun"/>
          <w:lang w:eastAsia="zh-CN"/>
        </w:rPr>
        <w:t xml:space="preserve"> taking into account the results of the ITU-R studies, if they become available, to cover the period between WRC-12 and WRC-15.”</w:t>
      </w:r>
      <w:r w:rsidR="003F54CD" w:rsidRPr="003F54CD">
        <w:rPr>
          <w:lang w:val="en-US"/>
        </w:rPr>
        <w:t xml:space="preserve"> </w:t>
      </w:r>
      <w:r w:rsidR="003F54CD">
        <w:rPr>
          <w:lang w:val="en-US"/>
        </w:rPr>
        <w:t>(§9.1 Doc. CMR12/554)</w:t>
      </w:r>
    </w:p>
    <w:p w:rsidR="001E6E88" w:rsidRDefault="001E6E88" w:rsidP="003F54CD">
      <w:pPr>
        <w:tabs>
          <w:tab w:val="clear" w:pos="794"/>
          <w:tab w:val="clear" w:pos="1191"/>
          <w:tab w:val="clear" w:pos="1588"/>
          <w:tab w:val="clear" w:pos="1985"/>
          <w:tab w:val="left" w:pos="851"/>
          <w:tab w:val="left" w:pos="1871"/>
          <w:tab w:val="left" w:pos="2608"/>
          <w:tab w:val="left" w:pos="3345"/>
        </w:tabs>
        <w:spacing w:before="240"/>
      </w:pPr>
      <w:r>
        <w:lastRenderedPageBreak/>
        <w:t>“</w:t>
      </w:r>
      <w:r w:rsidRPr="00B74D31">
        <w:t xml:space="preserve">WRC-12 recognizes that the issue of using one space station to bring frequency assignments at different orbital locations into use within a short period of time was not the intent of these new provisions, and ways to address this issue require study. WRC-12 took significant steps in this regard with changes to bringing into use and suspension provisions, as well as to </w:t>
      </w:r>
      <w:r>
        <w:t>No. </w:t>
      </w:r>
      <w:r w:rsidRPr="00B74D31">
        <w:t>13.6. In examining this issue, it must be emphasized that there are legitimate reasons why an administration or operator may need to move a spacecraft from one orbital position to a new orbital position, and care should be taken not to constrain the legitimate use of fleet manoeuvres and management. Nevertheless, administrations are encouraged to examine their own national regulatory provisions to ensure that opportunities for abusive practices are minimized. Until ITU-R studies are completed, where an administration brings into use frequency assignments at a given orbital location using an already in-orbit satellite, the BR is requested to make an enquiry to that administration as to the last previous orbital location/frequency assignments brought into use with that satellite and make such information available.</w:t>
      </w:r>
      <w:r>
        <w:t>”</w:t>
      </w:r>
      <w:r w:rsidR="003F54CD" w:rsidRPr="003F54CD">
        <w:rPr>
          <w:lang w:val="en-US"/>
        </w:rPr>
        <w:t xml:space="preserve"> </w:t>
      </w:r>
      <w:r w:rsidR="003F54CD">
        <w:rPr>
          <w:lang w:val="en-US"/>
        </w:rPr>
        <w:t>(§9.2 Doc. CMR12/554)</w:t>
      </w:r>
    </w:p>
    <w:p w:rsidR="00156F75" w:rsidRDefault="00156F75" w:rsidP="00A2653E">
      <w:pPr>
        <w:pStyle w:val="NoSpacing"/>
        <w:tabs>
          <w:tab w:val="clear" w:pos="794"/>
          <w:tab w:val="left" w:pos="709"/>
        </w:tabs>
        <w:spacing w:before="240"/>
        <w:ind w:firstLine="709"/>
        <w:rPr>
          <w:rFonts w:asciiTheme="majorBidi" w:hAnsiTheme="majorBidi" w:cstheme="majorBidi"/>
          <w:szCs w:val="24"/>
          <w:lang w:val="en-US"/>
        </w:rPr>
      </w:pPr>
      <w:r w:rsidRPr="00D40E4D">
        <w:rPr>
          <w:rFonts w:asciiTheme="majorBidi" w:hAnsiTheme="majorBidi" w:cstheme="majorBidi"/>
          <w:szCs w:val="24"/>
          <w:lang w:val="en-US"/>
        </w:rPr>
        <w:t>The Bureau remains at the disposal of your administration for any clarification you may require with respect to the subjects covered in this Circular Letter.</w:t>
      </w:r>
    </w:p>
    <w:p w:rsidR="009B15ED" w:rsidRDefault="009B15ED" w:rsidP="00775B37">
      <w:pPr>
        <w:pStyle w:val="NoSpacing"/>
        <w:spacing w:before="120"/>
        <w:rPr>
          <w:rFonts w:asciiTheme="majorBidi" w:hAnsiTheme="majorBidi" w:cstheme="majorBidi"/>
          <w:szCs w:val="24"/>
          <w:lang w:val="en-US"/>
        </w:rPr>
      </w:pPr>
    </w:p>
    <w:p w:rsidR="009B15ED" w:rsidRDefault="009B15ED" w:rsidP="00775B37">
      <w:pPr>
        <w:pStyle w:val="NoSpacing"/>
        <w:spacing w:before="120"/>
        <w:rPr>
          <w:rFonts w:asciiTheme="majorBidi" w:hAnsiTheme="majorBidi" w:cstheme="majorBidi"/>
          <w:szCs w:val="24"/>
          <w:lang w:val="en-US"/>
        </w:rPr>
      </w:pPr>
    </w:p>
    <w:p w:rsidR="009B15ED" w:rsidRPr="00ED7BBA" w:rsidRDefault="009B15ED" w:rsidP="00775B37">
      <w:pPr>
        <w:pStyle w:val="NoSpacing"/>
        <w:spacing w:before="120"/>
        <w:rPr>
          <w:rFonts w:asciiTheme="majorBidi" w:hAnsiTheme="majorBidi" w:cstheme="majorBidi"/>
          <w:szCs w:val="24"/>
          <w:lang w:val="en-US"/>
        </w:rPr>
      </w:pPr>
    </w:p>
    <w:p w:rsidR="00156F75" w:rsidRPr="00ED7BBA" w:rsidRDefault="00156F75" w:rsidP="00156F75">
      <w:pPr>
        <w:tabs>
          <w:tab w:val="clear" w:pos="794"/>
          <w:tab w:val="clear" w:pos="1191"/>
          <w:tab w:val="clear" w:pos="1588"/>
          <w:tab w:val="clear" w:pos="1985"/>
          <w:tab w:val="center" w:pos="7140"/>
        </w:tabs>
      </w:pPr>
      <w:r w:rsidRPr="00ED7BBA">
        <w:tab/>
        <w:t>Yours faithfully,</w:t>
      </w:r>
      <w:r w:rsidRPr="00ED7BBA">
        <w:br/>
      </w:r>
    </w:p>
    <w:p w:rsidR="00156F75" w:rsidRPr="00ED7BBA" w:rsidRDefault="00156F75" w:rsidP="007F29AA">
      <w:pPr>
        <w:tabs>
          <w:tab w:val="clear" w:pos="794"/>
          <w:tab w:val="clear" w:pos="1191"/>
          <w:tab w:val="clear" w:pos="1588"/>
          <w:tab w:val="clear" w:pos="1985"/>
          <w:tab w:val="center" w:pos="7140"/>
        </w:tabs>
        <w:spacing w:before="720"/>
      </w:pPr>
      <w:r w:rsidRPr="00ED7BBA">
        <w:tab/>
      </w:r>
      <w:r w:rsidR="007F29AA" w:rsidRPr="00ED7BBA">
        <w:t>F. Rancy</w:t>
      </w:r>
      <w:r w:rsidRPr="00ED7BBA">
        <w:br/>
      </w:r>
      <w:r w:rsidRPr="00ED7BBA">
        <w:tab/>
        <w:t xml:space="preserve">Director, </w:t>
      </w:r>
      <w:proofErr w:type="spellStart"/>
      <w:r w:rsidRPr="00ED7BBA">
        <w:t>Radiocommunication</w:t>
      </w:r>
      <w:proofErr w:type="spellEnd"/>
      <w:r w:rsidRPr="00ED7BBA">
        <w:t xml:space="preserve"> Bureau</w:t>
      </w:r>
    </w:p>
    <w:p w:rsidR="00156F75" w:rsidRPr="00ED7BBA" w:rsidRDefault="00156F75" w:rsidP="00156F75"/>
    <w:p w:rsidR="00156F75" w:rsidRPr="00ED7BBA" w:rsidRDefault="00156F75" w:rsidP="00156F75"/>
    <w:p w:rsidR="00156F75" w:rsidRPr="00ED7BBA" w:rsidRDefault="00156F75" w:rsidP="00156F75"/>
    <w:p w:rsidR="00156F75" w:rsidRPr="00ED7BBA" w:rsidRDefault="00156F75" w:rsidP="00156F75"/>
    <w:p w:rsidR="00156F75" w:rsidRPr="00ED7BBA" w:rsidRDefault="00156F75" w:rsidP="00156F75">
      <w:pPr>
        <w:pStyle w:val="toc0"/>
        <w:tabs>
          <w:tab w:val="left" w:pos="794"/>
          <w:tab w:val="left" w:pos="1191"/>
          <w:tab w:val="left" w:pos="1588"/>
          <w:tab w:val="left" w:pos="1985"/>
        </w:tabs>
        <w:spacing w:before="480"/>
        <w:jc w:val="both"/>
        <w:rPr>
          <w:bCs/>
          <w:sz w:val="18"/>
          <w:szCs w:val="18"/>
        </w:rPr>
      </w:pPr>
      <w:bookmarkStart w:id="5" w:name="ddistribution"/>
      <w:bookmarkEnd w:id="5"/>
      <w:r w:rsidRPr="00ED7BBA">
        <w:rPr>
          <w:bCs/>
          <w:sz w:val="18"/>
          <w:szCs w:val="18"/>
        </w:rPr>
        <w:t>Distribution:</w:t>
      </w:r>
    </w:p>
    <w:p w:rsidR="00156F75" w:rsidRPr="00ED7BBA" w:rsidRDefault="00156F75" w:rsidP="00156F75">
      <w:pPr>
        <w:pStyle w:val="enumlev1"/>
        <w:tabs>
          <w:tab w:val="clear" w:pos="794"/>
          <w:tab w:val="left" w:pos="284"/>
        </w:tabs>
        <w:rPr>
          <w:sz w:val="18"/>
          <w:szCs w:val="18"/>
        </w:rPr>
      </w:pPr>
      <w:r w:rsidRPr="00ED7BBA">
        <w:rPr>
          <w:sz w:val="18"/>
          <w:szCs w:val="18"/>
        </w:rPr>
        <w:t>–</w:t>
      </w:r>
      <w:r w:rsidRPr="00ED7BBA">
        <w:rPr>
          <w:sz w:val="18"/>
          <w:szCs w:val="18"/>
        </w:rPr>
        <w:tab/>
        <w:t>Administrations of Member States of ITU</w:t>
      </w:r>
    </w:p>
    <w:p w:rsidR="00156F75" w:rsidRPr="008D4874" w:rsidRDefault="00156F75" w:rsidP="00156F75">
      <w:pPr>
        <w:pStyle w:val="enumlev1"/>
        <w:tabs>
          <w:tab w:val="clear" w:pos="794"/>
          <w:tab w:val="left" w:pos="284"/>
        </w:tabs>
        <w:spacing w:before="0"/>
        <w:rPr>
          <w:sz w:val="18"/>
          <w:szCs w:val="18"/>
        </w:rPr>
      </w:pPr>
      <w:r w:rsidRPr="00ED7BBA">
        <w:rPr>
          <w:sz w:val="18"/>
          <w:szCs w:val="18"/>
        </w:rPr>
        <w:t>–</w:t>
      </w:r>
      <w:r w:rsidRPr="00ED7BBA">
        <w:rPr>
          <w:sz w:val="18"/>
          <w:szCs w:val="18"/>
        </w:rPr>
        <w:tab/>
        <w:t>Members of the Radio Regulations Board</w:t>
      </w:r>
    </w:p>
    <w:sectPr w:rsidR="00156F75" w:rsidRPr="008D4874" w:rsidSect="00886D6D">
      <w:headerReference w:type="default" r:id="rId10"/>
      <w:footerReference w:type="first" r:id="rId11"/>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D6" w:rsidRDefault="002909D6">
      <w:pPr>
        <w:spacing w:before="0"/>
      </w:pPr>
      <w:r>
        <w:separator/>
      </w:r>
    </w:p>
  </w:endnote>
  <w:endnote w:type="continuationSeparator" w:id="0">
    <w:p w:rsidR="002909D6" w:rsidRDefault="002909D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Futura L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41"/>
      <w:gridCol w:w="3068"/>
      <w:gridCol w:w="2360"/>
      <w:gridCol w:w="2384"/>
    </w:tblGrid>
    <w:tr w:rsidR="002909D6" w:rsidTr="00411553">
      <w:trPr>
        <w:cantSplit/>
      </w:trPr>
      <w:tc>
        <w:tcPr>
          <w:tcW w:w="1051" w:type="pct"/>
          <w:tcBorders>
            <w:top w:val="single" w:sz="6" w:space="0" w:color="auto"/>
          </w:tcBorders>
          <w:tcMar>
            <w:top w:w="57" w:type="dxa"/>
          </w:tcMar>
        </w:tcPr>
        <w:p w:rsidR="002909D6" w:rsidRDefault="002909D6">
          <w:pPr>
            <w:pStyle w:val="itu"/>
          </w:pPr>
          <w:r>
            <w:t>Place des Nations</w:t>
          </w:r>
        </w:p>
      </w:tc>
      <w:tc>
        <w:tcPr>
          <w:tcW w:w="1572" w:type="pct"/>
          <w:tcBorders>
            <w:top w:val="single" w:sz="6" w:space="0" w:color="auto"/>
          </w:tcBorders>
          <w:tcMar>
            <w:top w:w="57" w:type="dxa"/>
          </w:tcMar>
        </w:tcPr>
        <w:p w:rsidR="002909D6" w:rsidRDefault="002909D6">
          <w:pPr>
            <w:pStyle w:val="itu"/>
          </w:pPr>
          <w:r>
            <w:t>Telephone</w:t>
          </w:r>
          <w:r>
            <w:tab/>
            <w:t>+41 22 730 51 11</w:t>
          </w:r>
        </w:p>
      </w:tc>
      <w:tc>
        <w:tcPr>
          <w:tcW w:w="1213" w:type="pct"/>
          <w:tcBorders>
            <w:top w:val="single" w:sz="6" w:space="0" w:color="auto"/>
          </w:tcBorders>
          <w:tcMar>
            <w:top w:w="57" w:type="dxa"/>
          </w:tcMar>
        </w:tcPr>
        <w:p w:rsidR="002909D6" w:rsidRDefault="002909D6">
          <w:pPr>
            <w:pStyle w:val="itu"/>
          </w:pPr>
          <w:r>
            <w:t xml:space="preserve">Telex 421 000 </w:t>
          </w:r>
          <w:proofErr w:type="spellStart"/>
          <w:r>
            <w:t>uit</w:t>
          </w:r>
          <w:proofErr w:type="spellEnd"/>
          <w:r>
            <w:t xml:space="preserve"> </w:t>
          </w:r>
          <w:proofErr w:type="spellStart"/>
          <w:r>
            <w:t>ch</w:t>
          </w:r>
          <w:proofErr w:type="spellEnd"/>
        </w:p>
      </w:tc>
      <w:tc>
        <w:tcPr>
          <w:tcW w:w="1163" w:type="pct"/>
          <w:tcBorders>
            <w:top w:val="single" w:sz="6" w:space="0" w:color="auto"/>
          </w:tcBorders>
          <w:tcMar>
            <w:top w:w="57" w:type="dxa"/>
          </w:tcMar>
        </w:tcPr>
        <w:p w:rsidR="002909D6" w:rsidRDefault="002909D6">
          <w:pPr>
            <w:pStyle w:val="itu"/>
          </w:pPr>
          <w:r>
            <w:t>E-mail:</w:t>
          </w:r>
          <w:r>
            <w:tab/>
            <w:t>itumail@itu.int</w:t>
          </w:r>
        </w:p>
      </w:tc>
    </w:tr>
    <w:tr w:rsidR="002909D6" w:rsidTr="00411553">
      <w:trPr>
        <w:cantSplit/>
      </w:trPr>
      <w:tc>
        <w:tcPr>
          <w:tcW w:w="1051" w:type="pct"/>
        </w:tcPr>
        <w:p w:rsidR="002909D6" w:rsidRDefault="002909D6">
          <w:pPr>
            <w:pStyle w:val="itu"/>
          </w:pPr>
          <w:r>
            <w:t>CH-1211 Geneva 20</w:t>
          </w:r>
        </w:p>
      </w:tc>
      <w:tc>
        <w:tcPr>
          <w:tcW w:w="1572" w:type="pct"/>
        </w:tcPr>
        <w:p w:rsidR="002909D6" w:rsidRDefault="002909D6">
          <w:pPr>
            <w:pStyle w:val="itu"/>
          </w:pPr>
          <w:r>
            <w:t>Telefax</w:t>
          </w:r>
          <w:r>
            <w:tab/>
            <w:t>Gr3:</w:t>
          </w:r>
          <w:r>
            <w:tab/>
            <w:t>+41 22 733 72 56</w:t>
          </w:r>
        </w:p>
      </w:tc>
      <w:tc>
        <w:tcPr>
          <w:tcW w:w="1213" w:type="pct"/>
        </w:tcPr>
        <w:p w:rsidR="002909D6" w:rsidRDefault="002909D6">
          <w:pPr>
            <w:pStyle w:val="itu"/>
          </w:pPr>
          <w:r>
            <w:t>Telegram ITU GENEVE</w:t>
          </w:r>
        </w:p>
      </w:tc>
      <w:tc>
        <w:tcPr>
          <w:tcW w:w="1163" w:type="pct"/>
        </w:tcPr>
        <w:p w:rsidR="002909D6" w:rsidRDefault="002909D6">
          <w:pPr>
            <w:pStyle w:val="itu"/>
          </w:pPr>
          <w:r>
            <w:tab/>
          </w:r>
          <w:hyperlink r:id="rId1" w:history="1">
            <w:r>
              <w:t>http://www.itu.int/</w:t>
            </w:r>
          </w:hyperlink>
        </w:p>
      </w:tc>
    </w:tr>
    <w:tr w:rsidR="002909D6" w:rsidTr="00411553">
      <w:trPr>
        <w:cantSplit/>
      </w:trPr>
      <w:tc>
        <w:tcPr>
          <w:tcW w:w="1051" w:type="pct"/>
        </w:tcPr>
        <w:p w:rsidR="002909D6" w:rsidRDefault="002909D6">
          <w:pPr>
            <w:pStyle w:val="itu"/>
          </w:pPr>
          <w:r>
            <w:t>Switzerland</w:t>
          </w:r>
        </w:p>
      </w:tc>
      <w:tc>
        <w:tcPr>
          <w:tcW w:w="1572" w:type="pct"/>
        </w:tcPr>
        <w:p w:rsidR="002909D6" w:rsidRDefault="002909D6">
          <w:pPr>
            <w:pStyle w:val="itu"/>
          </w:pPr>
          <w:r>
            <w:tab/>
            <w:t>Gr4:</w:t>
          </w:r>
          <w:r>
            <w:tab/>
            <w:t>+41 22 730 65 00</w:t>
          </w:r>
        </w:p>
      </w:tc>
      <w:tc>
        <w:tcPr>
          <w:tcW w:w="1213" w:type="pct"/>
        </w:tcPr>
        <w:p w:rsidR="002909D6" w:rsidRDefault="002909D6">
          <w:pPr>
            <w:pStyle w:val="itu"/>
          </w:pPr>
        </w:p>
      </w:tc>
      <w:tc>
        <w:tcPr>
          <w:tcW w:w="1163" w:type="pct"/>
        </w:tcPr>
        <w:p w:rsidR="002909D6" w:rsidRDefault="002909D6">
          <w:pPr>
            <w:pStyle w:val="itu"/>
          </w:pPr>
        </w:p>
      </w:tc>
    </w:tr>
  </w:tbl>
  <w:p w:rsidR="002909D6" w:rsidRPr="00411553" w:rsidRDefault="002909D6" w:rsidP="00F55CE9">
    <w:pPr>
      <w:spacing w:before="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D6" w:rsidRDefault="002909D6">
      <w:pPr>
        <w:spacing w:before="0"/>
      </w:pPr>
      <w:r>
        <w:separator/>
      </w:r>
    </w:p>
  </w:footnote>
  <w:footnote w:type="continuationSeparator" w:id="0">
    <w:p w:rsidR="002909D6" w:rsidRDefault="002909D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D6" w:rsidRDefault="002909D6">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A5B03">
      <w:rPr>
        <w:rStyle w:val="PageNumber"/>
        <w:noProof/>
      </w:rPr>
      <w:t>3</w:t>
    </w:r>
    <w:r>
      <w:rPr>
        <w:rStyle w:val="PageNumber"/>
      </w:rPr>
      <w:fldChar w:fldCharType="end"/>
    </w:r>
    <w:r>
      <w:rPr>
        <w:rStyle w:val="PageNumber"/>
      </w:rPr>
      <w:t xml:space="preserve"> -</w:t>
    </w:r>
  </w:p>
  <w:p w:rsidR="002909D6" w:rsidRPr="001E15AA" w:rsidRDefault="002909D6" w:rsidP="00C6100E">
    <w:pPr>
      <w:pStyle w:val="Header"/>
      <w:rPr>
        <w:lang w:val="en-US"/>
      </w:rPr>
    </w:pPr>
    <w:r>
      <w:rPr>
        <w:lang w:val="en-US"/>
      </w:rPr>
      <w:t>CR/333-E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70F03"/>
    <w:multiLevelType w:val="hybridMultilevel"/>
    <w:tmpl w:val="387A0C56"/>
    <w:lvl w:ilvl="0" w:tplc="FFFFFFFF">
      <w:start w:val="1"/>
      <w:numFmt w:val="bullet"/>
      <w:lvlText w:val=""/>
      <w:legacy w:legacy="1" w:legacySpace="0" w:legacyIndent="283"/>
      <w:lvlJc w:val="left"/>
      <w:pPr>
        <w:ind w:left="850" w:hanging="283"/>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205CC3"/>
    <w:multiLevelType w:val="hybridMultilevel"/>
    <w:tmpl w:val="D1041632"/>
    <w:lvl w:ilvl="0" w:tplc="C7361ADA">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7F56AB"/>
    <w:multiLevelType w:val="hybridMultilevel"/>
    <w:tmpl w:val="91C8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955087"/>
    <w:multiLevelType w:val="hybridMultilevel"/>
    <w:tmpl w:val="EA208ECA"/>
    <w:lvl w:ilvl="0" w:tplc="5F6C057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81D6B"/>
    <w:multiLevelType w:val="hybridMultilevel"/>
    <w:tmpl w:val="84F8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75"/>
    <w:rsid w:val="00075FB6"/>
    <w:rsid w:val="000B76B6"/>
    <w:rsid w:val="000D494D"/>
    <w:rsid w:val="0010144B"/>
    <w:rsid w:val="001366B9"/>
    <w:rsid w:val="00152A01"/>
    <w:rsid w:val="00156F75"/>
    <w:rsid w:val="001910BA"/>
    <w:rsid w:val="001A4ACE"/>
    <w:rsid w:val="001D1DA1"/>
    <w:rsid w:val="001E6E88"/>
    <w:rsid w:val="001F2D14"/>
    <w:rsid w:val="0020360C"/>
    <w:rsid w:val="002150D9"/>
    <w:rsid w:val="002452DA"/>
    <w:rsid w:val="00257034"/>
    <w:rsid w:val="00267D0A"/>
    <w:rsid w:val="002909D6"/>
    <w:rsid w:val="002920D5"/>
    <w:rsid w:val="0031407C"/>
    <w:rsid w:val="003254B9"/>
    <w:rsid w:val="003527B0"/>
    <w:rsid w:val="003A3DA2"/>
    <w:rsid w:val="003A735D"/>
    <w:rsid w:val="003F47FF"/>
    <w:rsid w:val="003F54CD"/>
    <w:rsid w:val="00402B63"/>
    <w:rsid w:val="00411553"/>
    <w:rsid w:val="00422157"/>
    <w:rsid w:val="00426D0C"/>
    <w:rsid w:val="00452A61"/>
    <w:rsid w:val="00457483"/>
    <w:rsid w:val="004620EC"/>
    <w:rsid w:val="0047312C"/>
    <w:rsid w:val="004D4143"/>
    <w:rsid w:val="00527793"/>
    <w:rsid w:val="00530A55"/>
    <w:rsid w:val="00537355"/>
    <w:rsid w:val="005427BE"/>
    <w:rsid w:val="00555202"/>
    <w:rsid w:val="005A3C1A"/>
    <w:rsid w:val="005B716B"/>
    <w:rsid w:val="005E3AB2"/>
    <w:rsid w:val="005F16A8"/>
    <w:rsid w:val="00641F3A"/>
    <w:rsid w:val="00654236"/>
    <w:rsid w:val="00682635"/>
    <w:rsid w:val="006939E1"/>
    <w:rsid w:val="006D2B5D"/>
    <w:rsid w:val="006E1CC3"/>
    <w:rsid w:val="0073082A"/>
    <w:rsid w:val="00767555"/>
    <w:rsid w:val="00775B37"/>
    <w:rsid w:val="00786226"/>
    <w:rsid w:val="007960EC"/>
    <w:rsid w:val="007C3066"/>
    <w:rsid w:val="007C5B1D"/>
    <w:rsid w:val="007F29AA"/>
    <w:rsid w:val="007F6FC6"/>
    <w:rsid w:val="00825280"/>
    <w:rsid w:val="00826AA4"/>
    <w:rsid w:val="0087737D"/>
    <w:rsid w:val="00882E50"/>
    <w:rsid w:val="00886D6D"/>
    <w:rsid w:val="0089629A"/>
    <w:rsid w:val="008A6D8D"/>
    <w:rsid w:val="008B07CA"/>
    <w:rsid w:val="008D6825"/>
    <w:rsid w:val="0094765C"/>
    <w:rsid w:val="00980BD1"/>
    <w:rsid w:val="0098141B"/>
    <w:rsid w:val="00986F1A"/>
    <w:rsid w:val="009A5B03"/>
    <w:rsid w:val="009A79E9"/>
    <w:rsid w:val="009B15ED"/>
    <w:rsid w:val="009B270F"/>
    <w:rsid w:val="009C32CF"/>
    <w:rsid w:val="00A0312F"/>
    <w:rsid w:val="00A06F28"/>
    <w:rsid w:val="00A17B5A"/>
    <w:rsid w:val="00A2653E"/>
    <w:rsid w:val="00A27EC3"/>
    <w:rsid w:val="00A321D5"/>
    <w:rsid w:val="00A37F46"/>
    <w:rsid w:val="00A95249"/>
    <w:rsid w:val="00AA7AF2"/>
    <w:rsid w:val="00AC2C49"/>
    <w:rsid w:val="00AC4E7B"/>
    <w:rsid w:val="00AD088B"/>
    <w:rsid w:val="00AD6193"/>
    <w:rsid w:val="00AF5ECD"/>
    <w:rsid w:val="00BB1182"/>
    <w:rsid w:val="00BB665D"/>
    <w:rsid w:val="00BF031F"/>
    <w:rsid w:val="00C27528"/>
    <w:rsid w:val="00C6100E"/>
    <w:rsid w:val="00C8049D"/>
    <w:rsid w:val="00C928E8"/>
    <w:rsid w:val="00CC0098"/>
    <w:rsid w:val="00CD1009"/>
    <w:rsid w:val="00CE4CE9"/>
    <w:rsid w:val="00D40E4D"/>
    <w:rsid w:val="00D557D4"/>
    <w:rsid w:val="00D62227"/>
    <w:rsid w:val="00D72D73"/>
    <w:rsid w:val="00D80617"/>
    <w:rsid w:val="00DA5299"/>
    <w:rsid w:val="00DD1881"/>
    <w:rsid w:val="00DE2387"/>
    <w:rsid w:val="00DF6F07"/>
    <w:rsid w:val="00E3664D"/>
    <w:rsid w:val="00E47027"/>
    <w:rsid w:val="00E479CC"/>
    <w:rsid w:val="00E53528"/>
    <w:rsid w:val="00E61478"/>
    <w:rsid w:val="00E617D4"/>
    <w:rsid w:val="00E65DC6"/>
    <w:rsid w:val="00ED08A1"/>
    <w:rsid w:val="00ED7BBA"/>
    <w:rsid w:val="00ED7F0E"/>
    <w:rsid w:val="00F35DCA"/>
    <w:rsid w:val="00F3694F"/>
    <w:rsid w:val="00F55CE9"/>
    <w:rsid w:val="00F82AB2"/>
    <w:rsid w:val="00F953EC"/>
    <w:rsid w:val="00FB7F26"/>
    <w:rsid w:val="00FF10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7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ref">
    <w:name w:val="App_ref"/>
    <w:basedOn w:val="DefaultParagraphFont"/>
    <w:rsid w:val="00156F75"/>
  </w:style>
  <w:style w:type="character" w:styleId="PageNumber">
    <w:name w:val="page number"/>
    <w:basedOn w:val="DefaultParagraphFont"/>
    <w:rsid w:val="00156F75"/>
  </w:style>
  <w:style w:type="paragraph" w:customStyle="1" w:styleId="enumlev1">
    <w:name w:val="enumlev1"/>
    <w:basedOn w:val="Normal"/>
    <w:rsid w:val="00156F75"/>
    <w:pPr>
      <w:spacing w:before="80"/>
      <w:ind w:left="794" w:hanging="794"/>
    </w:pPr>
  </w:style>
  <w:style w:type="paragraph" w:styleId="Footer">
    <w:name w:val="footer"/>
    <w:basedOn w:val="Normal"/>
    <w:link w:val="FooterChar"/>
    <w:rsid w:val="00156F75"/>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156F75"/>
    <w:rPr>
      <w:rFonts w:ascii="Times New Roman" w:eastAsia="Times New Roman" w:hAnsi="Times New Roman" w:cs="Times New Roman"/>
      <w:caps/>
      <w:noProof/>
      <w:sz w:val="16"/>
      <w:szCs w:val="20"/>
      <w:lang w:val="en-GB" w:eastAsia="en-US"/>
    </w:rPr>
  </w:style>
  <w:style w:type="paragraph" w:styleId="Header">
    <w:name w:val="header"/>
    <w:basedOn w:val="Normal"/>
    <w:link w:val="HeaderChar"/>
    <w:rsid w:val="00156F75"/>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156F75"/>
    <w:rPr>
      <w:rFonts w:ascii="Times New Roman" w:eastAsia="Times New Roman" w:hAnsi="Times New Roman" w:cs="Times New Roman"/>
      <w:sz w:val="18"/>
      <w:szCs w:val="20"/>
      <w:lang w:val="en-GB" w:eastAsia="en-US"/>
    </w:rPr>
  </w:style>
  <w:style w:type="paragraph" w:customStyle="1" w:styleId="itu">
    <w:name w:val="itu"/>
    <w:basedOn w:val="Normal"/>
    <w:rsid w:val="00156F75"/>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toc0">
    <w:name w:val="toc 0"/>
    <w:basedOn w:val="Normal"/>
    <w:next w:val="TOC1"/>
    <w:rsid w:val="00156F75"/>
    <w:pPr>
      <w:tabs>
        <w:tab w:val="clear" w:pos="794"/>
        <w:tab w:val="clear" w:pos="1191"/>
        <w:tab w:val="clear" w:pos="1588"/>
        <w:tab w:val="clear" w:pos="1985"/>
        <w:tab w:val="right" w:pos="9639"/>
      </w:tabs>
    </w:pPr>
    <w:rPr>
      <w:b/>
    </w:rPr>
  </w:style>
  <w:style w:type="paragraph" w:customStyle="1" w:styleId="CharChar">
    <w:name w:val="Char Char"/>
    <w:basedOn w:val="Normal"/>
    <w:rsid w:val="00156F75"/>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styleId="TOC1">
    <w:name w:val="toc 1"/>
    <w:basedOn w:val="Normal"/>
    <w:next w:val="Normal"/>
    <w:autoRedefine/>
    <w:uiPriority w:val="39"/>
    <w:semiHidden/>
    <w:unhideWhenUsed/>
    <w:rsid w:val="00156F75"/>
    <w:pPr>
      <w:tabs>
        <w:tab w:val="clear" w:pos="794"/>
        <w:tab w:val="clear" w:pos="1191"/>
        <w:tab w:val="clear" w:pos="1588"/>
        <w:tab w:val="clear" w:pos="1985"/>
      </w:tabs>
      <w:spacing w:after="100"/>
    </w:pPr>
  </w:style>
  <w:style w:type="paragraph" w:styleId="BalloonText">
    <w:name w:val="Balloon Text"/>
    <w:basedOn w:val="Normal"/>
    <w:link w:val="BalloonTextChar"/>
    <w:uiPriority w:val="99"/>
    <w:semiHidden/>
    <w:unhideWhenUsed/>
    <w:rsid w:val="00156F7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75"/>
    <w:rPr>
      <w:rFonts w:ascii="Tahoma" w:eastAsia="Times New Roman" w:hAnsi="Tahoma" w:cs="Tahoma"/>
      <w:sz w:val="16"/>
      <w:szCs w:val="16"/>
      <w:lang w:val="en-GB" w:eastAsia="en-US"/>
    </w:rPr>
  </w:style>
  <w:style w:type="paragraph" w:styleId="NoSpacing">
    <w:name w:val="No Spacing"/>
    <w:uiPriority w:val="1"/>
    <w:qFormat/>
    <w:rsid w:val="001A4ACE"/>
    <w:pPr>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US"/>
    </w:rPr>
  </w:style>
  <w:style w:type="character" w:customStyle="1" w:styleId="Appdef">
    <w:name w:val="App_def"/>
    <w:basedOn w:val="DefaultParagraphFont"/>
    <w:rsid w:val="008A6D8D"/>
    <w:rPr>
      <w:rFonts w:ascii="Times New Roman" w:hAnsi="Times New Roman" w:cs="Times New Roman"/>
      <w:b/>
    </w:rPr>
  </w:style>
  <w:style w:type="paragraph" w:styleId="ListParagraph">
    <w:name w:val="List Paragraph"/>
    <w:basedOn w:val="Normal"/>
    <w:uiPriority w:val="34"/>
    <w:qFormat/>
    <w:rsid w:val="007C5B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7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ref">
    <w:name w:val="App_ref"/>
    <w:basedOn w:val="DefaultParagraphFont"/>
    <w:rsid w:val="00156F75"/>
  </w:style>
  <w:style w:type="character" w:styleId="PageNumber">
    <w:name w:val="page number"/>
    <w:basedOn w:val="DefaultParagraphFont"/>
    <w:rsid w:val="00156F75"/>
  </w:style>
  <w:style w:type="paragraph" w:customStyle="1" w:styleId="enumlev1">
    <w:name w:val="enumlev1"/>
    <w:basedOn w:val="Normal"/>
    <w:rsid w:val="00156F75"/>
    <w:pPr>
      <w:spacing w:before="80"/>
      <w:ind w:left="794" w:hanging="794"/>
    </w:pPr>
  </w:style>
  <w:style w:type="paragraph" w:styleId="Footer">
    <w:name w:val="footer"/>
    <w:basedOn w:val="Normal"/>
    <w:link w:val="FooterChar"/>
    <w:rsid w:val="00156F75"/>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156F75"/>
    <w:rPr>
      <w:rFonts w:ascii="Times New Roman" w:eastAsia="Times New Roman" w:hAnsi="Times New Roman" w:cs="Times New Roman"/>
      <w:caps/>
      <w:noProof/>
      <w:sz w:val="16"/>
      <w:szCs w:val="20"/>
      <w:lang w:val="en-GB" w:eastAsia="en-US"/>
    </w:rPr>
  </w:style>
  <w:style w:type="paragraph" w:styleId="Header">
    <w:name w:val="header"/>
    <w:basedOn w:val="Normal"/>
    <w:link w:val="HeaderChar"/>
    <w:rsid w:val="00156F75"/>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156F75"/>
    <w:rPr>
      <w:rFonts w:ascii="Times New Roman" w:eastAsia="Times New Roman" w:hAnsi="Times New Roman" w:cs="Times New Roman"/>
      <w:sz w:val="18"/>
      <w:szCs w:val="20"/>
      <w:lang w:val="en-GB" w:eastAsia="en-US"/>
    </w:rPr>
  </w:style>
  <w:style w:type="paragraph" w:customStyle="1" w:styleId="itu">
    <w:name w:val="itu"/>
    <w:basedOn w:val="Normal"/>
    <w:rsid w:val="00156F75"/>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toc0">
    <w:name w:val="toc 0"/>
    <w:basedOn w:val="Normal"/>
    <w:next w:val="TOC1"/>
    <w:rsid w:val="00156F75"/>
    <w:pPr>
      <w:tabs>
        <w:tab w:val="clear" w:pos="794"/>
        <w:tab w:val="clear" w:pos="1191"/>
        <w:tab w:val="clear" w:pos="1588"/>
        <w:tab w:val="clear" w:pos="1985"/>
        <w:tab w:val="right" w:pos="9639"/>
      </w:tabs>
    </w:pPr>
    <w:rPr>
      <w:b/>
    </w:rPr>
  </w:style>
  <w:style w:type="paragraph" w:customStyle="1" w:styleId="CharChar">
    <w:name w:val="Char Char"/>
    <w:basedOn w:val="Normal"/>
    <w:rsid w:val="00156F75"/>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styleId="TOC1">
    <w:name w:val="toc 1"/>
    <w:basedOn w:val="Normal"/>
    <w:next w:val="Normal"/>
    <w:autoRedefine/>
    <w:uiPriority w:val="39"/>
    <w:semiHidden/>
    <w:unhideWhenUsed/>
    <w:rsid w:val="00156F75"/>
    <w:pPr>
      <w:tabs>
        <w:tab w:val="clear" w:pos="794"/>
        <w:tab w:val="clear" w:pos="1191"/>
        <w:tab w:val="clear" w:pos="1588"/>
        <w:tab w:val="clear" w:pos="1985"/>
      </w:tabs>
      <w:spacing w:after="100"/>
    </w:pPr>
  </w:style>
  <w:style w:type="paragraph" w:styleId="BalloonText">
    <w:name w:val="Balloon Text"/>
    <w:basedOn w:val="Normal"/>
    <w:link w:val="BalloonTextChar"/>
    <w:uiPriority w:val="99"/>
    <w:semiHidden/>
    <w:unhideWhenUsed/>
    <w:rsid w:val="00156F7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75"/>
    <w:rPr>
      <w:rFonts w:ascii="Tahoma" w:eastAsia="Times New Roman" w:hAnsi="Tahoma" w:cs="Tahoma"/>
      <w:sz w:val="16"/>
      <w:szCs w:val="16"/>
      <w:lang w:val="en-GB" w:eastAsia="en-US"/>
    </w:rPr>
  </w:style>
  <w:style w:type="paragraph" w:styleId="NoSpacing">
    <w:name w:val="No Spacing"/>
    <w:uiPriority w:val="1"/>
    <w:qFormat/>
    <w:rsid w:val="001A4ACE"/>
    <w:pPr>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US"/>
    </w:rPr>
  </w:style>
  <w:style w:type="character" w:customStyle="1" w:styleId="Appdef">
    <w:name w:val="App_def"/>
    <w:basedOn w:val="DefaultParagraphFont"/>
    <w:rsid w:val="008A6D8D"/>
    <w:rPr>
      <w:rFonts w:ascii="Times New Roman" w:hAnsi="Times New Roman" w:cs="Times New Roman"/>
      <w:b/>
    </w:rPr>
  </w:style>
  <w:style w:type="paragraph" w:styleId="ListParagraph">
    <w:name w:val="List Paragraph"/>
    <w:basedOn w:val="Normal"/>
    <w:uiPriority w:val="34"/>
    <w:qFormat/>
    <w:rsid w:val="007C5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475F0-3EB4-4595-B13C-AAB7C4DD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marchett</cp:lastModifiedBy>
  <cp:revision>9</cp:revision>
  <cp:lastPrinted>2012-05-02T08:34:00Z</cp:lastPrinted>
  <dcterms:created xsi:type="dcterms:W3CDTF">2012-04-18T08:43:00Z</dcterms:created>
  <dcterms:modified xsi:type="dcterms:W3CDTF">2012-05-02T08:35:00Z</dcterms:modified>
</cp:coreProperties>
</file>