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bidiVisual/>
        <w:tblW w:w="0" w:type="auto"/>
        <w:tblLook w:val="01E0" w:firstRow="1" w:lastRow="1" w:firstColumn="1" w:lastColumn="1" w:noHBand="0" w:noVBand="0"/>
      </w:tblPr>
      <w:tblGrid>
        <w:gridCol w:w="8188"/>
        <w:gridCol w:w="1667"/>
      </w:tblGrid>
      <w:tr w:rsidR="00D35752" w:rsidRPr="00D35752" w:rsidTr="009832BD">
        <w:tc>
          <w:tcPr>
            <w:tcW w:w="8188" w:type="dxa"/>
            <w:shd w:val="clear" w:color="auto" w:fill="auto"/>
            <w:vAlign w:val="center"/>
          </w:tcPr>
          <w:p w:rsidR="00D35752" w:rsidRPr="00054872" w:rsidRDefault="00054872" w:rsidP="009832BD">
            <w:pPr>
              <w:spacing w:before="0"/>
            </w:pPr>
            <w:r w:rsidRPr="009832BD">
              <w:rPr>
                <w:sz w:val="40"/>
                <w:szCs w:val="48"/>
                <w:rtl/>
              </w:rPr>
              <w:t>الاتحـــاد  الدولــــي  للاتصــــالات</w:t>
            </w:r>
          </w:p>
        </w:tc>
        <w:tc>
          <w:tcPr>
            <w:tcW w:w="1667" w:type="dxa"/>
            <w:shd w:val="clear" w:color="auto" w:fill="auto"/>
          </w:tcPr>
          <w:p w:rsidR="00D35752" w:rsidRPr="00D35752" w:rsidRDefault="0084207A" w:rsidP="009832BD">
            <w:pPr>
              <w:spacing w:before="0"/>
              <w:jc w:val="right"/>
            </w:pPr>
            <w:r>
              <w:rPr>
                <w:noProof/>
                <w:lang w:val="en-US" w:eastAsia="zh-CN"/>
              </w:rPr>
              <w:drawing>
                <wp:inline distT="0" distB="0" distL="0" distR="0">
                  <wp:extent cx="836930" cy="948690"/>
                  <wp:effectExtent l="0" t="0" r="1270" b="381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930" cy="948690"/>
                          </a:xfrm>
                          <a:prstGeom prst="rect">
                            <a:avLst/>
                          </a:prstGeom>
                          <a:noFill/>
                          <a:ln>
                            <a:noFill/>
                          </a:ln>
                        </pic:spPr>
                      </pic:pic>
                    </a:graphicData>
                  </a:graphic>
                </wp:inline>
              </w:drawing>
            </w:r>
          </w:p>
        </w:tc>
      </w:tr>
    </w:tbl>
    <w:p w:rsidR="003A455B" w:rsidRDefault="003A455B" w:rsidP="009832BD">
      <w:pPr>
        <w:spacing w:before="0"/>
        <w:rPr>
          <w:vanish/>
          <w:rtl/>
        </w:rPr>
      </w:pPr>
    </w:p>
    <w:p w:rsidR="00A06CC3" w:rsidRPr="009832BD" w:rsidRDefault="00A06CC3" w:rsidP="009832BD">
      <w:pPr>
        <w:spacing w:before="0"/>
        <w:rPr>
          <w:vanish/>
        </w:rPr>
      </w:pPr>
    </w:p>
    <w:tbl>
      <w:tblPr>
        <w:bidiVisual/>
        <w:tblW w:w="0" w:type="auto"/>
        <w:tblLayout w:type="fixed"/>
        <w:tblLook w:val="0000" w:firstRow="0" w:lastRow="0" w:firstColumn="0" w:lastColumn="0" w:noHBand="0" w:noVBand="0"/>
      </w:tblPr>
      <w:tblGrid>
        <w:gridCol w:w="5075"/>
      </w:tblGrid>
      <w:tr w:rsidR="00B87E04">
        <w:trPr>
          <w:cantSplit/>
        </w:trPr>
        <w:tc>
          <w:tcPr>
            <w:tcW w:w="5075" w:type="dxa"/>
          </w:tcPr>
          <w:p w:rsidR="00B87E04" w:rsidRDefault="00054872" w:rsidP="00206E2B">
            <w:pPr>
              <w:tabs>
                <w:tab w:val="clear" w:pos="794"/>
                <w:tab w:val="clear" w:pos="1191"/>
                <w:tab w:val="clear" w:pos="1588"/>
                <w:tab w:val="clear" w:pos="1985"/>
                <w:tab w:val="center" w:pos="1701"/>
              </w:tabs>
              <w:spacing w:before="0"/>
              <w:jc w:val="left"/>
              <w:rPr>
                <w:b/>
                <w:smallCaps/>
                <w:sz w:val="20"/>
              </w:rPr>
            </w:pPr>
            <w:r w:rsidRPr="00054872">
              <w:rPr>
                <w:rFonts w:hint="cs"/>
                <w:i/>
                <w:iCs/>
                <w:sz w:val="26"/>
                <w:szCs w:val="40"/>
                <w:rtl/>
              </w:rPr>
              <w:t>مكتب الاتصالات الراديوية</w:t>
            </w:r>
            <w:r>
              <w:rPr>
                <w:i/>
                <w:iCs/>
                <w:sz w:val="26"/>
                <w:szCs w:val="40"/>
                <w:rtl/>
              </w:rPr>
              <w:br/>
            </w:r>
            <w:r w:rsidRPr="00054872">
              <w:rPr>
                <w:rFonts w:hint="cs"/>
                <w:i/>
                <w:iCs/>
                <w:sz w:val="20"/>
                <w:szCs w:val="26"/>
                <w:rtl/>
              </w:rPr>
              <w:t>(فاكس مباشر رقم</w:t>
            </w:r>
            <w:r>
              <w:rPr>
                <w:rFonts w:hint="cs"/>
                <w:i/>
                <w:iCs/>
                <w:sz w:val="20"/>
                <w:szCs w:val="26"/>
                <w:rtl/>
              </w:rPr>
              <w:t xml:space="preserve"> </w:t>
            </w:r>
            <w:r>
              <w:rPr>
                <w:i/>
                <w:iCs/>
                <w:sz w:val="20"/>
                <w:szCs w:val="26"/>
                <w:lang w:val="en-US"/>
              </w:rPr>
              <w:t>(+41 22 730 57 85</w:t>
            </w:r>
          </w:p>
        </w:tc>
      </w:tr>
    </w:tbl>
    <w:p w:rsidR="00B87E04" w:rsidRDefault="00B87E04" w:rsidP="00054872">
      <w:pPr>
        <w:tabs>
          <w:tab w:val="left" w:pos="7513"/>
        </w:tabs>
        <w:rPr>
          <w:rtl/>
          <w:lang w:bidi="ar-EG"/>
        </w:rPr>
      </w:pPr>
    </w:p>
    <w:p w:rsidR="00A06CC3" w:rsidRPr="003A455B" w:rsidRDefault="00A06CC3" w:rsidP="00054872">
      <w:pPr>
        <w:tabs>
          <w:tab w:val="left" w:pos="7513"/>
        </w:tabs>
        <w:rPr>
          <w:lang w:bidi="ar-EG"/>
        </w:rPr>
      </w:pPr>
    </w:p>
    <w:tbl>
      <w:tblPr>
        <w:bidiVisual/>
        <w:tblW w:w="9845" w:type="dxa"/>
        <w:tblLayout w:type="fixed"/>
        <w:tblLook w:val="0000" w:firstRow="0" w:lastRow="0" w:firstColumn="0" w:lastColumn="0" w:noHBand="0" w:noVBand="0"/>
      </w:tblPr>
      <w:tblGrid>
        <w:gridCol w:w="2518"/>
        <w:gridCol w:w="7327"/>
      </w:tblGrid>
      <w:tr w:rsidR="00B87E04" w:rsidRPr="00667AF2">
        <w:trPr>
          <w:cantSplit/>
        </w:trPr>
        <w:tc>
          <w:tcPr>
            <w:tcW w:w="2518" w:type="dxa"/>
          </w:tcPr>
          <w:p w:rsidR="0071106C" w:rsidRPr="00667AF2" w:rsidRDefault="00667AF2" w:rsidP="005C0B8F">
            <w:pPr>
              <w:spacing w:before="80" w:after="80" w:line="280" w:lineRule="exact"/>
              <w:jc w:val="center"/>
              <w:rPr>
                <w:lang w:bidi="ar-EG"/>
              </w:rPr>
            </w:pPr>
            <w:bookmarkStart w:id="0" w:name="dletter"/>
            <w:bookmarkEnd w:id="0"/>
            <w:r w:rsidRPr="00667AF2">
              <w:rPr>
                <w:rFonts w:hint="cs"/>
                <w:rtl/>
                <w:lang w:val="en-US" w:bidi="ar-AE"/>
              </w:rPr>
              <w:t>الرسالة المعممة</w:t>
            </w:r>
            <w:r w:rsidRPr="00667AF2">
              <w:rPr>
                <w:rFonts w:hint="cs"/>
                <w:rtl/>
                <w:lang w:val="en-US" w:bidi="ar-AE"/>
              </w:rPr>
              <w:br/>
            </w:r>
            <w:r w:rsidRPr="00C0073B">
              <w:rPr>
                <w:b/>
                <w:bCs/>
                <w:lang w:val="en-US" w:bidi="ar-AE"/>
              </w:rPr>
              <w:t>CR/</w:t>
            </w:r>
            <w:r w:rsidR="005C0B8F">
              <w:rPr>
                <w:b/>
                <w:bCs/>
                <w:lang w:val="en-US" w:bidi="ar-AE"/>
              </w:rPr>
              <w:t>332</w:t>
            </w:r>
          </w:p>
        </w:tc>
        <w:tc>
          <w:tcPr>
            <w:tcW w:w="7327" w:type="dxa"/>
          </w:tcPr>
          <w:p w:rsidR="00B87E04" w:rsidRPr="00206E2B" w:rsidRDefault="00DA388C" w:rsidP="008D01E9">
            <w:pPr>
              <w:spacing w:before="80" w:after="80" w:line="280" w:lineRule="exact"/>
              <w:jc w:val="right"/>
              <w:rPr>
                <w:rtl/>
                <w:lang w:val="en-US" w:bidi="ar-SY"/>
              </w:rPr>
            </w:pPr>
            <w:bookmarkStart w:id="1" w:name="ddate"/>
            <w:bookmarkEnd w:id="1"/>
            <w:r>
              <w:rPr>
                <w:lang w:val="en-US" w:bidi="ar-EG"/>
              </w:rPr>
              <w:t>2</w:t>
            </w:r>
            <w:r w:rsidR="008D01E9">
              <w:rPr>
                <w:lang w:val="en-US" w:bidi="ar-EG"/>
              </w:rPr>
              <w:t>4</w:t>
            </w:r>
            <w:bookmarkStart w:id="2" w:name="_GoBack"/>
            <w:bookmarkEnd w:id="2"/>
            <w:r w:rsidR="00206E2B">
              <w:rPr>
                <w:rFonts w:hint="cs"/>
                <w:rtl/>
                <w:lang w:val="en-US" w:bidi="ar-EG"/>
              </w:rPr>
              <w:t xml:space="preserve"> </w:t>
            </w:r>
            <w:r w:rsidR="005C0B8F">
              <w:rPr>
                <w:rFonts w:hint="cs"/>
                <w:sz w:val="28"/>
                <w:szCs w:val="28"/>
                <w:rtl/>
              </w:rPr>
              <w:t>أبريل</w:t>
            </w:r>
            <w:r w:rsidR="00D93CD8" w:rsidRPr="00FC5777">
              <w:rPr>
                <w:rFonts w:cs="Arial"/>
                <w:rtl/>
              </w:rPr>
              <w:t xml:space="preserve"> </w:t>
            </w:r>
            <w:r w:rsidR="005C0B8F">
              <w:rPr>
                <w:lang w:val="en-US" w:bidi="ar-EG"/>
              </w:rPr>
              <w:t>2012</w:t>
            </w:r>
          </w:p>
        </w:tc>
      </w:tr>
    </w:tbl>
    <w:p w:rsidR="00054872" w:rsidRPr="00054872" w:rsidRDefault="00054872" w:rsidP="00CD2336">
      <w:pPr>
        <w:pStyle w:val="Arttitle"/>
        <w:spacing w:before="480" w:after="480"/>
        <w:rPr>
          <w:rtl/>
        </w:rPr>
      </w:pPr>
      <w:r w:rsidRPr="00054872">
        <w:rPr>
          <w:rFonts w:hint="cs"/>
          <w:rtl/>
        </w:rPr>
        <w:t xml:space="preserve">إلى إدارات </w:t>
      </w:r>
      <w:r w:rsidRPr="00206E2B">
        <w:rPr>
          <w:rFonts w:hint="cs"/>
          <w:rtl/>
        </w:rPr>
        <w:t>الدول</w:t>
      </w:r>
      <w:r w:rsidRPr="00054872">
        <w:rPr>
          <w:rFonts w:hint="cs"/>
          <w:rtl/>
        </w:rPr>
        <w:t xml:space="preserve"> الأعضاء في الاتحاد</w:t>
      </w:r>
    </w:p>
    <w:p w:rsidR="00B87E04" w:rsidRDefault="00054872" w:rsidP="00CF3CD0">
      <w:pPr>
        <w:tabs>
          <w:tab w:val="clear" w:pos="794"/>
          <w:tab w:val="clear" w:pos="1191"/>
          <w:tab w:val="clear" w:pos="1588"/>
          <w:tab w:val="clear" w:pos="1985"/>
          <w:tab w:val="left" w:pos="709"/>
        </w:tabs>
        <w:ind w:left="1440" w:hanging="1440"/>
        <w:rPr>
          <w:rtl/>
          <w:lang w:val="en-US" w:bidi="ar-SY"/>
        </w:rPr>
      </w:pPr>
      <w:r w:rsidRPr="00005B5D">
        <w:rPr>
          <w:rFonts w:hint="cs"/>
          <w:b/>
          <w:bCs/>
          <w:rtl/>
        </w:rPr>
        <w:t>الموضوع:</w:t>
      </w:r>
      <w:r w:rsidR="00B87E04" w:rsidRPr="00005B5D">
        <w:tab/>
      </w:r>
      <w:bookmarkStart w:id="3" w:name="dtitle1"/>
      <w:bookmarkEnd w:id="3"/>
      <w:r w:rsidR="00005B5D" w:rsidRPr="00005B5D">
        <w:rPr>
          <w:rFonts w:hint="cs"/>
          <w:rtl/>
          <w:lang w:val="en-US" w:bidi="ar-EG"/>
        </w:rPr>
        <w:t xml:space="preserve">النشرة الإعلامية </w:t>
      </w:r>
      <w:r w:rsidR="00005B5D">
        <w:rPr>
          <w:rFonts w:hint="cs"/>
          <w:rtl/>
          <w:lang w:val="en-US" w:bidi="ar-EG"/>
        </w:rPr>
        <w:t>الدولية للترددات</w:t>
      </w:r>
      <w:r w:rsidR="00DC59BF">
        <w:rPr>
          <w:rFonts w:hint="cs"/>
          <w:rtl/>
          <w:lang w:val="en-US" w:bidi="ar-EG"/>
        </w:rPr>
        <w:t xml:space="preserve"> الصادرة عن مكتب الاتصالات الراديوية</w:t>
      </w:r>
      <w:r w:rsidR="00005B5D">
        <w:rPr>
          <w:rFonts w:hint="cs"/>
          <w:rtl/>
          <w:lang w:val="en-US" w:bidi="ar-EG"/>
        </w:rPr>
        <w:t xml:space="preserve"> </w:t>
      </w:r>
      <w:r w:rsidR="00005B5D">
        <w:rPr>
          <w:lang w:val="en-US" w:bidi="ar-EG"/>
        </w:rPr>
        <w:t>(</w:t>
      </w:r>
      <w:r w:rsidR="00DC59BF">
        <w:rPr>
          <w:lang w:val="en-US" w:bidi="ar-EG"/>
        </w:rPr>
        <w:t>BR </w:t>
      </w:r>
      <w:r w:rsidR="00005B5D">
        <w:rPr>
          <w:lang w:val="en-US" w:bidi="ar-EG"/>
        </w:rPr>
        <w:t>IFIC)</w:t>
      </w:r>
      <w:r w:rsidR="00474A4D">
        <w:rPr>
          <w:rFonts w:hint="eastAsia"/>
          <w:rtl/>
          <w:lang w:val="en-US" w:bidi="ar-EG"/>
        </w:rPr>
        <w:t> </w:t>
      </w:r>
      <w:r w:rsidR="00984ED7">
        <w:rPr>
          <w:rFonts w:hint="cs"/>
          <w:rtl/>
          <w:lang w:val="en-US" w:bidi="ar-EG"/>
        </w:rPr>
        <w:t>-</w:t>
      </w:r>
      <w:r w:rsidR="00474A4D">
        <w:rPr>
          <w:rFonts w:hint="eastAsia"/>
          <w:rtl/>
          <w:lang w:val="en-US" w:bidi="ar-EG"/>
        </w:rPr>
        <w:t> </w:t>
      </w:r>
      <w:r w:rsidR="00984ED7">
        <w:rPr>
          <w:rFonts w:hint="cs"/>
          <w:rtl/>
          <w:lang w:val="en-US" w:bidi="ar-EG"/>
        </w:rPr>
        <w:t>خدمات الأرض</w:t>
      </w:r>
      <w:r w:rsidR="00474A4D">
        <w:rPr>
          <w:rFonts w:hint="eastAsia"/>
          <w:rtl/>
          <w:lang w:val="en-US" w:bidi="ar-EG"/>
        </w:rPr>
        <w:t> </w:t>
      </w:r>
      <w:r w:rsidR="00984ED7">
        <w:rPr>
          <w:rFonts w:hint="cs"/>
          <w:rtl/>
          <w:lang w:val="en-US" w:bidi="ar-EG"/>
        </w:rPr>
        <w:t>-</w:t>
      </w:r>
      <w:r w:rsidR="00CF3CD0">
        <w:rPr>
          <w:rFonts w:hint="eastAsia"/>
          <w:rtl/>
          <w:lang w:val="en-US" w:bidi="ar-EG"/>
        </w:rPr>
        <w:t> </w:t>
      </w:r>
      <w:r w:rsidR="00984ED7">
        <w:rPr>
          <w:rFonts w:hint="cs"/>
          <w:rtl/>
          <w:lang w:val="en-US" w:bidi="ar-EG"/>
        </w:rPr>
        <w:t xml:space="preserve">الوسائط </w:t>
      </w:r>
      <w:r w:rsidR="00984ED7">
        <w:rPr>
          <w:lang w:val="en-US" w:bidi="ar-EG"/>
        </w:rPr>
        <w:t>DVD</w:t>
      </w:r>
      <w:r w:rsidR="00984ED7">
        <w:rPr>
          <w:rFonts w:hint="cs"/>
          <w:rtl/>
          <w:lang w:val="en-US" w:bidi="ar-SY"/>
        </w:rPr>
        <w:t xml:space="preserve"> الجديدة، عرض وتصميم</w:t>
      </w:r>
    </w:p>
    <w:p w:rsidR="00980D6F" w:rsidRPr="00A06CC3" w:rsidRDefault="00980D6F" w:rsidP="00A06CC3">
      <w:pPr>
        <w:pStyle w:val="Normalaftertitle"/>
        <w:spacing w:before="840"/>
        <w:rPr>
          <w:b/>
          <w:bCs/>
          <w:u w:val="single"/>
          <w:rtl/>
          <w:lang w:val="en-US" w:bidi="ar-EG"/>
        </w:rPr>
      </w:pPr>
      <w:r w:rsidRPr="00A06CC3">
        <w:rPr>
          <w:rFonts w:hint="cs"/>
          <w:b/>
          <w:bCs/>
          <w:u w:val="single"/>
          <w:rtl/>
          <w:lang w:val="en-US" w:bidi="ar-EG"/>
        </w:rPr>
        <w:t>إلى المدير العام</w:t>
      </w:r>
    </w:p>
    <w:p w:rsidR="00980D6F" w:rsidRDefault="00DC59BF" w:rsidP="00A06CC3">
      <w:pPr>
        <w:spacing w:before="600"/>
        <w:rPr>
          <w:rtl/>
          <w:lang w:val="en-US" w:bidi="ar-EG"/>
        </w:rPr>
      </w:pPr>
      <w:r>
        <w:rPr>
          <w:rFonts w:hint="cs"/>
          <w:rtl/>
          <w:lang w:val="en-US" w:bidi="ar-EG"/>
        </w:rPr>
        <w:t>السيد الفاضل/السيدة الفاضلة،</w:t>
      </w:r>
    </w:p>
    <w:p w:rsidR="00980D6F" w:rsidRPr="00980D6F" w:rsidRDefault="00980D6F" w:rsidP="00EA7147">
      <w:pPr>
        <w:rPr>
          <w:sz w:val="30"/>
          <w:rtl/>
          <w:lang w:val="en-US" w:bidi="ar-EG"/>
        </w:rPr>
      </w:pPr>
      <w:r w:rsidRPr="00980D6F">
        <w:rPr>
          <w:rFonts w:hint="cs"/>
          <w:sz w:val="30"/>
          <w:rtl/>
          <w:lang w:val="en-US" w:bidi="ar-EG"/>
        </w:rPr>
        <w:t>تحية طيبة وبعد،</w:t>
      </w:r>
    </w:p>
    <w:p w:rsidR="00CB4CC7" w:rsidRPr="003A455B" w:rsidRDefault="00984ED7" w:rsidP="00545B36">
      <w:pPr>
        <w:rPr>
          <w:rtl/>
          <w:lang w:val="en-US" w:bidi="ar-SY"/>
        </w:rPr>
      </w:pPr>
      <w:proofErr w:type="gramStart"/>
      <w:r w:rsidRPr="003A455B">
        <w:rPr>
          <w:lang w:val="en-US" w:bidi="ar-EG"/>
        </w:rPr>
        <w:t>1</w:t>
      </w:r>
      <w:r w:rsidRPr="003A455B">
        <w:rPr>
          <w:lang w:val="en-US" w:bidi="ar-EG"/>
        </w:rPr>
        <w:tab/>
      </w:r>
      <w:r w:rsidRPr="003A455B">
        <w:rPr>
          <w:rFonts w:hint="cs"/>
          <w:rtl/>
          <w:lang w:val="en-US" w:bidi="ar-EG"/>
        </w:rPr>
        <w:t xml:space="preserve">تعتبر النشرة الإعلامية الدولية للترددات الصادرة عن مكتب الاتصالات الراديوية </w:t>
      </w:r>
      <w:r w:rsidRPr="003A455B">
        <w:rPr>
          <w:lang w:val="en-US" w:bidi="ar-EG"/>
        </w:rPr>
        <w:t>(BR IFIC)</w:t>
      </w:r>
      <w:r w:rsidR="00A06CC3">
        <w:rPr>
          <w:rFonts w:hint="eastAsia"/>
          <w:rtl/>
          <w:lang w:val="en-US" w:bidi="ar-EG"/>
        </w:rPr>
        <w:t> </w:t>
      </w:r>
      <w:r w:rsidR="00A06CC3">
        <w:rPr>
          <w:rFonts w:hint="cs"/>
          <w:rtl/>
          <w:lang w:val="en-US" w:bidi="ar-EG"/>
        </w:rPr>
        <w:t>- </w:t>
      </w:r>
      <w:r w:rsidRPr="003A455B">
        <w:rPr>
          <w:rFonts w:hint="cs"/>
          <w:rtl/>
          <w:lang w:val="en-US" w:bidi="ar-EG"/>
        </w:rPr>
        <w:t>خدمات الأرض</w:t>
      </w:r>
      <w:r w:rsidR="00A06CC3">
        <w:rPr>
          <w:rFonts w:hint="eastAsia"/>
          <w:rtl/>
          <w:lang w:val="en-US" w:bidi="ar-EG"/>
        </w:rPr>
        <w:t> </w:t>
      </w:r>
      <w:r w:rsidR="00A06CC3">
        <w:rPr>
          <w:rFonts w:hint="cs"/>
          <w:rtl/>
          <w:lang w:val="en-US" w:bidi="ar-EG"/>
        </w:rPr>
        <w:t>- </w:t>
      </w:r>
      <w:r w:rsidRPr="003A455B">
        <w:rPr>
          <w:rFonts w:hint="cs"/>
          <w:rtl/>
          <w:lang w:val="en-US" w:bidi="ar-EG"/>
        </w:rPr>
        <w:t>نشرة للخدمة على قرص</w:t>
      </w:r>
      <w:r w:rsidR="00545B36">
        <w:rPr>
          <w:rFonts w:hint="eastAsia"/>
          <w:rtl/>
          <w:lang w:val="en-US" w:bidi="ar-EG"/>
        </w:rPr>
        <w:t> </w:t>
      </w:r>
      <w:r w:rsidRPr="003A455B">
        <w:rPr>
          <w:lang w:val="en-US" w:bidi="ar-EG"/>
        </w:rPr>
        <w:t>DVD</w:t>
      </w:r>
      <w:r w:rsidRPr="003A455B">
        <w:rPr>
          <w:lang w:val="en-US" w:bidi="ar-EG"/>
        </w:rPr>
        <w:noBreakHyphen/>
        <w:t>ROM</w:t>
      </w:r>
      <w:r w:rsidRPr="003A455B">
        <w:rPr>
          <w:rFonts w:hint="cs"/>
          <w:rtl/>
          <w:lang w:val="en-US" w:bidi="ar-SY"/>
        </w:rPr>
        <w:t>. وهي تتضمن تفاصيل تعيينات وتخصيصات الترددات لخدمات الأرض وينشرها مكتب الاتصالات الراديوية مرة كل أسبوعين باللغات الرسمية الست للاتحاد.</w:t>
      </w:r>
      <w:proofErr w:type="gramEnd"/>
    </w:p>
    <w:p w:rsidR="00984ED7" w:rsidRPr="003A455B" w:rsidRDefault="00984ED7" w:rsidP="00BA3D59">
      <w:pPr>
        <w:rPr>
          <w:rtl/>
          <w:lang w:val="en-US" w:bidi="ar-SY"/>
        </w:rPr>
      </w:pPr>
      <w:r w:rsidRPr="003A455B">
        <w:rPr>
          <w:lang w:val="en-US" w:bidi="ar-SY"/>
        </w:rPr>
        <w:t>2</w:t>
      </w:r>
      <w:r w:rsidRPr="003A455B">
        <w:rPr>
          <w:lang w:val="en-US" w:bidi="ar-SY"/>
        </w:rPr>
        <w:tab/>
      </w:r>
      <w:r w:rsidRPr="003A455B">
        <w:rPr>
          <w:rFonts w:hint="cs"/>
          <w:rtl/>
          <w:lang w:val="en-US" w:bidi="ar-SY"/>
        </w:rPr>
        <w:t>منذ تدشين النشرة الإعلامية الدولية للترددات الصادرة عن مكتب الاتصالات الراديوية (خدمات الأرض</w:t>
      </w:r>
      <w:proofErr w:type="gramStart"/>
      <w:r w:rsidRPr="003A455B">
        <w:rPr>
          <w:rFonts w:hint="cs"/>
          <w:rtl/>
          <w:lang w:val="en-US" w:bidi="ar-SY"/>
        </w:rPr>
        <w:t>)،</w:t>
      </w:r>
      <w:proofErr w:type="gramEnd"/>
      <w:r w:rsidRPr="003A455B">
        <w:rPr>
          <w:rFonts w:hint="cs"/>
          <w:rtl/>
          <w:lang w:val="en-US" w:bidi="ar-SY"/>
        </w:rPr>
        <w:t xml:space="preserve"> تخزن المعلومات المتعلقة بتخصيصات وتعيينات الترددات في قاعدة بيانات </w:t>
      </w:r>
      <w:r w:rsidRPr="003A455B">
        <w:rPr>
          <w:lang w:val="en-US" w:bidi="ar-SY"/>
        </w:rPr>
        <w:t>Microsoft Access</w:t>
      </w:r>
      <w:r w:rsidRPr="003A455B">
        <w:rPr>
          <w:rFonts w:cs="Times New Roman"/>
          <w:position w:val="6"/>
          <w:lang w:val="en-US" w:bidi="ar-SY"/>
        </w:rPr>
        <w:t>®</w:t>
      </w:r>
      <w:r w:rsidRPr="003A455B">
        <w:rPr>
          <w:rFonts w:hint="cs"/>
          <w:rtl/>
        </w:rPr>
        <w:t xml:space="preserve"> على قرص</w:t>
      </w:r>
      <w:r w:rsidR="00A06CC3">
        <w:rPr>
          <w:rFonts w:hint="eastAsia"/>
          <w:rtl/>
        </w:rPr>
        <w:t> </w:t>
      </w:r>
      <w:r w:rsidRPr="003A455B">
        <w:rPr>
          <w:lang w:val="en-US"/>
        </w:rPr>
        <w:t>CD</w:t>
      </w:r>
      <w:r w:rsidRPr="003A455B">
        <w:rPr>
          <w:lang w:val="en-US"/>
        </w:rPr>
        <w:noBreakHyphen/>
        <w:t>ROM</w:t>
      </w:r>
      <w:r w:rsidRPr="003A455B">
        <w:rPr>
          <w:rFonts w:hint="cs"/>
          <w:rtl/>
          <w:lang w:val="en-US" w:bidi="ar-SY"/>
        </w:rPr>
        <w:t xml:space="preserve"> (ومؤخراً على قرص</w:t>
      </w:r>
      <w:r w:rsidR="00A06CC3">
        <w:rPr>
          <w:rFonts w:hint="eastAsia"/>
          <w:rtl/>
          <w:lang w:val="en-US" w:bidi="ar-SY"/>
        </w:rPr>
        <w:t> </w:t>
      </w:r>
      <w:r w:rsidRPr="003A455B">
        <w:rPr>
          <w:lang w:val="en-US" w:bidi="ar-SY"/>
        </w:rPr>
        <w:t>DVD</w:t>
      </w:r>
      <w:r w:rsidRPr="003A455B">
        <w:rPr>
          <w:lang w:val="en-US" w:bidi="ar-SY"/>
        </w:rPr>
        <w:noBreakHyphen/>
        <w:t>ROM</w:t>
      </w:r>
      <w:r w:rsidRPr="003A455B">
        <w:rPr>
          <w:rFonts w:hint="cs"/>
          <w:rtl/>
          <w:lang w:val="en-US" w:bidi="ar-SY"/>
        </w:rPr>
        <w:t xml:space="preserve">). والبرامج المختلفة الموزعة على النشرة </w:t>
      </w:r>
      <w:r w:rsidRPr="003A455B">
        <w:rPr>
          <w:lang w:val="en-US" w:bidi="ar-SY"/>
        </w:rPr>
        <w:t>BR IFIC</w:t>
      </w:r>
      <w:r w:rsidRPr="003A455B">
        <w:rPr>
          <w:rFonts w:hint="cs"/>
          <w:rtl/>
          <w:lang w:val="en-US" w:bidi="ar-SY"/>
        </w:rPr>
        <w:t xml:space="preserve"> (مثل </w:t>
      </w:r>
      <w:proofErr w:type="spellStart"/>
      <w:r w:rsidRPr="003A455B">
        <w:rPr>
          <w:b/>
          <w:bCs/>
          <w:i/>
          <w:iCs/>
          <w:lang w:val="en-US" w:bidi="ar-SY"/>
        </w:rPr>
        <w:t>TerRaQ</w:t>
      </w:r>
      <w:proofErr w:type="spellEnd"/>
      <w:r w:rsidRPr="003A455B">
        <w:rPr>
          <w:rFonts w:hint="cs"/>
          <w:rtl/>
          <w:lang w:val="en-US" w:bidi="ar-SY"/>
        </w:rPr>
        <w:t xml:space="preserve"> للاستفسار و</w:t>
      </w:r>
      <w:proofErr w:type="spellStart"/>
      <w:r w:rsidRPr="003A455B">
        <w:rPr>
          <w:b/>
          <w:bCs/>
          <w:i/>
          <w:iCs/>
          <w:lang w:val="en-US" w:bidi="ar-SY"/>
        </w:rPr>
        <w:t>TeRaNotices</w:t>
      </w:r>
      <w:proofErr w:type="spellEnd"/>
      <w:r w:rsidRPr="003A455B">
        <w:rPr>
          <w:rFonts w:hint="cs"/>
          <w:rtl/>
          <w:lang w:val="en-US" w:bidi="ar-SY"/>
        </w:rPr>
        <w:t xml:space="preserve"> لتوليد بطاقات تبليغ إلكترونية و</w:t>
      </w:r>
      <w:proofErr w:type="spellStart"/>
      <w:r w:rsidRPr="003A455B">
        <w:rPr>
          <w:b/>
          <w:bCs/>
          <w:i/>
          <w:iCs/>
          <w:lang w:val="en-US" w:bidi="ar-SY"/>
        </w:rPr>
        <w:t>TerRaNV</w:t>
      </w:r>
      <w:proofErr w:type="spellEnd"/>
      <w:r w:rsidRPr="003A455B">
        <w:rPr>
          <w:rFonts w:hint="cs"/>
          <w:rtl/>
          <w:lang w:val="en-US" w:bidi="ar-SY"/>
        </w:rPr>
        <w:t xml:space="preserve"> للتحقق من صلاحية </w:t>
      </w:r>
      <w:r w:rsidR="00A06CC3">
        <w:rPr>
          <w:rFonts w:hint="cs"/>
          <w:rtl/>
          <w:lang w:val="en-US" w:bidi="ar-SY"/>
        </w:rPr>
        <w:t>ب</w:t>
      </w:r>
      <w:r w:rsidRPr="003A455B">
        <w:rPr>
          <w:rFonts w:hint="cs"/>
          <w:rtl/>
          <w:lang w:val="en-US" w:bidi="ar-SY"/>
        </w:rPr>
        <w:t>طاقات التبليغ الإلكترونية) تقرأ قاعدة البيانات هذه. كما</w:t>
      </w:r>
      <w:r w:rsidR="00BA3D59">
        <w:rPr>
          <w:rFonts w:hint="eastAsia"/>
          <w:rtl/>
          <w:lang w:val="en-US" w:bidi="ar-SY"/>
        </w:rPr>
        <w:t> </w:t>
      </w:r>
      <w:r w:rsidRPr="003A455B">
        <w:rPr>
          <w:rFonts w:hint="cs"/>
          <w:rtl/>
          <w:lang w:val="en-US" w:bidi="ar-SY"/>
        </w:rPr>
        <w:t>قامت الإدارات وغيرها من مستعملي هذه النشرة بتطوير برامجها التي تقرأ هي الأخرى قاعدة البيانات تلك.</w:t>
      </w:r>
    </w:p>
    <w:p w:rsidR="00984ED7" w:rsidRPr="003A455B" w:rsidRDefault="00984ED7" w:rsidP="00276DF9">
      <w:pPr>
        <w:rPr>
          <w:rtl/>
          <w:lang w:val="en-US" w:bidi="ar-SY"/>
        </w:rPr>
      </w:pPr>
      <w:proofErr w:type="gramStart"/>
      <w:r w:rsidRPr="003A455B">
        <w:rPr>
          <w:lang w:val="en-US" w:bidi="ar-SY"/>
        </w:rPr>
        <w:t>3</w:t>
      </w:r>
      <w:r w:rsidRPr="003A455B">
        <w:rPr>
          <w:rFonts w:hint="cs"/>
          <w:rtl/>
          <w:lang w:val="en-US" w:bidi="ar-SY"/>
        </w:rPr>
        <w:tab/>
        <w:t xml:space="preserve">ويشير المكتب إلى أن المتطلبات الأمنية المتعلقة بقاعدة البيانات </w:t>
      </w:r>
      <w:r w:rsidRPr="003A455B">
        <w:rPr>
          <w:lang w:val="en-US" w:bidi="ar-SY"/>
        </w:rPr>
        <w:t>Microsoft Access</w:t>
      </w:r>
      <w:r w:rsidRPr="003A455B">
        <w:rPr>
          <w:rFonts w:cs="Times New Roman"/>
          <w:position w:val="6"/>
          <w:lang w:val="en-US" w:bidi="ar-SY"/>
        </w:rPr>
        <w:t>®</w:t>
      </w:r>
      <w:r w:rsidRPr="003A455B">
        <w:rPr>
          <w:rFonts w:hint="cs"/>
          <w:rtl/>
          <w:lang w:val="en-US" w:bidi="ar-SY"/>
        </w:rPr>
        <w:t xml:space="preserve"> </w:t>
      </w:r>
      <w:r w:rsidR="00832D56" w:rsidRPr="003A455B">
        <w:rPr>
          <w:rFonts w:hint="cs"/>
          <w:rtl/>
          <w:lang w:val="en-US" w:bidi="ar-SY"/>
        </w:rPr>
        <w:t>أصبحت أكثر صرامة، ونتيجة لذلك، أصبح تنصيب النشرة</w:t>
      </w:r>
      <w:r w:rsidR="00E63D5C">
        <w:rPr>
          <w:rFonts w:hint="eastAsia"/>
          <w:rtl/>
          <w:lang w:val="en-US" w:bidi="ar-SY"/>
        </w:rPr>
        <w:t> </w:t>
      </w:r>
      <w:r w:rsidR="00832D56" w:rsidRPr="003A455B">
        <w:rPr>
          <w:lang w:val="en-US" w:bidi="ar-SY"/>
        </w:rPr>
        <w:t>BR IFIC</w:t>
      </w:r>
      <w:r w:rsidR="00832D56" w:rsidRPr="003A455B">
        <w:rPr>
          <w:rFonts w:hint="cs"/>
          <w:rtl/>
          <w:lang w:val="en-US" w:bidi="ar-SY"/>
        </w:rPr>
        <w:t xml:space="preserve"> (خدمات الأرض) يستلزم في الوقت الراهن قيام المستعملين بخفض الضوابط الأمنية، على الأقل خلال التنصيب، وهو ما قد ينشأ عنه مصاعب تقنية ومشكلات تتعلق بالسلامة.</w:t>
      </w:r>
      <w:proofErr w:type="gramEnd"/>
      <w:r w:rsidR="00832D56" w:rsidRPr="003A455B">
        <w:rPr>
          <w:rFonts w:hint="cs"/>
          <w:rtl/>
          <w:lang w:val="en-US" w:bidi="ar-SY"/>
        </w:rPr>
        <w:t xml:space="preserve"> وعلاوة على ذلك، لاحظ المكتب ظهور العديد من أوجه عدم التوافق والحاجة إلى مزيد من الضوابط الأمنية للنظام مع إدخال نظام التشغيل</w:t>
      </w:r>
      <w:r w:rsidR="00A06CC3">
        <w:rPr>
          <w:rFonts w:hint="eastAsia"/>
          <w:rtl/>
          <w:lang w:val="en-US" w:bidi="ar-SY"/>
        </w:rPr>
        <w:t> </w:t>
      </w:r>
      <w:r w:rsidR="00832D56" w:rsidRPr="003A455B">
        <w:rPr>
          <w:lang w:val="en-US" w:bidi="ar-SY"/>
        </w:rPr>
        <w:t>Windows 7</w:t>
      </w:r>
      <w:r w:rsidR="00832D56" w:rsidRPr="003A455B">
        <w:rPr>
          <w:rFonts w:cs="Times New Roman"/>
          <w:position w:val="6"/>
          <w:lang w:val="en-US" w:bidi="ar-SY"/>
        </w:rPr>
        <w:t>®</w:t>
      </w:r>
      <w:r w:rsidR="00832D56" w:rsidRPr="003A455B">
        <w:rPr>
          <w:rFonts w:hint="cs"/>
          <w:rtl/>
          <w:lang w:val="en-US" w:bidi="ar-SY"/>
        </w:rPr>
        <w:t>، وهو ما أدى إلى زيادة الصعوبة في تنصيب النشرة</w:t>
      </w:r>
      <w:r w:rsidR="00276DF9">
        <w:rPr>
          <w:rFonts w:hint="eastAsia"/>
          <w:rtl/>
          <w:lang w:val="en-US" w:bidi="ar-SY"/>
        </w:rPr>
        <w:t> </w:t>
      </w:r>
      <w:r w:rsidR="00832D56" w:rsidRPr="003A455B">
        <w:rPr>
          <w:lang w:val="en-US" w:bidi="ar-SY"/>
        </w:rPr>
        <w:t>BR IFIC</w:t>
      </w:r>
      <w:r w:rsidR="00832D56" w:rsidRPr="003A455B">
        <w:rPr>
          <w:rFonts w:hint="cs"/>
          <w:rtl/>
          <w:lang w:val="en-US" w:bidi="ar-SY"/>
        </w:rPr>
        <w:t xml:space="preserve"> (خدمات الأرض) واستعمالها.</w:t>
      </w:r>
    </w:p>
    <w:p w:rsidR="00832D56" w:rsidRPr="003A455B" w:rsidRDefault="00832D56" w:rsidP="002B116E">
      <w:pPr>
        <w:keepNext/>
        <w:keepLines/>
        <w:rPr>
          <w:rtl/>
          <w:lang w:val="en-US" w:bidi="ar-SY"/>
        </w:rPr>
      </w:pPr>
      <w:r w:rsidRPr="003A455B">
        <w:rPr>
          <w:lang w:val="en-US" w:bidi="ar-SY"/>
        </w:rPr>
        <w:lastRenderedPageBreak/>
        <w:t>4</w:t>
      </w:r>
      <w:r w:rsidRPr="003A455B">
        <w:rPr>
          <w:rFonts w:hint="cs"/>
          <w:rtl/>
          <w:lang w:val="en-US" w:bidi="ar-SY"/>
        </w:rPr>
        <w:tab/>
        <w:t xml:space="preserve">وعبر الكثير من مستعملي النشرة </w:t>
      </w:r>
      <w:r w:rsidRPr="003A455B">
        <w:rPr>
          <w:lang w:val="en-US" w:bidi="ar-SY"/>
        </w:rPr>
        <w:t>BR IFIC</w:t>
      </w:r>
      <w:r w:rsidRPr="003A455B">
        <w:rPr>
          <w:rFonts w:hint="cs"/>
          <w:rtl/>
          <w:lang w:val="en-US" w:bidi="ar-SY"/>
        </w:rPr>
        <w:t xml:space="preserve"> عن قلقهم إزاء هذا الوضع في العديد من المناسبات مثل الحلقة الدراسية العالمية للاتصالات الراديوية لعام </w:t>
      </w:r>
      <w:r w:rsidRPr="003A455B">
        <w:rPr>
          <w:lang w:val="en-US" w:bidi="ar-SY"/>
        </w:rPr>
        <w:t>2010</w:t>
      </w:r>
      <w:r w:rsidRPr="003A455B">
        <w:rPr>
          <w:rFonts w:hint="cs"/>
          <w:rtl/>
          <w:lang w:val="en-US" w:bidi="ar-SY"/>
        </w:rPr>
        <w:t xml:space="preserve"> </w:t>
      </w:r>
      <w:r w:rsidRPr="003A455B">
        <w:rPr>
          <w:lang w:val="en-US" w:bidi="ar-SY"/>
        </w:rPr>
        <w:t>(WRS</w:t>
      </w:r>
      <w:r w:rsidRPr="003A455B">
        <w:rPr>
          <w:lang w:val="en-US" w:bidi="ar-SY"/>
        </w:rPr>
        <w:noBreakHyphen/>
        <w:t>10</w:t>
      </w:r>
      <w:proofErr w:type="gramStart"/>
      <w:r w:rsidRPr="003A455B">
        <w:rPr>
          <w:lang w:val="en-US" w:bidi="ar-SY"/>
        </w:rPr>
        <w:t>)</w:t>
      </w:r>
      <w:r w:rsidRPr="003A455B">
        <w:rPr>
          <w:rFonts w:hint="cs"/>
          <w:rtl/>
          <w:lang w:val="en-US" w:bidi="ar-SY"/>
        </w:rPr>
        <w:t>،</w:t>
      </w:r>
      <w:proofErr w:type="gramEnd"/>
      <w:r w:rsidRPr="003A455B">
        <w:rPr>
          <w:rFonts w:hint="cs"/>
          <w:rtl/>
          <w:lang w:val="en-US" w:bidi="ar-SY"/>
        </w:rPr>
        <w:t xml:space="preserve"> والتي نظم فيها المكتب ورش عمل بشأن استعمال النشرة</w:t>
      </w:r>
      <w:r w:rsidR="00A06CC3">
        <w:rPr>
          <w:rFonts w:hint="eastAsia"/>
          <w:rtl/>
          <w:lang w:val="en-US" w:bidi="ar-SY"/>
        </w:rPr>
        <w:t> </w:t>
      </w:r>
      <w:r w:rsidRPr="003A455B">
        <w:rPr>
          <w:lang w:val="en-US" w:bidi="ar-SY"/>
        </w:rPr>
        <w:t>BR IFIC</w:t>
      </w:r>
      <w:r w:rsidRPr="003A455B">
        <w:rPr>
          <w:rFonts w:hint="cs"/>
          <w:rtl/>
          <w:lang w:val="en-US" w:bidi="ar-SY"/>
        </w:rPr>
        <w:t>. وإضافة إلى ذلك، لم يكن لدى الكثير من المشاركين التراخيص الخاصة باستعمال</w:t>
      </w:r>
      <w:r w:rsidR="002B116E">
        <w:rPr>
          <w:rFonts w:hint="eastAsia"/>
          <w:rtl/>
          <w:lang w:val="en-US" w:bidi="ar-SY"/>
        </w:rPr>
        <w:t> </w:t>
      </w:r>
      <w:r w:rsidRPr="003A455B">
        <w:rPr>
          <w:lang w:val="en-US" w:bidi="ar-SY"/>
        </w:rPr>
        <w:t>Microsoft Access</w:t>
      </w:r>
      <w:r w:rsidRPr="003A455B">
        <w:rPr>
          <w:rFonts w:cs="Times New Roman"/>
          <w:position w:val="6"/>
          <w:lang w:val="en-US" w:bidi="ar-SY"/>
        </w:rPr>
        <w:t>®</w:t>
      </w:r>
      <w:r w:rsidRPr="003A455B">
        <w:rPr>
          <w:rFonts w:hint="cs"/>
          <w:rtl/>
          <w:lang w:val="en-US" w:bidi="ar-SY"/>
        </w:rPr>
        <w:t>، وهو ما أعاق استعمالهم للنشرة</w:t>
      </w:r>
      <w:r w:rsidR="002B116E">
        <w:rPr>
          <w:rFonts w:hint="eastAsia"/>
          <w:rtl/>
          <w:lang w:val="en-US" w:bidi="ar-SY"/>
        </w:rPr>
        <w:t> </w:t>
      </w:r>
      <w:r w:rsidRPr="003A455B">
        <w:rPr>
          <w:lang w:val="en-US" w:bidi="ar-SY"/>
        </w:rPr>
        <w:t>BR IFIC</w:t>
      </w:r>
      <w:r w:rsidRPr="003A455B">
        <w:rPr>
          <w:rFonts w:hint="cs"/>
          <w:rtl/>
          <w:lang w:val="en-US" w:bidi="ar-SY"/>
        </w:rPr>
        <w:t xml:space="preserve"> خلال الحدث. وطلب عدد من المستعملين من المكتب تحديد نظام بديل لإدارة قاعدة البيانات</w:t>
      </w:r>
      <w:r w:rsidR="00A06CC3">
        <w:rPr>
          <w:rFonts w:hint="eastAsia"/>
          <w:rtl/>
          <w:lang w:val="en-US" w:bidi="ar-SY"/>
        </w:rPr>
        <w:t> </w:t>
      </w:r>
      <w:r w:rsidRPr="003A455B">
        <w:rPr>
          <w:lang w:val="en-US" w:bidi="ar-SY"/>
        </w:rPr>
        <w:t>Microsoft Access</w:t>
      </w:r>
      <w:r w:rsidRPr="003A455B">
        <w:rPr>
          <w:rFonts w:cs="Times New Roman"/>
          <w:position w:val="6"/>
          <w:lang w:val="en-US" w:bidi="ar-SY"/>
        </w:rPr>
        <w:t>®</w:t>
      </w:r>
      <w:r w:rsidRPr="003A455B">
        <w:rPr>
          <w:rFonts w:hint="cs"/>
          <w:rtl/>
          <w:lang w:val="en-US" w:bidi="ar-SY"/>
        </w:rPr>
        <w:t>.</w:t>
      </w:r>
    </w:p>
    <w:p w:rsidR="00832D56" w:rsidRPr="003A455B" w:rsidRDefault="00607D49" w:rsidP="00426D64">
      <w:pPr>
        <w:rPr>
          <w:rtl/>
          <w:lang w:val="en-US" w:bidi="ar-SY"/>
        </w:rPr>
      </w:pPr>
      <w:proofErr w:type="gramStart"/>
      <w:r w:rsidRPr="003A455B">
        <w:rPr>
          <w:lang w:val="en-US" w:bidi="ar-SY"/>
        </w:rPr>
        <w:t>5</w:t>
      </w:r>
      <w:r w:rsidRPr="003A455B">
        <w:rPr>
          <w:lang w:val="en-US" w:bidi="ar-SY"/>
        </w:rPr>
        <w:tab/>
      </w:r>
      <w:r w:rsidRPr="003A455B">
        <w:rPr>
          <w:rFonts w:hint="cs"/>
          <w:rtl/>
          <w:lang w:val="en-US" w:bidi="ar-SY"/>
        </w:rPr>
        <w:t xml:space="preserve">وبناءً على ذلك، قرر المكتب الاستعاضة عن النظام </w:t>
      </w:r>
      <w:r w:rsidRPr="003A455B">
        <w:rPr>
          <w:lang w:val="en-US" w:bidi="ar-SY"/>
        </w:rPr>
        <w:t>Microsoft Access</w:t>
      </w:r>
      <w:r w:rsidRPr="003A455B">
        <w:rPr>
          <w:rFonts w:cs="Times New Roman"/>
          <w:position w:val="6"/>
          <w:lang w:val="en-US" w:bidi="ar-SY"/>
        </w:rPr>
        <w:t>®</w:t>
      </w:r>
      <w:r w:rsidRPr="003A455B">
        <w:rPr>
          <w:rFonts w:hint="cs"/>
          <w:rtl/>
          <w:lang w:val="en-US" w:bidi="ar-SY"/>
        </w:rPr>
        <w:t xml:space="preserve"> الموجود على النشرة</w:t>
      </w:r>
      <w:r w:rsidR="00426D64">
        <w:rPr>
          <w:rFonts w:hint="eastAsia"/>
          <w:rtl/>
          <w:lang w:val="en-US" w:bidi="ar-SY"/>
        </w:rPr>
        <w:t> </w:t>
      </w:r>
      <w:r w:rsidRPr="003A455B">
        <w:rPr>
          <w:lang w:val="en-US" w:bidi="ar-SY"/>
        </w:rPr>
        <w:t>BR IFIC</w:t>
      </w:r>
      <w:r w:rsidRPr="003A455B">
        <w:rPr>
          <w:rFonts w:hint="cs"/>
          <w:rtl/>
          <w:lang w:val="en-US" w:bidi="ar-SY"/>
        </w:rPr>
        <w:t xml:space="preserve"> (خدمات الأرض) بنظام بديل لإدارة قاعدة البيانات وأضاف هذه المهمة إلى الخطة التشغيلية للمكتب المرفوعة إلى الفريق الاستشاري للاتصالات الراديوية </w:t>
      </w:r>
      <w:r w:rsidRPr="003A455B">
        <w:rPr>
          <w:lang w:val="en-US" w:bidi="ar-SY"/>
        </w:rPr>
        <w:t>(RAG)</w:t>
      </w:r>
      <w:r w:rsidRPr="003A455B">
        <w:rPr>
          <w:rFonts w:hint="cs"/>
          <w:rtl/>
          <w:lang w:val="en-US" w:bidi="ar-SY"/>
        </w:rPr>
        <w:t>.</w:t>
      </w:r>
      <w:proofErr w:type="gramEnd"/>
    </w:p>
    <w:p w:rsidR="00607D49" w:rsidRPr="002F6C41" w:rsidRDefault="00607D49" w:rsidP="00F071E7">
      <w:pPr>
        <w:rPr>
          <w:rtl/>
          <w:lang w:val="en-US" w:bidi="ar-SY"/>
        </w:rPr>
      </w:pPr>
      <w:proofErr w:type="gramStart"/>
      <w:r w:rsidRPr="002F6C41">
        <w:rPr>
          <w:lang w:val="en-US" w:bidi="ar-SY"/>
        </w:rPr>
        <w:t>6</w:t>
      </w:r>
      <w:r w:rsidRPr="002F6C41">
        <w:rPr>
          <w:rFonts w:hint="cs"/>
          <w:rtl/>
          <w:lang w:val="en-US" w:bidi="ar-SY"/>
        </w:rPr>
        <w:tab/>
      </w:r>
      <w:r w:rsidRPr="002F6C41">
        <w:rPr>
          <w:rFonts w:hint="cs"/>
          <w:spacing w:val="-8"/>
          <w:rtl/>
          <w:lang w:val="en-US" w:bidi="ar-SY"/>
        </w:rPr>
        <w:t>وقام المكتب لبعض الوقت بإجراء اختبارات بنظام بديل لإدارة قاعدة البيانات اسمه</w:t>
      </w:r>
      <w:r w:rsidR="00426D64" w:rsidRPr="002F6C41">
        <w:rPr>
          <w:rFonts w:hint="eastAsia"/>
          <w:spacing w:val="-8"/>
          <w:rtl/>
          <w:lang w:val="en-US" w:bidi="ar-SY"/>
        </w:rPr>
        <w:t> </w:t>
      </w:r>
      <w:r w:rsidRPr="002F6C41">
        <w:rPr>
          <w:spacing w:val="-8"/>
          <w:lang w:val="en-US" w:bidi="ar-SY"/>
        </w:rPr>
        <w:t>SQLite</w:t>
      </w:r>
      <w:r w:rsidRPr="002F6C41">
        <w:rPr>
          <w:rFonts w:hint="cs"/>
          <w:spacing w:val="-8"/>
          <w:rtl/>
          <w:lang w:val="en-US" w:bidi="ar-SY"/>
        </w:rPr>
        <w:t>.</w:t>
      </w:r>
      <w:proofErr w:type="gramEnd"/>
      <w:r w:rsidRPr="002F6C41">
        <w:rPr>
          <w:rFonts w:hint="cs"/>
          <w:spacing w:val="-8"/>
          <w:rtl/>
          <w:lang w:val="en-US" w:bidi="ar-SY"/>
        </w:rPr>
        <w:t xml:space="preserve"> انظر</w:t>
      </w:r>
      <w:r w:rsidRPr="002F6C41">
        <w:rPr>
          <w:rFonts w:hint="cs"/>
          <w:rtl/>
          <w:lang w:val="en-US" w:bidi="ar-SY"/>
        </w:rPr>
        <w:t xml:space="preserve"> </w:t>
      </w:r>
      <w:hyperlink r:id="rId10" w:history="1">
        <w:r w:rsidRPr="002F6C41">
          <w:rPr>
            <w:rStyle w:val="Hyperlink"/>
            <w:spacing w:val="-10"/>
            <w:lang w:bidi="ar-SY"/>
          </w:rPr>
          <w:t>http://www.sqlite.org/</w:t>
        </w:r>
      </w:hyperlink>
      <w:r w:rsidRPr="002F6C41">
        <w:rPr>
          <w:rFonts w:hint="cs"/>
          <w:rtl/>
          <w:lang w:val="en-US" w:bidi="ar-SY"/>
        </w:rPr>
        <w:t>. والنظام</w:t>
      </w:r>
      <w:r w:rsidR="002F6C41">
        <w:rPr>
          <w:rFonts w:hint="eastAsia"/>
          <w:rtl/>
          <w:lang w:val="en-US" w:bidi="ar-SY"/>
        </w:rPr>
        <w:t> </w:t>
      </w:r>
      <w:r w:rsidRPr="002F6C41">
        <w:rPr>
          <w:lang w:val="en-US" w:bidi="ar-SY"/>
        </w:rPr>
        <w:t>SQLite</w:t>
      </w:r>
      <w:r w:rsidRPr="002F6C41">
        <w:rPr>
          <w:rFonts w:hint="cs"/>
          <w:rtl/>
          <w:lang w:val="en-US" w:bidi="ar-SY"/>
        </w:rPr>
        <w:t xml:space="preserve"> منتج "مفتوح المصدر"؛ لا</w:t>
      </w:r>
      <w:r w:rsidR="008D679E" w:rsidRPr="002F6C41">
        <w:rPr>
          <w:rFonts w:hint="eastAsia"/>
          <w:rtl/>
          <w:lang w:val="en-US" w:bidi="ar-SY"/>
        </w:rPr>
        <w:t> </w:t>
      </w:r>
      <w:r w:rsidRPr="002F6C41">
        <w:rPr>
          <w:rFonts w:hint="cs"/>
          <w:rtl/>
          <w:lang w:val="en-US" w:bidi="ar-SY"/>
        </w:rPr>
        <w:t>يستلزم شراء ترخيص لاستعماله، ولا توجد ضرورة لتعديل الضوابط الأمنية لنظام التشغيل</w:t>
      </w:r>
      <w:r w:rsidR="002B116E" w:rsidRPr="002F6C41">
        <w:rPr>
          <w:rFonts w:hint="eastAsia"/>
          <w:rtl/>
          <w:lang w:val="en-US" w:bidi="ar-SY"/>
        </w:rPr>
        <w:t> </w:t>
      </w:r>
      <w:r w:rsidRPr="002F6C41">
        <w:rPr>
          <w:lang w:val="en-US" w:bidi="ar-SY"/>
        </w:rPr>
        <w:t>Windows</w:t>
      </w:r>
      <w:r w:rsidRPr="002F6C41">
        <w:rPr>
          <w:rFonts w:hint="cs"/>
          <w:rtl/>
          <w:lang w:val="en-US" w:bidi="ar-SY"/>
        </w:rPr>
        <w:t xml:space="preserve"> لتنصيب قاعدة بيانات بالنظام</w:t>
      </w:r>
      <w:r w:rsidR="00F071E7">
        <w:rPr>
          <w:rFonts w:hint="eastAsia"/>
          <w:rtl/>
          <w:lang w:val="en-US" w:bidi="ar-SY"/>
        </w:rPr>
        <w:t> </w:t>
      </w:r>
      <w:r w:rsidRPr="002F6C41">
        <w:rPr>
          <w:lang w:val="en-US" w:bidi="ar-SY"/>
        </w:rPr>
        <w:t>SQLite</w:t>
      </w:r>
      <w:r w:rsidRPr="002F6C41">
        <w:rPr>
          <w:rFonts w:hint="cs"/>
          <w:rtl/>
          <w:lang w:val="en-US" w:bidi="ar-SY"/>
        </w:rPr>
        <w:t>. وشملت اختبارات المكتب توزيع واستعمال جزء صغير من قاعدة بيانات النشرة</w:t>
      </w:r>
      <w:r w:rsidR="002B116E" w:rsidRPr="002F6C41">
        <w:rPr>
          <w:rFonts w:hint="eastAsia"/>
          <w:rtl/>
          <w:lang w:val="en-US" w:bidi="ar-SY"/>
        </w:rPr>
        <w:t> </w:t>
      </w:r>
      <w:r w:rsidRPr="002F6C41">
        <w:rPr>
          <w:lang w:val="en-US" w:bidi="ar-SY"/>
        </w:rPr>
        <w:t>BR IFIC</w:t>
      </w:r>
      <w:r w:rsidRPr="002F6C41">
        <w:rPr>
          <w:rFonts w:hint="cs"/>
          <w:rtl/>
          <w:lang w:val="en-US" w:bidi="ar-SY"/>
        </w:rPr>
        <w:t xml:space="preserve"> بالنظام </w:t>
      </w:r>
      <w:r w:rsidRPr="002F6C41">
        <w:rPr>
          <w:lang w:val="en-US" w:bidi="ar-SY"/>
        </w:rPr>
        <w:t>SQLite</w:t>
      </w:r>
      <w:r w:rsidRPr="002F6C41">
        <w:rPr>
          <w:rFonts w:hint="cs"/>
          <w:rtl/>
          <w:lang w:val="en-US" w:bidi="ar-SY"/>
        </w:rPr>
        <w:t xml:space="preserve"> بدلاً من النظام </w:t>
      </w:r>
      <w:r w:rsidRPr="002F6C41">
        <w:rPr>
          <w:lang w:val="en-US" w:bidi="ar-SY"/>
        </w:rPr>
        <w:t>Microsoft Access</w:t>
      </w:r>
      <w:r w:rsidRPr="002F6C41">
        <w:rPr>
          <w:rFonts w:cs="Times New Roman"/>
          <w:position w:val="6"/>
          <w:lang w:val="en-US" w:bidi="ar-SY"/>
        </w:rPr>
        <w:t>®</w:t>
      </w:r>
      <w:r w:rsidRPr="002F6C41">
        <w:rPr>
          <w:rFonts w:hint="cs"/>
          <w:rtl/>
          <w:lang w:val="en-US" w:bidi="ar-SY"/>
        </w:rPr>
        <w:t>. ولما كانت نتائج هذه الاختبارات مؤاتية، قرر المكتب المضي حسب المخطط بإدخال النظام</w:t>
      </w:r>
      <w:r w:rsidR="002B116E" w:rsidRPr="002F6C41">
        <w:rPr>
          <w:rFonts w:hint="eastAsia"/>
          <w:rtl/>
          <w:lang w:val="en-US" w:bidi="ar-SY"/>
        </w:rPr>
        <w:t> </w:t>
      </w:r>
      <w:r w:rsidRPr="002F6C41">
        <w:rPr>
          <w:lang w:val="en-US" w:bidi="ar-SY"/>
        </w:rPr>
        <w:t>SQLite</w:t>
      </w:r>
      <w:r w:rsidRPr="002F6C41">
        <w:rPr>
          <w:rFonts w:hint="cs"/>
          <w:rtl/>
          <w:lang w:val="en-US" w:bidi="ar-SY"/>
        </w:rPr>
        <w:t xml:space="preserve"> على النشرة</w:t>
      </w:r>
      <w:r w:rsidR="002B116E" w:rsidRPr="002F6C41">
        <w:rPr>
          <w:rFonts w:hint="eastAsia"/>
          <w:rtl/>
          <w:lang w:val="en-US" w:bidi="ar-SY"/>
        </w:rPr>
        <w:t> </w:t>
      </w:r>
      <w:r w:rsidRPr="002F6C41">
        <w:rPr>
          <w:lang w:val="en-US" w:bidi="ar-SY"/>
        </w:rPr>
        <w:t>BR IFIC</w:t>
      </w:r>
      <w:r w:rsidRPr="002F6C41">
        <w:rPr>
          <w:rFonts w:hint="cs"/>
          <w:rtl/>
          <w:lang w:val="en-US" w:bidi="ar-SY"/>
        </w:rPr>
        <w:t xml:space="preserve"> (خدمات الأرض).</w:t>
      </w:r>
    </w:p>
    <w:p w:rsidR="00607D49" w:rsidRPr="003A455B" w:rsidRDefault="00607D49" w:rsidP="00ED677B">
      <w:pPr>
        <w:rPr>
          <w:rtl/>
          <w:lang w:val="en-US" w:bidi="ar-SY"/>
        </w:rPr>
      </w:pPr>
      <w:proofErr w:type="gramStart"/>
      <w:r w:rsidRPr="003A455B">
        <w:rPr>
          <w:lang w:val="en-US" w:bidi="ar-SY"/>
        </w:rPr>
        <w:t>7</w:t>
      </w:r>
      <w:r w:rsidRPr="003A455B">
        <w:rPr>
          <w:rFonts w:hint="cs"/>
          <w:rtl/>
          <w:lang w:val="en-US" w:bidi="ar-SY"/>
        </w:rPr>
        <w:tab/>
        <w:t>ومن بين المزايا الرئيسية للنسق</w:t>
      </w:r>
      <w:r w:rsidR="00ED677B">
        <w:rPr>
          <w:rFonts w:hint="eastAsia"/>
          <w:rtl/>
          <w:lang w:val="en-US" w:bidi="ar-SY"/>
        </w:rPr>
        <w:t> </w:t>
      </w:r>
      <w:r w:rsidRPr="003A455B">
        <w:rPr>
          <w:lang w:val="en-US" w:bidi="ar-SY"/>
        </w:rPr>
        <w:t>SQLite</w:t>
      </w:r>
      <w:r w:rsidRPr="003A455B">
        <w:rPr>
          <w:rFonts w:hint="cs"/>
          <w:rtl/>
          <w:lang w:val="en-US" w:bidi="ar-SY"/>
        </w:rPr>
        <w:t xml:space="preserve"> أنه يسمح بدمج قاعدة البيانات بالكامل في ملف واحد.</w:t>
      </w:r>
      <w:proofErr w:type="gramEnd"/>
      <w:r w:rsidRPr="003A455B">
        <w:rPr>
          <w:rFonts w:hint="cs"/>
          <w:rtl/>
          <w:lang w:val="en-US" w:bidi="ar-SY"/>
        </w:rPr>
        <w:t xml:space="preserve"> ويتيح ذلك للمكتب</w:t>
      </w:r>
      <w:r w:rsidR="00712387">
        <w:rPr>
          <w:rFonts w:hint="eastAsia"/>
          <w:rtl/>
          <w:lang w:val="en-US" w:bidi="ar-SY"/>
        </w:rPr>
        <w:t> </w:t>
      </w:r>
      <w:r w:rsidRPr="003A455B">
        <w:rPr>
          <w:rFonts w:hint="cs"/>
          <w:rtl/>
          <w:lang w:val="en-US" w:bidi="ar-SY"/>
        </w:rPr>
        <w:t>تطوير</w:t>
      </w:r>
      <w:r w:rsidR="00191DB2" w:rsidRPr="003A455B">
        <w:rPr>
          <w:rFonts w:hint="cs"/>
          <w:rtl/>
          <w:lang w:val="en-US" w:bidi="ar-SY"/>
        </w:rPr>
        <w:t>:</w:t>
      </w:r>
    </w:p>
    <w:p w:rsidR="00191DB2" w:rsidRPr="003A455B" w:rsidRDefault="00191DB2" w:rsidP="002B116E">
      <w:pPr>
        <w:pStyle w:val="enumlev1"/>
        <w:rPr>
          <w:rtl/>
          <w:lang w:val="en-US" w:bidi="ar-SY"/>
        </w:rPr>
      </w:pPr>
      <w:r w:rsidRPr="003A455B">
        <w:rPr>
          <w:lang w:val="en-US" w:bidi="ar-SY"/>
        </w:rPr>
        <w:t>•</w:t>
      </w:r>
      <w:r w:rsidRPr="003A455B">
        <w:rPr>
          <w:rFonts w:hint="cs"/>
          <w:rtl/>
          <w:lang w:val="en-US" w:bidi="ar-SY"/>
        </w:rPr>
        <w:tab/>
        <w:t>صيغة جديدة من برنامج الاستفسار</w:t>
      </w:r>
      <w:r w:rsidR="002B116E">
        <w:rPr>
          <w:rFonts w:hint="eastAsia"/>
          <w:rtl/>
          <w:lang w:val="en-US" w:bidi="ar-SY"/>
        </w:rPr>
        <w:t> </w:t>
      </w:r>
      <w:proofErr w:type="spellStart"/>
      <w:r w:rsidRPr="003A455B">
        <w:rPr>
          <w:b/>
          <w:bCs/>
          <w:i/>
          <w:iCs/>
          <w:lang w:val="en-US" w:bidi="ar-SY"/>
        </w:rPr>
        <w:t>TerRaQ</w:t>
      </w:r>
      <w:proofErr w:type="spellEnd"/>
      <w:r w:rsidRPr="003A455B">
        <w:rPr>
          <w:rFonts w:hint="cs"/>
          <w:rtl/>
          <w:lang w:val="en-US" w:bidi="ar-SY"/>
        </w:rPr>
        <w:t xml:space="preserve"> فضلاً </w:t>
      </w:r>
      <w:r w:rsidR="00A06CC3">
        <w:rPr>
          <w:rFonts w:hint="cs"/>
          <w:rtl/>
          <w:lang w:val="en-US" w:bidi="ar-SY"/>
        </w:rPr>
        <w:t xml:space="preserve">عن </w:t>
      </w:r>
      <w:r w:rsidRPr="003A455B">
        <w:rPr>
          <w:rFonts w:hint="cs"/>
          <w:rtl/>
          <w:lang w:val="en-US" w:bidi="ar-SY"/>
        </w:rPr>
        <w:t>صيغ منقحة للبرنامجين</w:t>
      </w:r>
      <w:r w:rsidR="002B116E">
        <w:rPr>
          <w:rFonts w:hint="eastAsia"/>
          <w:rtl/>
          <w:lang w:val="en-US" w:bidi="ar-SY"/>
        </w:rPr>
        <w:t> </w:t>
      </w:r>
      <w:proofErr w:type="spellStart"/>
      <w:r w:rsidRPr="003A455B">
        <w:rPr>
          <w:b/>
          <w:bCs/>
          <w:i/>
          <w:iCs/>
          <w:lang w:val="en-US" w:bidi="ar-SY"/>
        </w:rPr>
        <w:t>TerRaNotices</w:t>
      </w:r>
      <w:proofErr w:type="spellEnd"/>
      <w:r w:rsidRPr="003A455B">
        <w:rPr>
          <w:rFonts w:hint="cs"/>
          <w:rtl/>
          <w:lang w:val="en-US" w:bidi="ar-SY"/>
        </w:rPr>
        <w:t xml:space="preserve"> و</w:t>
      </w:r>
      <w:proofErr w:type="spellStart"/>
      <w:r w:rsidRPr="003A455B">
        <w:rPr>
          <w:b/>
          <w:bCs/>
          <w:i/>
          <w:iCs/>
          <w:lang w:val="en-US" w:bidi="ar-SY"/>
        </w:rPr>
        <w:t>TerRaNV</w:t>
      </w:r>
      <w:proofErr w:type="spellEnd"/>
      <w:r w:rsidRPr="003A455B">
        <w:rPr>
          <w:rFonts w:hint="cs"/>
          <w:rtl/>
          <w:lang w:val="en-US" w:bidi="ar-SY"/>
        </w:rPr>
        <w:t xml:space="preserve"> يتم</w:t>
      </w:r>
      <w:r w:rsidR="00736478">
        <w:rPr>
          <w:rFonts w:hint="eastAsia"/>
          <w:rtl/>
          <w:lang w:val="en-US" w:bidi="ar-SY"/>
        </w:rPr>
        <w:t> </w:t>
      </w:r>
      <w:r w:rsidRPr="003A455B">
        <w:rPr>
          <w:rFonts w:hint="cs"/>
          <w:rtl/>
          <w:lang w:val="en-US" w:bidi="ar-SY"/>
        </w:rPr>
        <w:t>دمجها على النشرة</w:t>
      </w:r>
      <w:r w:rsidR="002B116E">
        <w:rPr>
          <w:rFonts w:hint="eastAsia"/>
          <w:rtl/>
          <w:lang w:val="en-US" w:bidi="ar-SY"/>
        </w:rPr>
        <w:t> </w:t>
      </w:r>
      <w:r w:rsidRPr="003A455B">
        <w:rPr>
          <w:lang w:val="en-US" w:bidi="ar-SY"/>
        </w:rPr>
        <w:t>BR IFIC</w:t>
      </w:r>
      <w:r w:rsidRPr="003A455B">
        <w:rPr>
          <w:rFonts w:hint="cs"/>
          <w:rtl/>
          <w:lang w:val="en-US" w:bidi="ar-SY"/>
        </w:rPr>
        <w:t xml:space="preserve"> بحيث تقرأ قاعدة البيانات </w:t>
      </w:r>
      <w:r w:rsidRPr="003A455B">
        <w:rPr>
          <w:lang w:val="en-US" w:bidi="ar-SY"/>
        </w:rPr>
        <w:t>SQLite</w:t>
      </w:r>
      <w:r w:rsidRPr="003A455B">
        <w:rPr>
          <w:rFonts w:hint="cs"/>
          <w:rtl/>
          <w:lang w:val="en-US" w:bidi="ar-SY"/>
        </w:rPr>
        <w:t>؛</w:t>
      </w:r>
    </w:p>
    <w:p w:rsidR="00191DB2" w:rsidRPr="003A455B" w:rsidRDefault="00191DB2" w:rsidP="002B116E">
      <w:pPr>
        <w:pStyle w:val="enumlev1"/>
        <w:rPr>
          <w:spacing w:val="-2"/>
          <w:rtl/>
          <w:lang w:val="en-US" w:bidi="ar-SY"/>
        </w:rPr>
      </w:pPr>
      <w:r w:rsidRPr="003A455B">
        <w:rPr>
          <w:spacing w:val="-2"/>
          <w:lang w:val="en-US" w:bidi="ar-SY"/>
        </w:rPr>
        <w:t>•</w:t>
      </w:r>
      <w:r w:rsidRPr="003A455B">
        <w:rPr>
          <w:rFonts w:hint="cs"/>
          <w:spacing w:val="-2"/>
          <w:rtl/>
          <w:lang w:val="en-US" w:bidi="ar-SY"/>
        </w:rPr>
        <w:tab/>
        <w:t>"قائمة تصفح" جديدة في شكل أسلوب "وصل وشغل" تتيح للمستعمل تصفح البيانات وإجراء الاستفسارات وتنفيذ أي من حزم البرمجيات المذكورة أعلاه، من القرص</w:t>
      </w:r>
      <w:r w:rsidR="002B116E">
        <w:rPr>
          <w:rFonts w:hint="eastAsia"/>
          <w:spacing w:val="-2"/>
          <w:rtl/>
          <w:lang w:val="en-US" w:bidi="ar-SY"/>
        </w:rPr>
        <w:t> </w:t>
      </w:r>
      <w:r w:rsidRPr="003A455B">
        <w:rPr>
          <w:spacing w:val="-2"/>
          <w:lang w:val="en-US" w:bidi="ar-SY"/>
        </w:rPr>
        <w:t>DVD</w:t>
      </w:r>
      <w:r w:rsidRPr="003A455B">
        <w:rPr>
          <w:rFonts w:hint="cs"/>
          <w:spacing w:val="-2"/>
          <w:rtl/>
          <w:lang w:val="en-US" w:bidi="ar-SY"/>
        </w:rPr>
        <w:t xml:space="preserve"> مباشرة، دون الحاجة إلى القيام بأي عملية تنصيب؛</w:t>
      </w:r>
    </w:p>
    <w:p w:rsidR="00191DB2" w:rsidRPr="003A455B" w:rsidRDefault="00191DB2" w:rsidP="00E36E29">
      <w:pPr>
        <w:pStyle w:val="enumlev1"/>
        <w:rPr>
          <w:rtl/>
          <w:lang w:val="en-US" w:bidi="ar-SY"/>
        </w:rPr>
      </w:pPr>
      <w:proofErr w:type="gramStart"/>
      <w:r w:rsidRPr="003A455B">
        <w:rPr>
          <w:lang w:val="en-US" w:bidi="ar-SY"/>
        </w:rPr>
        <w:t>•</w:t>
      </w:r>
      <w:r w:rsidRPr="003A455B">
        <w:rPr>
          <w:rFonts w:hint="cs"/>
          <w:rtl/>
          <w:lang w:val="en-US" w:bidi="ar-SY"/>
        </w:rPr>
        <w:tab/>
        <w:t>إمكانية "التنصيب حسب الطلب" والتي تتيح للمستعمل تنصيب بيانات النشرة</w:t>
      </w:r>
      <w:r w:rsidR="00E36E29">
        <w:rPr>
          <w:rFonts w:hint="eastAsia"/>
          <w:rtl/>
          <w:lang w:val="en-US" w:bidi="ar-SY"/>
        </w:rPr>
        <w:t> </w:t>
      </w:r>
      <w:r w:rsidRPr="003A455B">
        <w:rPr>
          <w:lang w:val="en-US" w:bidi="ar-SY"/>
        </w:rPr>
        <w:t>BR IFIC</w:t>
      </w:r>
      <w:r w:rsidRPr="003A455B">
        <w:rPr>
          <w:rFonts w:hint="cs"/>
          <w:rtl/>
          <w:lang w:val="en-US" w:bidi="ar-SY"/>
        </w:rPr>
        <w:t xml:space="preserve"> و/أو حزم برمجياتها على القرص الصلب للمستعمل إذا رغب في ذلك.</w:t>
      </w:r>
      <w:proofErr w:type="gramEnd"/>
    </w:p>
    <w:p w:rsidR="00191DB2" w:rsidRPr="003A455B" w:rsidRDefault="00191DB2" w:rsidP="00C85100">
      <w:pPr>
        <w:rPr>
          <w:spacing w:val="2"/>
          <w:rtl/>
          <w:lang w:val="en-US" w:bidi="ar-SY"/>
        </w:rPr>
      </w:pPr>
      <w:proofErr w:type="gramStart"/>
      <w:r w:rsidRPr="003A455B">
        <w:rPr>
          <w:spacing w:val="2"/>
          <w:lang w:val="en-US" w:bidi="ar-SY"/>
        </w:rPr>
        <w:t>8</w:t>
      </w:r>
      <w:r w:rsidRPr="003A455B">
        <w:rPr>
          <w:rFonts w:hint="cs"/>
          <w:spacing w:val="2"/>
          <w:rtl/>
          <w:lang w:val="en-US" w:bidi="ar-SY"/>
        </w:rPr>
        <w:tab/>
        <w:t>ويقر المكتب بأن هذا الانتقال إلى نظام إدارة قاعدة البيانات</w:t>
      </w:r>
      <w:r w:rsidR="00426D64">
        <w:rPr>
          <w:rFonts w:hint="eastAsia"/>
          <w:spacing w:val="2"/>
          <w:rtl/>
          <w:lang w:val="en-US" w:bidi="ar-SY"/>
        </w:rPr>
        <w:t> </w:t>
      </w:r>
      <w:r w:rsidRPr="003A455B">
        <w:rPr>
          <w:spacing w:val="2"/>
          <w:lang w:val="en-US" w:bidi="ar-SY"/>
        </w:rPr>
        <w:t>SQLite</w:t>
      </w:r>
      <w:r w:rsidRPr="003A455B">
        <w:rPr>
          <w:rFonts w:hint="cs"/>
          <w:spacing w:val="2"/>
          <w:rtl/>
          <w:lang w:val="en-US" w:bidi="ar-SY"/>
        </w:rPr>
        <w:t xml:space="preserve"> قد يتسبب في بعض المصاعب للمستعملين الذين قاموا بتطوير برامج تعمل مباشرةً مع قاعدة البيانات</w:t>
      </w:r>
      <w:r w:rsidR="00C57D2A">
        <w:rPr>
          <w:rFonts w:hint="eastAsia"/>
          <w:spacing w:val="2"/>
          <w:rtl/>
          <w:lang w:val="en-US" w:bidi="ar-SY"/>
        </w:rPr>
        <w:t> </w:t>
      </w:r>
      <w:r w:rsidRPr="003A455B">
        <w:rPr>
          <w:spacing w:val="2"/>
          <w:lang w:val="en-US" w:bidi="ar-SY"/>
        </w:rPr>
        <w:t>Microsoft Access</w:t>
      </w:r>
      <w:r w:rsidRPr="003A455B">
        <w:rPr>
          <w:rFonts w:cs="Times New Roman"/>
          <w:spacing w:val="2"/>
          <w:position w:val="6"/>
          <w:lang w:val="en-US" w:bidi="ar-SY"/>
        </w:rPr>
        <w:t>®</w:t>
      </w:r>
      <w:r w:rsidRPr="003A455B">
        <w:rPr>
          <w:rFonts w:hint="cs"/>
          <w:spacing w:val="2"/>
          <w:rtl/>
          <w:lang w:val="en-US" w:bidi="ar-SY"/>
        </w:rPr>
        <w:t xml:space="preserve"> على النشرة</w:t>
      </w:r>
      <w:r w:rsidR="00426D64">
        <w:rPr>
          <w:rFonts w:hint="eastAsia"/>
          <w:spacing w:val="2"/>
          <w:rtl/>
          <w:lang w:val="en-US" w:bidi="ar-SY"/>
        </w:rPr>
        <w:t> </w:t>
      </w:r>
      <w:r w:rsidRPr="003A455B">
        <w:rPr>
          <w:spacing w:val="2"/>
          <w:lang w:val="en-US" w:bidi="ar-SY"/>
        </w:rPr>
        <w:t>BR IFIC</w:t>
      </w:r>
      <w:r w:rsidRPr="003A455B">
        <w:rPr>
          <w:rFonts w:hint="cs"/>
          <w:spacing w:val="2"/>
          <w:rtl/>
          <w:lang w:val="en-US" w:bidi="ar-SY"/>
        </w:rPr>
        <w:t>.</w:t>
      </w:r>
      <w:proofErr w:type="gramEnd"/>
      <w:r w:rsidRPr="003A455B">
        <w:rPr>
          <w:rFonts w:hint="cs"/>
          <w:spacing w:val="2"/>
          <w:rtl/>
          <w:lang w:val="en-US" w:bidi="ar-SY"/>
        </w:rPr>
        <w:t xml:space="preserve"> وجدير بالإشارة أنه يوجد في</w:t>
      </w:r>
      <w:r w:rsidRPr="003A455B">
        <w:rPr>
          <w:rFonts w:hint="eastAsia"/>
          <w:spacing w:val="2"/>
          <w:rtl/>
          <w:lang w:val="en-US" w:bidi="ar-SY"/>
        </w:rPr>
        <w:t> </w:t>
      </w:r>
      <w:r w:rsidRPr="003A455B">
        <w:rPr>
          <w:rFonts w:hint="cs"/>
          <w:spacing w:val="2"/>
          <w:rtl/>
          <w:lang w:val="en-US" w:bidi="ar-SY"/>
        </w:rPr>
        <w:t>هذا الصدد العديد من المحركات</w:t>
      </w:r>
      <w:r w:rsidR="002B116E">
        <w:rPr>
          <w:rFonts w:hint="eastAsia"/>
          <w:spacing w:val="2"/>
          <w:rtl/>
          <w:lang w:val="en-US" w:bidi="ar-SY"/>
        </w:rPr>
        <w:t> </w:t>
      </w:r>
      <w:r w:rsidRPr="003A455B">
        <w:rPr>
          <w:spacing w:val="2"/>
          <w:lang w:val="en-US" w:bidi="ar-SY"/>
        </w:rPr>
        <w:t>ODBC</w:t>
      </w:r>
      <w:r w:rsidRPr="003A455B">
        <w:rPr>
          <w:rFonts w:hint="cs"/>
          <w:spacing w:val="2"/>
          <w:rtl/>
          <w:lang w:val="en-US" w:bidi="ar-SY"/>
        </w:rPr>
        <w:t xml:space="preserve"> المجانية، وموردي الشبكة وما إلى ذلك من أجل النظام</w:t>
      </w:r>
      <w:r w:rsidR="00426D64">
        <w:rPr>
          <w:rFonts w:hint="eastAsia"/>
          <w:spacing w:val="2"/>
          <w:rtl/>
          <w:lang w:val="en-US" w:bidi="ar-SY"/>
        </w:rPr>
        <w:t> </w:t>
      </w:r>
      <w:r w:rsidRPr="003A455B">
        <w:rPr>
          <w:spacing w:val="2"/>
          <w:lang w:val="en-US" w:bidi="ar-SY"/>
        </w:rPr>
        <w:t>SQLite</w:t>
      </w:r>
      <w:r w:rsidRPr="003A455B">
        <w:rPr>
          <w:rFonts w:hint="cs"/>
          <w:spacing w:val="2"/>
          <w:rtl/>
          <w:lang w:val="en-US" w:bidi="ar-SY"/>
        </w:rPr>
        <w:t xml:space="preserve"> وهو ما</w:t>
      </w:r>
      <w:r w:rsidR="00C85100">
        <w:rPr>
          <w:rFonts w:hint="eastAsia"/>
          <w:spacing w:val="2"/>
          <w:rtl/>
          <w:lang w:val="en-US" w:bidi="ar-SY"/>
        </w:rPr>
        <w:t> </w:t>
      </w:r>
      <w:r w:rsidRPr="003A455B">
        <w:rPr>
          <w:rFonts w:hint="cs"/>
          <w:spacing w:val="2"/>
          <w:rtl/>
          <w:lang w:val="en-US" w:bidi="ar-SY"/>
        </w:rPr>
        <w:t xml:space="preserve">يتيح الانتقال السهل </w:t>
      </w:r>
      <w:r w:rsidR="00A06CC3">
        <w:rPr>
          <w:rFonts w:hint="cs"/>
          <w:spacing w:val="2"/>
          <w:rtl/>
          <w:lang w:val="en-US" w:bidi="ar-SY"/>
        </w:rPr>
        <w:t>وبشفافية</w:t>
      </w:r>
      <w:r w:rsidRPr="003A455B">
        <w:rPr>
          <w:rFonts w:hint="cs"/>
          <w:spacing w:val="2"/>
          <w:rtl/>
          <w:lang w:val="en-US" w:bidi="ar-SY"/>
        </w:rPr>
        <w:t xml:space="preserve"> بالنسبة للمستعملين الذين طوروا برامج خاصة بهم. وينبغي التأكيد كذلك على أن بنية قاعدة البيانات (مثل أسماء الجداول وأسماء الحقول وأنماطها) لا</w:t>
      </w:r>
      <w:r w:rsidR="00A06CC3">
        <w:rPr>
          <w:rFonts w:hint="eastAsia"/>
          <w:spacing w:val="2"/>
          <w:rtl/>
          <w:lang w:val="en-US" w:bidi="ar-SY"/>
        </w:rPr>
        <w:t> </w:t>
      </w:r>
      <w:r w:rsidRPr="003A455B">
        <w:rPr>
          <w:rFonts w:hint="cs"/>
          <w:spacing w:val="2"/>
          <w:rtl/>
          <w:lang w:val="en-US" w:bidi="ar-SY"/>
        </w:rPr>
        <w:t>تزال كما هي بدون تغيير، وذلك للحد من التغييرات المحتملة اللازمة لبرمجيات أي طرف ثالث آخر. ومع ذلك، فإنه للحد من التضارب المحتمل، تناول المكتب بالبحث العديد من الاحتمالات، من بينها:</w:t>
      </w:r>
    </w:p>
    <w:p w:rsidR="00191DB2" w:rsidRPr="005B34F2" w:rsidRDefault="00191DB2" w:rsidP="00950225">
      <w:pPr>
        <w:pStyle w:val="enumlev1"/>
        <w:rPr>
          <w:spacing w:val="-6"/>
          <w:rtl/>
          <w:lang w:val="en-US" w:bidi="ar-SY"/>
        </w:rPr>
      </w:pPr>
      <w:r w:rsidRPr="005B34F2">
        <w:rPr>
          <w:spacing w:val="-6"/>
          <w:lang w:val="en-US" w:bidi="ar-SY"/>
        </w:rPr>
        <w:t>•</w:t>
      </w:r>
      <w:r w:rsidRPr="005B34F2">
        <w:rPr>
          <w:rFonts w:hint="cs"/>
          <w:spacing w:val="-6"/>
          <w:rtl/>
          <w:lang w:val="en-US" w:bidi="ar-SY"/>
        </w:rPr>
        <w:tab/>
        <w:t>قدرات لتحويل قاعدة البيانات</w:t>
      </w:r>
      <w:r w:rsidR="00426D64" w:rsidRPr="005B34F2">
        <w:rPr>
          <w:rFonts w:hint="eastAsia"/>
          <w:spacing w:val="-6"/>
          <w:rtl/>
          <w:lang w:val="en-US" w:bidi="ar-SY"/>
        </w:rPr>
        <w:t> </w:t>
      </w:r>
      <w:r w:rsidRPr="005B34F2">
        <w:rPr>
          <w:spacing w:val="-6"/>
          <w:lang w:val="en-US" w:bidi="ar-SY"/>
        </w:rPr>
        <w:t>SQLite</w:t>
      </w:r>
      <w:r w:rsidRPr="005B34F2">
        <w:rPr>
          <w:rFonts w:hint="cs"/>
          <w:spacing w:val="-6"/>
          <w:rtl/>
          <w:lang w:val="en-US" w:bidi="ar-SY"/>
        </w:rPr>
        <w:t xml:space="preserve"> على النشرة</w:t>
      </w:r>
      <w:r w:rsidR="00426D64" w:rsidRPr="005B34F2">
        <w:rPr>
          <w:rFonts w:hint="eastAsia"/>
          <w:spacing w:val="-6"/>
          <w:rtl/>
          <w:lang w:val="en-US" w:bidi="ar-SY"/>
        </w:rPr>
        <w:t> </w:t>
      </w:r>
      <w:r w:rsidRPr="005B34F2">
        <w:rPr>
          <w:spacing w:val="-6"/>
          <w:lang w:val="en-US" w:bidi="ar-SY"/>
        </w:rPr>
        <w:t>BR IFIC</w:t>
      </w:r>
      <w:r w:rsidRPr="005B34F2">
        <w:rPr>
          <w:rFonts w:hint="cs"/>
          <w:spacing w:val="-6"/>
          <w:rtl/>
          <w:lang w:val="en-US" w:bidi="ar-SY"/>
        </w:rPr>
        <w:t xml:space="preserve"> لخدمات الأرض إلى قاعدة البيانات</w:t>
      </w:r>
      <w:r w:rsidR="00950225" w:rsidRPr="005B34F2">
        <w:rPr>
          <w:rFonts w:hint="eastAsia"/>
          <w:spacing w:val="-6"/>
          <w:rtl/>
          <w:lang w:val="en-US" w:bidi="ar-SY"/>
        </w:rPr>
        <w:t> </w:t>
      </w:r>
      <w:r w:rsidRPr="005B34F2">
        <w:rPr>
          <w:spacing w:val="-6"/>
          <w:lang w:val="en-US" w:bidi="ar-SY"/>
        </w:rPr>
        <w:t>Microsoft Access</w:t>
      </w:r>
      <w:r w:rsidRPr="005B34F2">
        <w:rPr>
          <w:rFonts w:cs="Times New Roman"/>
          <w:spacing w:val="-6"/>
          <w:position w:val="6"/>
          <w:lang w:val="en-US" w:bidi="ar-SY"/>
        </w:rPr>
        <w:t>®</w:t>
      </w:r>
      <w:r w:rsidRPr="005B34F2">
        <w:rPr>
          <w:rFonts w:hint="cs"/>
          <w:spacing w:val="-6"/>
          <w:rtl/>
          <w:lang w:val="en-US" w:bidi="ar-SY"/>
        </w:rPr>
        <w:t xml:space="preserve"> والعكس؛</w:t>
      </w:r>
    </w:p>
    <w:p w:rsidR="00191DB2" w:rsidRPr="003A455B" w:rsidRDefault="00191DB2" w:rsidP="003A455B">
      <w:pPr>
        <w:pStyle w:val="enumlev1"/>
        <w:rPr>
          <w:rtl/>
          <w:lang w:val="en-US" w:bidi="ar-SY"/>
        </w:rPr>
      </w:pPr>
      <w:proofErr w:type="gramStart"/>
      <w:r w:rsidRPr="003A455B">
        <w:rPr>
          <w:lang w:val="en-US" w:bidi="ar-SY"/>
        </w:rPr>
        <w:t>•</w:t>
      </w:r>
      <w:r w:rsidRPr="003A455B">
        <w:rPr>
          <w:rFonts w:hint="cs"/>
          <w:rtl/>
          <w:lang w:val="en-US" w:bidi="ar-SY"/>
        </w:rPr>
        <w:tab/>
        <w:t xml:space="preserve">توفير خيار في البرنامج </w:t>
      </w:r>
      <w:proofErr w:type="spellStart"/>
      <w:r w:rsidRPr="003A455B">
        <w:rPr>
          <w:b/>
          <w:bCs/>
          <w:i/>
          <w:iCs/>
          <w:lang w:val="en-US" w:bidi="ar-SY"/>
        </w:rPr>
        <w:t>TerRaQ</w:t>
      </w:r>
      <w:proofErr w:type="spellEnd"/>
      <w:r w:rsidRPr="003A455B">
        <w:rPr>
          <w:rFonts w:hint="cs"/>
          <w:rtl/>
          <w:lang w:val="en-US" w:bidi="ar-SY"/>
        </w:rPr>
        <w:t xml:space="preserve"> لتقديم البيانات</w:t>
      </w:r>
      <w:r w:rsidR="00615B21">
        <w:rPr>
          <w:rFonts w:hint="cs"/>
          <w:rtl/>
          <w:lang w:val="en-US" w:bidi="ar-SY"/>
        </w:rPr>
        <w:t xml:space="preserve"> إلى قاعدة </w:t>
      </w:r>
      <w:r w:rsidRPr="003A455B">
        <w:rPr>
          <w:rFonts w:hint="cs"/>
          <w:rtl/>
          <w:lang w:val="en-US" w:bidi="ar-SY"/>
        </w:rPr>
        <w:t xml:space="preserve">بيانات بالنظام </w:t>
      </w:r>
      <w:r w:rsidRPr="003A455B">
        <w:rPr>
          <w:lang w:val="en-US" w:bidi="ar-SY"/>
        </w:rPr>
        <w:t>Microsoft Access</w:t>
      </w:r>
      <w:r w:rsidRPr="003A455B">
        <w:rPr>
          <w:rFonts w:cs="Times New Roman"/>
          <w:position w:val="6"/>
          <w:lang w:val="en-US" w:bidi="ar-SY"/>
        </w:rPr>
        <w:t>®</w:t>
      </w:r>
      <w:r w:rsidRPr="003A455B">
        <w:rPr>
          <w:rFonts w:hint="cs"/>
          <w:rtl/>
          <w:lang w:val="en-US" w:bidi="ar-SY"/>
        </w:rPr>
        <w:t xml:space="preserve"> إضافة إلى قاعدة بيانات بالنظام </w:t>
      </w:r>
      <w:r w:rsidRPr="003A455B">
        <w:rPr>
          <w:lang w:val="en-US" w:bidi="ar-SY"/>
        </w:rPr>
        <w:t>SQLite</w:t>
      </w:r>
      <w:r w:rsidRPr="003A455B">
        <w:rPr>
          <w:rFonts w:hint="cs"/>
          <w:rtl/>
          <w:lang w:val="en-US" w:bidi="ar-SY"/>
        </w:rPr>
        <w:t>.</w:t>
      </w:r>
      <w:proofErr w:type="gramEnd"/>
    </w:p>
    <w:p w:rsidR="00191DB2" w:rsidRPr="00A57EB2" w:rsidRDefault="00824571" w:rsidP="00294983">
      <w:pPr>
        <w:rPr>
          <w:rtl/>
          <w:lang w:val="en-US" w:bidi="ar-EG"/>
        </w:rPr>
      </w:pPr>
      <w:proofErr w:type="gramStart"/>
      <w:r w:rsidRPr="00A57EB2">
        <w:rPr>
          <w:lang w:val="en-US" w:bidi="ar-SY"/>
        </w:rPr>
        <w:t>9</w:t>
      </w:r>
      <w:r w:rsidRPr="00A57EB2">
        <w:rPr>
          <w:rFonts w:hint="cs"/>
          <w:rtl/>
          <w:lang w:val="en-US" w:bidi="ar-SY"/>
        </w:rPr>
        <w:tab/>
        <w:t>بيد أنه لتوفير فترة اختبار قبل تحويل النشرة</w:t>
      </w:r>
      <w:r w:rsidR="0068580D" w:rsidRPr="00A57EB2">
        <w:rPr>
          <w:rFonts w:hint="eastAsia"/>
          <w:rtl/>
          <w:lang w:val="en-US" w:bidi="ar-SY"/>
        </w:rPr>
        <w:t> </w:t>
      </w:r>
      <w:r w:rsidRPr="00A57EB2">
        <w:rPr>
          <w:lang w:val="en-US" w:bidi="ar-SY"/>
        </w:rPr>
        <w:t>BR IFIC</w:t>
      </w:r>
      <w:r w:rsidRPr="00A57EB2">
        <w:rPr>
          <w:rFonts w:hint="cs"/>
          <w:rtl/>
          <w:lang w:val="en-US" w:bidi="ar-SY"/>
        </w:rPr>
        <w:t xml:space="preserve"> (خدمات الأرض) إلى النسق الجديد، قرر المكتب </w:t>
      </w:r>
      <w:r w:rsidR="00294983">
        <w:rPr>
          <w:rFonts w:hint="cs"/>
          <w:rtl/>
          <w:lang w:val="en-US" w:bidi="ar-SY"/>
        </w:rPr>
        <w:t>إرسال</w:t>
      </w:r>
      <w:r w:rsidRPr="00A57EB2">
        <w:rPr>
          <w:rFonts w:hint="cs"/>
          <w:rtl/>
          <w:lang w:val="en-US" w:bidi="ar-SY"/>
        </w:rPr>
        <w:t xml:space="preserve"> نسخة</w:t>
      </w:r>
      <w:r w:rsidR="003E57D9" w:rsidRPr="00A57EB2">
        <w:rPr>
          <w:rFonts w:hint="eastAsia"/>
          <w:rtl/>
          <w:lang w:val="en-US" w:bidi="ar-SY"/>
        </w:rPr>
        <w:t> </w:t>
      </w:r>
      <w:r w:rsidRPr="00A57EB2">
        <w:rPr>
          <w:lang w:val="en-US" w:bidi="ar-SY"/>
        </w:rPr>
        <w:t>Beta</w:t>
      </w:r>
      <w:r w:rsidR="00D02B48" w:rsidRPr="00A57EB2">
        <w:rPr>
          <w:rFonts w:hint="cs"/>
          <w:rtl/>
          <w:lang w:val="en-US" w:bidi="ar-SY"/>
        </w:rPr>
        <w:t xml:space="preserve"> من</w:t>
      </w:r>
      <w:r w:rsidR="00915645" w:rsidRPr="00A57EB2">
        <w:rPr>
          <w:rFonts w:hint="cs"/>
          <w:rtl/>
          <w:lang w:val="en-US" w:bidi="ar-SY"/>
        </w:rPr>
        <w:t xml:space="preserve"> نفس</w:t>
      </w:r>
      <w:r w:rsidR="00D02B48" w:rsidRPr="00A57EB2">
        <w:rPr>
          <w:rFonts w:hint="cs"/>
          <w:rtl/>
          <w:lang w:val="en-US" w:bidi="ar-SY"/>
        </w:rPr>
        <w:t xml:space="preserve"> </w:t>
      </w:r>
      <w:r w:rsidR="00915645" w:rsidRPr="00A57EB2">
        <w:rPr>
          <w:rFonts w:hint="cs"/>
          <w:rtl/>
          <w:lang w:val="en-US" w:bidi="ar-SY"/>
        </w:rPr>
        <w:t>النشرة</w:t>
      </w:r>
      <w:r w:rsidR="00A57EB2">
        <w:rPr>
          <w:rFonts w:hint="cs"/>
          <w:rtl/>
          <w:lang w:val="en-US" w:bidi="ar-SY"/>
        </w:rPr>
        <w:t xml:space="preserve"> </w:t>
      </w:r>
      <w:r w:rsidR="00A57EB2">
        <w:rPr>
          <w:lang w:val="en-US" w:bidi="ar-SY"/>
        </w:rPr>
        <w:t>BR IFIC</w:t>
      </w:r>
      <w:r w:rsidR="00915645" w:rsidRPr="00A57EB2">
        <w:rPr>
          <w:rFonts w:hint="cs"/>
          <w:rtl/>
          <w:lang w:val="en-US" w:bidi="ar-SY"/>
        </w:rPr>
        <w:t xml:space="preserve"> </w:t>
      </w:r>
      <w:r w:rsidR="00A57EB2">
        <w:rPr>
          <w:rFonts w:hint="cs"/>
          <w:rtl/>
          <w:lang w:val="en-US" w:bidi="ar-SY"/>
        </w:rPr>
        <w:t>بالنسق</w:t>
      </w:r>
      <w:r w:rsidR="00915645" w:rsidRPr="00A57EB2">
        <w:rPr>
          <w:rFonts w:hint="cs"/>
          <w:rtl/>
          <w:lang w:val="en-US" w:bidi="ar-SY"/>
        </w:rPr>
        <w:t xml:space="preserve"> الجديد للنشرة </w:t>
      </w:r>
      <w:r w:rsidR="00915645" w:rsidRPr="00A57EB2">
        <w:rPr>
          <w:lang w:val="en-US" w:bidi="ar-SY"/>
        </w:rPr>
        <w:t>BR IFIC DVD</w:t>
      </w:r>
      <w:r w:rsidR="00915645" w:rsidRPr="00A57EB2">
        <w:rPr>
          <w:rFonts w:hint="cs"/>
          <w:rtl/>
          <w:lang w:val="en-US" w:bidi="ar-SY"/>
        </w:rPr>
        <w:t xml:space="preserve"> </w:t>
      </w:r>
      <w:r w:rsidR="00A57EB2">
        <w:rPr>
          <w:rFonts w:hint="cs"/>
          <w:rtl/>
          <w:lang w:val="en-US" w:bidi="ar-SY"/>
        </w:rPr>
        <w:t xml:space="preserve">إلى جانب النشرة </w:t>
      </w:r>
      <w:r w:rsidR="00A95E1C">
        <w:rPr>
          <w:lang w:val="en-US" w:bidi="ar-SY"/>
        </w:rPr>
        <w:t>BR </w:t>
      </w:r>
      <w:r w:rsidR="00A57EB2">
        <w:rPr>
          <w:lang w:val="en-US" w:bidi="ar-SY"/>
        </w:rPr>
        <w:t>IFIC DVD</w:t>
      </w:r>
      <w:r w:rsidR="00A57EB2">
        <w:rPr>
          <w:rFonts w:hint="cs"/>
          <w:rtl/>
          <w:lang w:val="en-US" w:bidi="ar-EG"/>
        </w:rPr>
        <w:t xml:space="preserve"> العادية </w:t>
      </w:r>
      <w:r w:rsidR="00D02B48" w:rsidRPr="00A57EB2">
        <w:rPr>
          <w:rFonts w:hint="cs"/>
          <w:rtl/>
          <w:lang w:val="en-US" w:bidi="ar-SY"/>
        </w:rPr>
        <w:t>اعتباراً من النشرة رقم</w:t>
      </w:r>
      <w:r w:rsidR="00426D64" w:rsidRPr="00A57EB2">
        <w:rPr>
          <w:rFonts w:hint="eastAsia"/>
          <w:rtl/>
          <w:lang w:val="en-US" w:bidi="ar-SY"/>
        </w:rPr>
        <w:t> </w:t>
      </w:r>
      <w:r w:rsidR="00D02B48" w:rsidRPr="00A57EB2">
        <w:rPr>
          <w:lang w:val="en-US" w:bidi="ar-SY"/>
        </w:rPr>
        <w:t>2719</w:t>
      </w:r>
      <w:r w:rsidR="00D02B48" w:rsidRPr="00A57EB2">
        <w:rPr>
          <w:rFonts w:hint="cs"/>
          <w:rtl/>
          <w:lang w:val="en-US" w:bidi="ar-SY"/>
        </w:rPr>
        <w:t xml:space="preserve"> بتاريخ </w:t>
      </w:r>
      <w:r w:rsidR="00D02B48" w:rsidRPr="00A57EB2">
        <w:rPr>
          <w:lang w:val="en-US" w:bidi="ar-SY"/>
        </w:rPr>
        <w:t>15</w:t>
      </w:r>
      <w:r w:rsidR="00D02B48" w:rsidRPr="00A57EB2">
        <w:rPr>
          <w:rFonts w:hint="cs"/>
          <w:rtl/>
          <w:lang w:val="en-US" w:bidi="ar-SY"/>
        </w:rPr>
        <w:t xml:space="preserve"> مايو </w:t>
      </w:r>
      <w:r w:rsidR="00D02B48" w:rsidRPr="00A57EB2">
        <w:rPr>
          <w:lang w:val="en-US" w:bidi="ar-SY"/>
        </w:rPr>
        <w:t>2012</w:t>
      </w:r>
      <w:r w:rsidR="00D02B48" w:rsidRPr="00A57EB2">
        <w:rPr>
          <w:rFonts w:hint="cs"/>
          <w:rtl/>
          <w:lang w:val="en-US" w:bidi="ar-SY"/>
        </w:rPr>
        <w:t>.</w:t>
      </w:r>
      <w:proofErr w:type="gramEnd"/>
      <w:r w:rsidR="00D02B48" w:rsidRPr="00A57EB2">
        <w:rPr>
          <w:rFonts w:hint="cs"/>
          <w:rtl/>
          <w:lang w:val="en-US" w:bidi="ar-SY"/>
        </w:rPr>
        <w:t xml:space="preserve"> والغرض من ذلك هو تلقي تعليقات واقتراحات بشأن اختبارات النسخة</w:t>
      </w:r>
      <w:r w:rsidR="00DF0718" w:rsidRPr="00A57EB2">
        <w:rPr>
          <w:rFonts w:hint="eastAsia"/>
          <w:rtl/>
          <w:lang w:val="en-US" w:bidi="ar-SY"/>
        </w:rPr>
        <w:t> </w:t>
      </w:r>
      <w:r w:rsidR="00D02B48" w:rsidRPr="00A57EB2">
        <w:rPr>
          <w:lang w:val="en-US" w:bidi="ar-SY"/>
        </w:rPr>
        <w:t>Beta</w:t>
      </w:r>
      <w:r w:rsidR="00D02B48" w:rsidRPr="00A57EB2">
        <w:rPr>
          <w:rFonts w:hint="cs"/>
          <w:rtl/>
          <w:lang w:val="en-US" w:bidi="ar-SY"/>
        </w:rPr>
        <w:t xml:space="preserve"> لإدخال التحسينات المحتملة قبل موعد</w:t>
      </w:r>
      <w:r w:rsidR="00915645" w:rsidRPr="00A57EB2">
        <w:rPr>
          <w:rFonts w:hint="eastAsia"/>
          <w:lang w:val="en-US" w:bidi="ar-SY"/>
        </w:rPr>
        <w:t> </w:t>
      </w:r>
      <w:r w:rsidR="00D02B48" w:rsidRPr="00A57EB2">
        <w:rPr>
          <w:rFonts w:hint="cs"/>
          <w:rtl/>
          <w:lang w:val="en-US" w:bidi="ar-SY"/>
        </w:rPr>
        <w:t>"الانتقال".</w:t>
      </w:r>
    </w:p>
    <w:p w:rsidR="00D02B48" w:rsidRPr="003A455B" w:rsidRDefault="00D02B48" w:rsidP="003A455B">
      <w:pPr>
        <w:keepNext/>
        <w:keepLines/>
        <w:rPr>
          <w:spacing w:val="-4"/>
          <w:rtl/>
          <w:lang w:val="en-US" w:bidi="ar-SY"/>
        </w:rPr>
      </w:pPr>
      <w:r w:rsidRPr="003A455B">
        <w:rPr>
          <w:rFonts w:hint="cs"/>
          <w:spacing w:val="-4"/>
          <w:rtl/>
          <w:lang w:val="en-US" w:bidi="ar-SY"/>
        </w:rPr>
        <w:lastRenderedPageBreak/>
        <w:t xml:space="preserve">ويمكن لإدارتكم المشاركة في الاختبارات </w:t>
      </w:r>
      <w:r w:rsidRPr="003A455B">
        <w:rPr>
          <w:spacing w:val="-4"/>
          <w:lang w:val="en-US" w:bidi="ar-SY"/>
        </w:rPr>
        <w:t>"beta"</w:t>
      </w:r>
      <w:r w:rsidRPr="003A455B">
        <w:rPr>
          <w:rFonts w:hint="cs"/>
          <w:spacing w:val="-4"/>
          <w:rtl/>
          <w:lang w:val="en-US" w:bidi="ar-SY"/>
        </w:rPr>
        <w:t xml:space="preserve"> قبل الانتقال إلى النسق الجديد وإرسال تعليقاتها بالبريد الإلكتروني على العنوان:</w:t>
      </w:r>
    </w:p>
    <w:p w:rsidR="00D02B48" w:rsidRPr="003A455B" w:rsidRDefault="008D01E9" w:rsidP="009C381E">
      <w:pPr>
        <w:spacing w:before="240" w:after="240"/>
        <w:jc w:val="center"/>
        <w:rPr>
          <w:rtl/>
          <w:lang w:val="en-US" w:bidi="ar-SY"/>
        </w:rPr>
      </w:pPr>
      <w:hyperlink r:id="rId11" w:history="1">
        <w:r w:rsidR="00D02B48" w:rsidRPr="003A455B">
          <w:rPr>
            <w:rStyle w:val="Hyperlink"/>
            <w:lang w:val="en-US" w:bidi="ar-SY"/>
          </w:rPr>
          <w:t>brmail@itu.int</w:t>
        </w:r>
      </w:hyperlink>
    </w:p>
    <w:p w:rsidR="00D02B48" w:rsidRPr="003A455B" w:rsidRDefault="00D02B48" w:rsidP="003E57D9">
      <w:pPr>
        <w:rPr>
          <w:rtl/>
          <w:lang w:val="en-US" w:bidi="ar-SY"/>
        </w:rPr>
      </w:pPr>
      <w:proofErr w:type="gramStart"/>
      <w:r w:rsidRPr="003A455B">
        <w:rPr>
          <w:lang w:val="en-US" w:bidi="ar-SY"/>
        </w:rPr>
        <w:t>10</w:t>
      </w:r>
      <w:r w:rsidRPr="003A455B">
        <w:rPr>
          <w:rFonts w:hint="cs"/>
          <w:rtl/>
          <w:lang w:val="en-US" w:bidi="ar-SY"/>
        </w:rPr>
        <w:tab/>
        <w:t>ويبقى المكتب على استعداد دائماً لتزويد إدارتكم بأي إيضاحات قد ترغب فيها بشأن الموضوعات المتناولة في هذه الرسالة</w:t>
      </w:r>
      <w:r w:rsidR="003E57D9">
        <w:rPr>
          <w:rFonts w:hint="eastAsia"/>
          <w:rtl/>
          <w:lang w:val="en-US" w:bidi="ar-SY"/>
        </w:rPr>
        <w:t> </w:t>
      </w:r>
      <w:r w:rsidRPr="003A455B">
        <w:rPr>
          <w:rFonts w:hint="cs"/>
          <w:rtl/>
          <w:lang w:val="en-US" w:bidi="ar-SY"/>
        </w:rPr>
        <w:t>المعممة.</w:t>
      </w:r>
      <w:proofErr w:type="gramEnd"/>
    </w:p>
    <w:p w:rsidR="00D02B48" w:rsidRPr="003A455B" w:rsidRDefault="00D02B48" w:rsidP="0095420D">
      <w:pPr>
        <w:spacing w:before="240"/>
        <w:rPr>
          <w:rtl/>
          <w:lang w:val="en-US" w:bidi="ar-SY"/>
        </w:rPr>
      </w:pPr>
      <w:r w:rsidRPr="003A455B">
        <w:rPr>
          <w:rFonts w:hint="cs"/>
          <w:rtl/>
          <w:lang w:val="en-US" w:bidi="ar-SY"/>
        </w:rPr>
        <w:t>وتفضلوا بقبول فائق التقدير والاحترام</w:t>
      </w:r>
      <w:r w:rsidR="0095420D">
        <w:rPr>
          <w:rFonts w:hint="cs"/>
          <w:rtl/>
          <w:lang w:val="en-US" w:bidi="ar-SY"/>
        </w:rPr>
        <w:t>.</w:t>
      </w:r>
    </w:p>
    <w:p w:rsidR="00CB4CC7" w:rsidRPr="00CB4CC7" w:rsidRDefault="00743943" w:rsidP="00AE3B40">
      <w:pPr>
        <w:spacing w:before="1440" w:line="180" w:lineRule="auto"/>
        <w:ind w:left="5670"/>
        <w:jc w:val="center"/>
        <w:rPr>
          <w:sz w:val="30"/>
          <w:rtl/>
          <w:lang w:val="en-US"/>
        </w:rPr>
      </w:pPr>
      <w:r>
        <w:rPr>
          <w:rFonts w:hint="cs"/>
          <w:sz w:val="30"/>
          <w:rtl/>
          <w:lang w:val="en-US"/>
        </w:rPr>
        <w:t>فرانسوا رانسي</w:t>
      </w:r>
      <w:r w:rsidR="00CB4CC7" w:rsidRPr="00CB4CC7">
        <w:rPr>
          <w:sz w:val="30"/>
          <w:rtl/>
          <w:lang w:val="en-US"/>
        </w:rPr>
        <w:br/>
        <w:t>مدير مكتب الاتصالات الراديوية</w:t>
      </w:r>
    </w:p>
    <w:p w:rsidR="00206E2B" w:rsidRPr="00343581" w:rsidRDefault="00206E2B" w:rsidP="003323CF">
      <w:pPr>
        <w:spacing w:before="360" w:line="180" w:lineRule="auto"/>
        <w:rPr>
          <w:sz w:val="24"/>
          <w:szCs w:val="24"/>
          <w:rtl/>
        </w:rPr>
      </w:pPr>
      <w:bookmarkStart w:id="4" w:name="ddistribution"/>
      <w:bookmarkEnd w:id="4"/>
      <w:r w:rsidRPr="00343581">
        <w:rPr>
          <w:rFonts w:hint="cs"/>
          <w:b/>
          <w:bCs/>
          <w:sz w:val="24"/>
          <w:szCs w:val="24"/>
          <w:rtl/>
        </w:rPr>
        <w:t>التوزيع</w:t>
      </w:r>
      <w:r w:rsidRPr="00343581">
        <w:rPr>
          <w:rFonts w:hint="cs"/>
          <w:sz w:val="24"/>
          <w:szCs w:val="24"/>
          <w:rtl/>
        </w:rPr>
        <w:t>:</w:t>
      </w:r>
    </w:p>
    <w:p w:rsidR="00206E2B" w:rsidRPr="00997724" w:rsidRDefault="00206E2B" w:rsidP="00CD2336">
      <w:pPr>
        <w:spacing w:before="0" w:line="180" w:lineRule="auto"/>
        <w:ind w:left="794" w:hanging="794"/>
        <w:rPr>
          <w:sz w:val="20"/>
          <w:szCs w:val="26"/>
          <w:rtl/>
        </w:rPr>
      </w:pPr>
      <w:r w:rsidRPr="00997724">
        <w:rPr>
          <w:rFonts w:hint="cs"/>
          <w:sz w:val="20"/>
          <w:szCs w:val="26"/>
          <w:rtl/>
        </w:rPr>
        <w:t>-</w:t>
      </w:r>
      <w:r w:rsidRPr="00997724">
        <w:rPr>
          <w:rFonts w:hint="cs"/>
          <w:sz w:val="20"/>
          <w:szCs w:val="26"/>
          <w:rtl/>
        </w:rPr>
        <w:tab/>
        <w:t xml:space="preserve">إدارات الدول الأعضاء في </w:t>
      </w:r>
      <w:r w:rsidRPr="00997724">
        <w:rPr>
          <w:rFonts w:hint="cs"/>
          <w:sz w:val="20"/>
          <w:szCs w:val="26"/>
          <w:rtl/>
          <w:lang w:bidi="ar-EG"/>
        </w:rPr>
        <w:t>الاتحاد</w:t>
      </w:r>
    </w:p>
    <w:p w:rsidR="00206E2B" w:rsidRPr="00997724" w:rsidRDefault="00206E2B" w:rsidP="00CD2336">
      <w:pPr>
        <w:spacing w:before="0" w:line="180" w:lineRule="auto"/>
        <w:ind w:left="794" w:hanging="794"/>
        <w:rPr>
          <w:sz w:val="20"/>
          <w:szCs w:val="26"/>
          <w:rtl/>
        </w:rPr>
      </w:pPr>
      <w:r w:rsidRPr="00997724">
        <w:rPr>
          <w:rFonts w:hint="cs"/>
          <w:sz w:val="20"/>
          <w:szCs w:val="26"/>
          <w:rtl/>
        </w:rPr>
        <w:t>-</w:t>
      </w:r>
      <w:r w:rsidRPr="00997724">
        <w:rPr>
          <w:rFonts w:hint="cs"/>
          <w:sz w:val="20"/>
          <w:szCs w:val="26"/>
          <w:rtl/>
        </w:rPr>
        <w:tab/>
        <w:t>أعضاء لجنة لوائح الراديو</w:t>
      </w:r>
    </w:p>
    <w:sectPr w:rsidR="00206E2B" w:rsidRPr="00997724" w:rsidSect="00736478">
      <w:headerReference w:type="default" r:id="rId12"/>
      <w:footerReference w:type="default" r:id="rId13"/>
      <w:footerReference w:type="first" r:id="rId14"/>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01" w:rsidRDefault="00404901">
      <w:r>
        <w:separator/>
      </w:r>
    </w:p>
  </w:endnote>
  <w:endnote w:type="continuationSeparator" w:id="0">
    <w:p w:rsidR="00404901" w:rsidRDefault="0040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01" w:rsidRPr="003A455B" w:rsidRDefault="00404901" w:rsidP="003A455B">
    <w:pPr>
      <w:tabs>
        <w:tab w:val="left" w:pos="5670"/>
        <w:tab w:val="left" w:pos="8931"/>
      </w:tabs>
      <w:bidi w:val="0"/>
      <w:rPr>
        <w:rFonts w:cs="Times New Roman"/>
        <w:sz w:val="16"/>
        <w:szCs w:val="16"/>
        <w:lang w:val="es-ES"/>
      </w:rPr>
    </w:pPr>
    <w:r w:rsidRPr="0071252C">
      <w:rPr>
        <w:rFonts w:cs="Times New Roman"/>
        <w:sz w:val="16"/>
        <w:szCs w:val="16"/>
      </w:rPr>
      <w:fldChar w:fldCharType="begin"/>
    </w:r>
    <w:r w:rsidRPr="0071252C">
      <w:rPr>
        <w:rFonts w:cs="Times New Roman"/>
        <w:sz w:val="16"/>
        <w:szCs w:val="16"/>
        <w:lang w:val="es-ES"/>
      </w:rPr>
      <w:instrText xml:space="preserve"> FILENAME \p \* MERGEFORMAT </w:instrText>
    </w:r>
    <w:r w:rsidRPr="0071252C">
      <w:rPr>
        <w:rFonts w:cs="Times New Roman"/>
        <w:sz w:val="16"/>
        <w:szCs w:val="16"/>
      </w:rPr>
      <w:fldChar w:fldCharType="separate"/>
    </w:r>
    <w:r w:rsidR="005545F7">
      <w:rPr>
        <w:rFonts w:cs="Times New Roman"/>
        <w:noProof/>
        <w:sz w:val="16"/>
        <w:szCs w:val="16"/>
        <w:lang w:val="es-ES"/>
      </w:rPr>
      <w:t>P:\ARA\ITU-R\BR\DIR\CR\300\332A.docx</w:t>
    </w:r>
    <w:r w:rsidRPr="0071252C">
      <w:rPr>
        <w:rFonts w:cs="Times New Roman"/>
        <w:sz w:val="16"/>
        <w:szCs w:val="16"/>
      </w:rPr>
      <w:fldChar w:fldCharType="end"/>
    </w:r>
    <w:r w:rsidRPr="0071252C">
      <w:rPr>
        <w:rFonts w:cs="Times New Roman"/>
        <w:sz w:val="16"/>
        <w:szCs w:val="16"/>
        <w:lang w:val="es-ES"/>
      </w:rPr>
      <w:t xml:space="preserve">   (</w:t>
    </w:r>
    <w:r>
      <w:rPr>
        <w:rFonts w:cs="Times New Roman" w:hint="cs"/>
        <w:sz w:val="16"/>
        <w:szCs w:val="16"/>
        <w:rtl/>
        <w:lang w:val="es-ES"/>
      </w:rPr>
      <w:t>324303</w:t>
    </w:r>
    <w:r w:rsidRPr="0071252C">
      <w:rPr>
        <w:rFonts w:cs="Times New Roman"/>
        <w:sz w:val="16"/>
        <w:szCs w:val="16"/>
        <w:lang w:val="es-ES"/>
      </w:rPr>
      <w:t>)</w:t>
    </w:r>
    <w:r w:rsidRPr="0071252C">
      <w:rPr>
        <w:rFonts w:cs="Times New Roman"/>
        <w:sz w:val="16"/>
        <w:szCs w:val="16"/>
        <w:lang w:val="es-ES"/>
      </w:rPr>
      <w:tab/>
    </w:r>
    <w:r w:rsidRPr="0071252C">
      <w:rPr>
        <w:rFonts w:cs="Times New Roman"/>
        <w:sz w:val="16"/>
        <w:szCs w:val="16"/>
      </w:rPr>
      <w:fldChar w:fldCharType="begin"/>
    </w:r>
    <w:r w:rsidRPr="0071252C">
      <w:rPr>
        <w:rFonts w:cs="Times New Roman"/>
        <w:sz w:val="16"/>
        <w:szCs w:val="16"/>
      </w:rPr>
      <w:instrText xml:space="preserve"> savedate \@ dd.MM.yy </w:instrText>
    </w:r>
    <w:r w:rsidRPr="0071252C">
      <w:rPr>
        <w:rFonts w:cs="Times New Roman"/>
        <w:sz w:val="16"/>
        <w:szCs w:val="16"/>
      </w:rPr>
      <w:fldChar w:fldCharType="separate"/>
    </w:r>
    <w:r w:rsidR="008D01E9">
      <w:rPr>
        <w:rFonts w:cs="Times New Roman"/>
        <w:noProof/>
        <w:sz w:val="16"/>
        <w:szCs w:val="16"/>
      </w:rPr>
      <w:t>18.04.12</w:t>
    </w:r>
    <w:r w:rsidRPr="0071252C">
      <w:rPr>
        <w:rFonts w:cs="Times New Roman"/>
        <w:sz w:val="16"/>
        <w:szCs w:val="16"/>
      </w:rPr>
      <w:fldChar w:fldCharType="end"/>
    </w:r>
    <w:r w:rsidRPr="0071252C">
      <w:rPr>
        <w:rFonts w:cs="Times New Roman"/>
        <w:sz w:val="16"/>
        <w:szCs w:val="16"/>
        <w:lang w:val="es-ES"/>
      </w:rPr>
      <w:tab/>
    </w:r>
    <w:r w:rsidRPr="0071252C">
      <w:rPr>
        <w:rFonts w:cs="Times New Roman"/>
        <w:sz w:val="16"/>
        <w:szCs w:val="16"/>
      </w:rPr>
      <w:fldChar w:fldCharType="begin"/>
    </w:r>
    <w:r w:rsidRPr="0071252C">
      <w:rPr>
        <w:rFonts w:cs="Times New Roman"/>
        <w:sz w:val="16"/>
        <w:szCs w:val="16"/>
      </w:rPr>
      <w:instrText xml:space="preserve"> printdate \@ dd.MM.yy </w:instrText>
    </w:r>
    <w:r w:rsidRPr="0071252C">
      <w:rPr>
        <w:rFonts w:cs="Times New Roman"/>
        <w:sz w:val="16"/>
        <w:szCs w:val="16"/>
      </w:rPr>
      <w:fldChar w:fldCharType="separate"/>
    </w:r>
    <w:r w:rsidR="005545F7">
      <w:rPr>
        <w:rFonts w:cs="Times New Roman"/>
        <w:noProof/>
        <w:sz w:val="16"/>
        <w:szCs w:val="16"/>
      </w:rPr>
      <w:t>16.04.12</w:t>
    </w:r>
    <w:r w:rsidRPr="0071252C">
      <w:rPr>
        <w:rFonts w:cs="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404901">
      <w:trPr>
        <w:cantSplit/>
      </w:trPr>
      <w:tc>
        <w:tcPr>
          <w:tcW w:w="1062" w:type="pct"/>
          <w:tcBorders>
            <w:top w:val="single" w:sz="6" w:space="0" w:color="auto"/>
          </w:tcBorders>
          <w:tcMar>
            <w:top w:w="57" w:type="dxa"/>
          </w:tcMar>
        </w:tcPr>
        <w:p w:rsidR="00404901" w:rsidRDefault="00404901" w:rsidP="00206E2B">
          <w:pPr>
            <w:pStyle w:val="itu"/>
            <w:bidi w:val="0"/>
            <w:spacing w:line="240" w:lineRule="auto"/>
          </w:pPr>
          <w:r>
            <w:t>Place des Nations</w:t>
          </w:r>
        </w:p>
      </w:tc>
      <w:tc>
        <w:tcPr>
          <w:tcW w:w="1583" w:type="pct"/>
          <w:tcBorders>
            <w:top w:val="single" w:sz="6" w:space="0" w:color="auto"/>
          </w:tcBorders>
          <w:tcMar>
            <w:top w:w="57" w:type="dxa"/>
          </w:tcMar>
        </w:tcPr>
        <w:p w:rsidR="00404901" w:rsidRDefault="00404901" w:rsidP="00206E2B">
          <w:pPr>
            <w:pStyle w:val="itu"/>
            <w:bidi w:val="0"/>
            <w:spacing w:line="240" w:lineRule="auto"/>
          </w:pPr>
          <w:r>
            <w:t>Telephone</w:t>
          </w:r>
          <w:r>
            <w:tab/>
            <w:t>+41 22 730 51 11</w:t>
          </w:r>
        </w:p>
      </w:tc>
      <w:tc>
        <w:tcPr>
          <w:tcW w:w="1224" w:type="pct"/>
          <w:tcBorders>
            <w:top w:val="single" w:sz="6" w:space="0" w:color="auto"/>
          </w:tcBorders>
          <w:tcMar>
            <w:top w:w="57" w:type="dxa"/>
          </w:tcMar>
        </w:tcPr>
        <w:p w:rsidR="00404901" w:rsidRDefault="00404901" w:rsidP="00206E2B">
          <w:pPr>
            <w:pStyle w:val="itu"/>
            <w:bidi w:val="0"/>
            <w:spacing w:line="240" w:lineRule="auto"/>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404901" w:rsidRDefault="00404901" w:rsidP="00206E2B">
          <w:pPr>
            <w:pStyle w:val="itu"/>
            <w:bidi w:val="0"/>
            <w:spacing w:line="240" w:lineRule="auto"/>
          </w:pPr>
          <w:r>
            <w:t>E-mail:</w:t>
          </w:r>
          <w:r>
            <w:tab/>
            <w:t>itumail@itu.int</w:t>
          </w:r>
        </w:p>
      </w:tc>
    </w:tr>
    <w:tr w:rsidR="00404901">
      <w:trPr>
        <w:cantSplit/>
      </w:trPr>
      <w:tc>
        <w:tcPr>
          <w:tcW w:w="1062" w:type="pct"/>
        </w:tcPr>
        <w:p w:rsidR="00404901" w:rsidRDefault="00404901" w:rsidP="00206E2B">
          <w:pPr>
            <w:pStyle w:val="itu"/>
            <w:bidi w:val="0"/>
            <w:spacing w:line="240" w:lineRule="auto"/>
          </w:pPr>
          <w:r>
            <w:t>CH-1211 Geneva 20</w:t>
          </w:r>
        </w:p>
      </w:tc>
      <w:tc>
        <w:tcPr>
          <w:tcW w:w="1583" w:type="pct"/>
        </w:tcPr>
        <w:p w:rsidR="00404901" w:rsidRDefault="00404901" w:rsidP="00206E2B">
          <w:pPr>
            <w:pStyle w:val="itu"/>
            <w:bidi w:val="0"/>
            <w:spacing w:line="240" w:lineRule="auto"/>
          </w:pPr>
          <w:r>
            <w:t>Telefax</w:t>
          </w:r>
          <w:r>
            <w:tab/>
            <w:t>Gr3:</w:t>
          </w:r>
          <w:r>
            <w:tab/>
            <w:t>+41 22 733 72 56</w:t>
          </w:r>
        </w:p>
      </w:tc>
      <w:tc>
        <w:tcPr>
          <w:tcW w:w="1224" w:type="pct"/>
        </w:tcPr>
        <w:p w:rsidR="00404901" w:rsidRDefault="00404901" w:rsidP="00206E2B">
          <w:pPr>
            <w:pStyle w:val="itu"/>
            <w:bidi w:val="0"/>
            <w:spacing w:line="240" w:lineRule="auto"/>
          </w:pPr>
          <w:r>
            <w:t>Telegram ITU GENEVE</w:t>
          </w:r>
        </w:p>
      </w:tc>
      <w:tc>
        <w:tcPr>
          <w:tcW w:w="1131" w:type="pct"/>
        </w:tcPr>
        <w:p w:rsidR="00404901" w:rsidRDefault="00404901" w:rsidP="00206E2B">
          <w:pPr>
            <w:pStyle w:val="itu"/>
            <w:bidi w:val="0"/>
            <w:spacing w:line="240" w:lineRule="auto"/>
          </w:pPr>
          <w:r>
            <w:tab/>
          </w:r>
          <w:hyperlink r:id="rId1" w:history="1">
            <w:r>
              <w:t>http://www.itu.int/</w:t>
            </w:r>
          </w:hyperlink>
        </w:p>
      </w:tc>
    </w:tr>
    <w:tr w:rsidR="00404901">
      <w:trPr>
        <w:cantSplit/>
      </w:trPr>
      <w:tc>
        <w:tcPr>
          <w:tcW w:w="1062" w:type="pct"/>
        </w:tcPr>
        <w:p w:rsidR="00404901" w:rsidRDefault="00404901" w:rsidP="00206E2B">
          <w:pPr>
            <w:pStyle w:val="itu"/>
            <w:bidi w:val="0"/>
            <w:spacing w:line="240" w:lineRule="auto"/>
          </w:pPr>
          <w:r>
            <w:t>Switzerland</w:t>
          </w:r>
        </w:p>
      </w:tc>
      <w:tc>
        <w:tcPr>
          <w:tcW w:w="1583" w:type="pct"/>
        </w:tcPr>
        <w:p w:rsidR="00404901" w:rsidRDefault="00404901" w:rsidP="00206E2B">
          <w:pPr>
            <w:pStyle w:val="itu"/>
            <w:bidi w:val="0"/>
            <w:spacing w:line="240" w:lineRule="auto"/>
          </w:pPr>
          <w:r>
            <w:tab/>
            <w:t>Gr4:</w:t>
          </w:r>
          <w:r>
            <w:tab/>
            <w:t>+41 22 730 65 00</w:t>
          </w:r>
        </w:p>
      </w:tc>
      <w:tc>
        <w:tcPr>
          <w:tcW w:w="1224" w:type="pct"/>
        </w:tcPr>
        <w:p w:rsidR="00404901" w:rsidRDefault="00404901" w:rsidP="00206E2B">
          <w:pPr>
            <w:pStyle w:val="itu"/>
            <w:bidi w:val="0"/>
            <w:spacing w:line="240" w:lineRule="auto"/>
          </w:pPr>
        </w:p>
      </w:tc>
      <w:tc>
        <w:tcPr>
          <w:tcW w:w="1131" w:type="pct"/>
        </w:tcPr>
        <w:p w:rsidR="00404901" w:rsidRDefault="00404901" w:rsidP="00206E2B">
          <w:pPr>
            <w:pStyle w:val="itu"/>
            <w:bidi w:val="0"/>
            <w:spacing w:line="240" w:lineRule="auto"/>
          </w:pPr>
        </w:p>
      </w:tc>
    </w:tr>
  </w:tbl>
  <w:p w:rsidR="00404901" w:rsidRPr="00667AF2" w:rsidRDefault="00404901" w:rsidP="00667AF2">
    <w:pPr>
      <w:bidi w:val="0"/>
      <w:spacing w:before="0"/>
      <w:rPr>
        <w:lang w:val="en-US"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01" w:rsidRDefault="00404901">
      <w:r>
        <w:t>____________________</w:t>
      </w:r>
    </w:p>
  </w:footnote>
  <w:footnote w:type="continuationSeparator" w:id="0">
    <w:p w:rsidR="00404901" w:rsidRDefault="0040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01" w:rsidRPr="00667AF2" w:rsidRDefault="00404901" w:rsidP="00667AF2">
    <w:pPr>
      <w:pStyle w:val="Header"/>
      <w:bidi w:val="0"/>
      <w:spacing w:line="240" w:lineRule="auto"/>
      <w:rPr>
        <w:rStyle w:val="PageNumber"/>
        <w:sz w:val="20"/>
      </w:rPr>
    </w:pPr>
    <w:r w:rsidRPr="00667AF2">
      <w:rPr>
        <w:sz w:val="20"/>
        <w:lang w:val="en-US"/>
      </w:rPr>
      <w:t xml:space="preserve">- </w:t>
    </w:r>
    <w:r w:rsidRPr="00667AF2">
      <w:rPr>
        <w:rStyle w:val="PageNumber"/>
        <w:sz w:val="20"/>
      </w:rPr>
      <w:fldChar w:fldCharType="begin"/>
    </w:r>
    <w:r w:rsidRPr="00667AF2">
      <w:rPr>
        <w:rStyle w:val="PageNumber"/>
        <w:sz w:val="20"/>
      </w:rPr>
      <w:instrText xml:space="preserve"> PAGE </w:instrText>
    </w:r>
    <w:r w:rsidRPr="00667AF2">
      <w:rPr>
        <w:rStyle w:val="PageNumber"/>
        <w:sz w:val="20"/>
      </w:rPr>
      <w:fldChar w:fldCharType="separate"/>
    </w:r>
    <w:r w:rsidR="008D01E9">
      <w:rPr>
        <w:rStyle w:val="PageNumber"/>
        <w:noProof/>
        <w:sz w:val="20"/>
      </w:rPr>
      <w:t>3</w:t>
    </w:r>
    <w:r w:rsidRPr="00667AF2">
      <w:rPr>
        <w:rStyle w:val="PageNumber"/>
        <w:sz w:val="20"/>
      </w:rPr>
      <w:fldChar w:fldCharType="end"/>
    </w:r>
    <w:r w:rsidRPr="00667AF2">
      <w:rPr>
        <w:rStyle w:val="PageNumber"/>
        <w:sz w:val="20"/>
      </w:rPr>
      <w:t xml:space="preserve"> -</w:t>
    </w:r>
  </w:p>
  <w:p w:rsidR="00404901" w:rsidRPr="00667AF2" w:rsidRDefault="00404901" w:rsidP="003A455B">
    <w:pPr>
      <w:pStyle w:val="Header"/>
      <w:bidi w:val="0"/>
      <w:spacing w:line="240" w:lineRule="auto"/>
      <w:rPr>
        <w:sz w:val="20"/>
        <w:lang w:val="en-US"/>
      </w:rPr>
    </w:pPr>
    <w:r w:rsidRPr="00667AF2">
      <w:rPr>
        <w:sz w:val="20"/>
        <w:lang w:val="en-US"/>
      </w:rPr>
      <w:t>CR/</w:t>
    </w:r>
    <w:r>
      <w:rPr>
        <w:sz w:val="20"/>
        <w:lang w:val="en-US"/>
      </w:rPr>
      <w:t>332</w:t>
    </w:r>
    <w:r w:rsidRPr="00667AF2">
      <w:rPr>
        <w:sz w:val="20"/>
        <w:lang w:val="en-US"/>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270E"/>
    <w:multiLevelType w:val="multilevel"/>
    <w:tmpl w:val="F62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33E34"/>
    <w:multiLevelType w:val="multilevel"/>
    <w:tmpl w:val="2FF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72404"/>
    <w:multiLevelType w:val="hybridMultilevel"/>
    <w:tmpl w:val="C67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227909"/>
    <w:multiLevelType w:val="multilevel"/>
    <w:tmpl w:val="246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8B488F"/>
    <w:multiLevelType w:val="multilevel"/>
    <w:tmpl w:val="DA0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F2"/>
    <w:rsid w:val="00005B5D"/>
    <w:rsid w:val="00016557"/>
    <w:rsid w:val="00020573"/>
    <w:rsid w:val="00035056"/>
    <w:rsid w:val="00036FAB"/>
    <w:rsid w:val="00054872"/>
    <w:rsid w:val="0006295D"/>
    <w:rsid w:val="000656F9"/>
    <w:rsid w:val="00080533"/>
    <w:rsid w:val="00095C33"/>
    <w:rsid w:val="0009636A"/>
    <w:rsid w:val="000976C2"/>
    <w:rsid w:val="000A5F40"/>
    <w:rsid w:val="000B32FF"/>
    <w:rsid w:val="000C27AB"/>
    <w:rsid w:val="000C3D80"/>
    <w:rsid w:val="000C4A54"/>
    <w:rsid w:val="000C6924"/>
    <w:rsid w:val="000D5766"/>
    <w:rsid w:val="000D6ED8"/>
    <w:rsid w:val="000E15C1"/>
    <w:rsid w:val="000E64DA"/>
    <w:rsid w:val="000F2344"/>
    <w:rsid w:val="000F527D"/>
    <w:rsid w:val="000F64AB"/>
    <w:rsid w:val="00101C3F"/>
    <w:rsid w:val="001066E2"/>
    <w:rsid w:val="001214B1"/>
    <w:rsid w:val="00124712"/>
    <w:rsid w:val="00135DE9"/>
    <w:rsid w:val="00137749"/>
    <w:rsid w:val="00156782"/>
    <w:rsid w:val="00163045"/>
    <w:rsid w:val="00174855"/>
    <w:rsid w:val="001817A7"/>
    <w:rsid w:val="00191DB2"/>
    <w:rsid w:val="001944F6"/>
    <w:rsid w:val="00195860"/>
    <w:rsid w:val="001C2B58"/>
    <w:rsid w:val="001C6E12"/>
    <w:rsid w:val="001D2FAD"/>
    <w:rsid w:val="001E15AA"/>
    <w:rsid w:val="001E77C9"/>
    <w:rsid w:val="001F30F6"/>
    <w:rsid w:val="00206E2B"/>
    <w:rsid w:val="00210B45"/>
    <w:rsid w:val="00216AF9"/>
    <w:rsid w:val="00227F65"/>
    <w:rsid w:val="00232933"/>
    <w:rsid w:val="00242B62"/>
    <w:rsid w:val="00253E6E"/>
    <w:rsid w:val="00272DD2"/>
    <w:rsid w:val="00272F59"/>
    <w:rsid w:val="00276597"/>
    <w:rsid w:val="00276DF9"/>
    <w:rsid w:val="00281622"/>
    <w:rsid w:val="00294983"/>
    <w:rsid w:val="002A6C58"/>
    <w:rsid w:val="002B116E"/>
    <w:rsid w:val="002B3FDF"/>
    <w:rsid w:val="002C36AE"/>
    <w:rsid w:val="002E560E"/>
    <w:rsid w:val="002F6C41"/>
    <w:rsid w:val="00303DD9"/>
    <w:rsid w:val="00314F99"/>
    <w:rsid w:val="003223D5"/>
    <w:rsid w:val="003227A9"/>
    <w:rsid w:val="003323CF"/>
    <w:rsid w:val="00341A08"/>
    <w:rsid w:val="00343581"/>
    <w:rsid w:val="00355FC7"/>
    <w:rsid w:val="003571B2"/>
    <w:rsid w:val="003636FF"/>
    <w:rsid w:val="00370C4F"/>
    <w:rsid w:val="003721F3"/>
    <w:rsid w:val="00382E81"/>
    <w:rsid w:val="00384C81"/>
    <w:rsid w:val="00396466"/>
    <w:rsid w:val="00397E2D"/>
    <w:rsid w:val="00397E98"/>
    <w:rsid w:val="003A455B"/>
    <w:rsid w:val="003A4FFA"/>
    <w:rsid w:val="003A5A79"/>
    <w:rsid w:val="003B3652"/>
    <w:rsid w:val="003B4090"/>
    <w:rsid w:val="003B7534"/>
    <w:rsid w:val="003C2927"/>
    <w:rsid w:val="003D0AE1"/>
    <w:rsid w:val="003D193C"/>
    <w:rsid w:val="003D3993"/>
    <w:rsid w:val="003D6305"/>
    <w:rsid w:val="003E5105"/>
    <w:rsid w:val="003E57D9"/>
    <w:rsid w:val="003F18DA"/>
    <w:rsid w:val="00404901"/>
    <w:rsid w:val="00416021"/>
    <w:rsid w:val="00426063"/>
    <w:rsid w:val="00426D64"/>
    <w:rsid w:val="004406E3"/>
    <w:rsid w:val="0044634B"/>
    <w:rsid w:val="00451857"/>
    <w:rsid w:val="00472157"/>
    <w:rsid w:val="00474A4D"/>
    <w:rsid w:val="004A0C43"/>
    <w:rsid w:val="004A5AB1"/>
    <w:rsid w:val="004A6896"/>
    <w:rsid w:val="004C1881"/>
    <w:rsid w:val="004D185B"/>
    <w:rsid w:val="004E6EEC"/>
    <w:rsid w:val="004F01D1"/>
    <w:rsid w:val="004F01D4"/>
    <w:rsid w:val="004F0458"/>
    <w:rsid w:val="004F26AE"/>
    <w:rsid w:val="00500B3C"/>
    <w:rsid w:val="00505975"/>
    <w:rsid w:val="0051039C"/>
    <w:rsid w:val="00512B05"/>
    <w:rsid w:val="00515DF5"/>
    <w:rsid w:val="005248F1"/>
    <w:rsid w:val="005356A1"/>
    <w:rsid w:val="005423DD"/>
    <w:rsid w:val="00545B36"/>
    <w:rsid w:val="005545F7"/>
    <w:rsid w:val="00565B83"/>
    <w:rsid w:val="00580E73"/>
    <w:rsid w:val="00592D17"/>
    <w:rsid w:val="00595800"/>
    <w:rsid w:val="005B34F2"/>
    <w:rsid w:val="005B5772"/>
    <w:rsid w:val="005C0B8F"/>
    <w:rsid w:val="005E05E7"/>
    <w:rsid w:val="005F130D"/>
    <w:rsid w:val="005F3AFE"/>
    <w:rsid w:val="005F7F4C"/>
    <w:rsid w:val="00607D49"/>
    <w:rsid w:val="006136BC"/>
    <w:rsid w:val="00614EB5"/>
    <w:rsid w:val="00615B21"/>
    <w:rsid w:val="00624358"/>
    <w:rsid w:val="00637C9D"/>
    <w:rsid w:val="00641BC9"/>
    <w:rsid w:val="00650B52"/>
    <w:rsid w:val="00667AF2"/>
    <w:rsid w:val="00681861"/>
    <w:rsid w:val="0068580D"/>
    <w:rsid w:val="00697005"/>
    <w:rsid w:val="006A2A9F"/>
    <w:rsid w:val="006B388E"/>
    <w:rsid w:val="006B3F95"/>
    <w:rsid w:val="006C103D"/>
    <w:rsid w:val="006C27DC"/>
    <w:rsid w:val="006C4FB4"/>
    <w:rsid w:val="006C614C"/>
    <w:rsid w:val="006D1A21"/>
    <w:rsid w:val="006D3009"/>
    <w:rsid w:val="006E4065"/>
    <w:rsid w:val="006F15FE"/>
    <w:rsid w:val="006F7BA9"/>
    <w:rsid w:val="007107F4"/>
    <w:rsid w:val="0071106C"/>
    <w:rsid w:val="00712387"/>
    <w:rsid w:val="00713C7F"/>
    <w:rsid w:val="0071797C"/>
    <w:rsid w:val="00736478"/>
    <w:rsid w:val="0073687D"/>
    <w:rsid w:val="00743943"/>
    <w:rsid w:val="00746900"/>
    <w:rsid w:val="0075181F"/>
    <w:rsid w:val="0076752A"/>
    <w:rsid w:val="00787A12"/>
    <w:rsid w:val="0079530D"/>
    <w:rsid w:val="007B022D"/>
    <w:rsid w:val="007C46A5"/>
    <w:rsid w:val="007C7DE9"/>
    <w:rsid w:val="007F46F3"/>
    <w:rsid w:val="00811467"/>
    <w:rsid w:val="00822A2D"/>
    <w:rsid w:val="00823716"/>
    <w:rsid w:val="00824571"/>
    <w:rsid w:val="00831395"/>
    <w:rsid w:val="0083264A"/>
    <w:rsid w:val="00832D56"/>
    <w:rsid w:val="00837ACC"/>
    <w:rsid w:val="0084207A"/>
    <w:rsid w:val="00842867"/>
    <w:rsid w:val="00846AD6"/>
    <w:rsid w:val="00852971"/>
    <w:rsid w:val="00857325"/>
    <w:rsid w:val="00860356"/>
    <w:rsid w:val="008616B5"/>
    <w:rsid w:val="008675C4"/>
    <w:rsid w:val="00875B7E"/>
    <w:rsid w:val="00880122"/>
    <w:rsid w:val="00881D43"/>
    <w:rsid w:val="008B7C33"/>
    <w:rsid w:val="008C3125"/>
    <w:rsid w:val="008C7D68"/>
    <w:rsid w:val="008C7FB9"/>
    <w:rsid w:val="008D01E9"/>
    <w:rsid w:val="008D4874"/>
    <w:rsid w:val="008D59F7"/>
    <w:rsid w:val="008D5F52"/>
    <w:rsid w:val="008D679E"/>
    <w:rsid w:val="008E7570"/>
    <w:rsid w:val="009035D6"/>
    <w:rsid w:val="0090655A"/>
    <w:rsid w:val="0091136A"/>
    <w:rsid w:val="00915645"/>
    <w:rsid w:val="0092333F"/>
    <w:rsid w:val="0093192D"/>
    <w:rsid w:val="0093776F"/>
    <w:rsid w:val="00940941"/>
    <w:rsid w:val="00950225"/>
    <w:rsid w:val="0095340B"/>
    <w:rsid w:val="0095420D"/>
    <w:rsid w:val="00964B4F"/>
    <w:rsid w:val="009676DC"/>
    <w:rsid w:val="009677D2"/>
    <w:rsid w:val="009746CA"/>
    <w:rsid w:val="00980D6F"/>
    <w:rsid w:val="009832BD"/>
    <w:rsid w:val="009846D5"/>
    <w:rsid w:val="00984ED7"/>
    <w:rsid w:val="00986099"/>
    <w:rsid w:val="00997724"/>
    <w:rsid w:val="009B3EA0"/>
    <w:rsid w:val="009C381E"/>
    <w:rsid w:val="009E14F3"/>
    <w:rsid w:val="009E1957"/>
    <w:rsid w:val="009E29F7"/>
    <w:rsid w:val="009E6186"/>
    <w:rsid w:val="009F6385"/>
    <w:rsid w:val="009F6DB7"/>
    <w:rsid w:val="00A06093"/>
    <w:rsid w:val="00A06CC3"/>
    <w:rsid w:val="00A06D4C"/>
    <w:rsid w:val="00A13218"/>
    <w:rsid w:val="00A22670"/>
    <w:rsid w:val="00A27029"/>
    <w:rsid w:val="00A32286"/>
    <w:rsid w:val="00A41B22"/>
    <w:rsid w:val="00A423C9"/>
    <w:rsid w:val="00A453E5"/>
    <w:rsid w:val="00A4613F"/>
    <w:rsid w:val="00A530C8"/>
    <w:rsid w:val="00A550B1"/>
    <w:rsid w:val="00A57564"/>
    <w:rsid w:val="00A57EB2"/>
    <w:rsid w:val="00A73254"/>
    <w:rsid w:val="00A75041"/>
    <w:rsid w:val="00A92D9E"/>
    <w:rsid w:val="00A9484A"/>
    <w:rsid w:val="00A95E1C"/>
    <w:rsid w:val="00AA119B"/>
    <w:rsid w:val="00AA34B3"/>
    <w:rsid w:val="00AA4EC3"/>
    <w:rsid w:val="00AB07C5"/>
    <w:rsid w:val="00AB2FC3"/>
    <w:rsid w:val="00AC111D"/>
    <w:rsid w:val="00AC532F"/>
    <w:rsid w:val="00AD4CA4"/>
    <w:rsid w:val="00AE3B40"/>
    <w:rsid w:val="00AF3C3C"/>
    <w:rsid w:val="00B35508"/>
    <w:rsid w:val="00B45729"/>
    <w:rsid w:val="00B5533E"/>
    <w:rsid w:val="00B57344"/>
    <w:rsid w:val="00B8090C"/>
    <w:rsid w:val="00B828FB"/>
    <w:rsid w:val="00B87E04"/>
    <w:rsid w:val="00B920AA"/>
    <w:rsid w:val="00BA0D95"/>
    <w:rsid w:val="00BA3AC9"/>
    <w:rsid w:val="00BA3D59"/>
    <w:rsid w:val="00BB2B9E"/>
    <w:rsid w:val="00BC5700"/>
    <w:rsid w:val="00BC7B21"/>
    <w:rsid w:val="00BD1A40"/>
    <w:rsid w:val="00BD50B4"/>
    <w:rsid w:val="00BE11C2"/>
    <w:rsid w:val="00C0073B"/>
    <w:rsid w:val="00C025C9"/>
    <w:rsid w:val="00C03C0D"/>
    <w:rsid w:val="00C20ECB"/>
    <w:rsid w:val="00C24727"/>
    <w:rsid w:val="00C254DE"/>
    <w:rsid w:val="00C36076"/>
    <w:rsid w:val="00C57D2A"/>
    <w:rsid w:val="00C67DE9"/>
    <w:rsid w:val="00C70A29"/>
    <w:rsid w:val="00C742B4"/>
    <w:rsid w:val="00C76881"/>
    <w:rsid w:val="00C85100"/>
    <w:rsid w:val="00C9192B"/>
    <w:rsid w:val="00CA65FA"/>
    <w:rsid w:val="00CB016E"/>
    <w:rsid w:val="00CB4CC7"/>
    <w:rsid w:val="00CD2336"/>
    <w:rsid w:val="00CD28EC"/>
    <w:rsid w:val="00CF3CD0"/>
    <w:rsid w:val="00D02B48"/>
    <w:rsid w:val="00D04853"/>
    <w:rsid w:val="00D17731"/>
    <w:rsid w:val="00D2367F"/>
    <w:rsid w:val="00D35752"/>
    <w:rsid w:val="00D44EEA"/>
    <w:rsid w:val="00D45E2A"/>
    <w:rsid w:val="00D463D0"/>
    <w:rsid w:val="00D52B47"/>
    <w:rsid w:val="00D56724"/>
    <w:rsid w:val="00D61395"/>
    <w:rsid w:val="00D70A76"/>
    <w:rsid w:val="00D744B4"/>
    <w:rsid w:val="00D93CD8"/>
    <w:rsid w:val="00DA18F8"/>
    <w:rsid w:val="00DA388C"/>
    <w:rsid w:val="00DB0D82"/>
    <w:rsid w:val="00DB7658"/>
    <w:rsid w:val="00DC107D"/>
    <w:rsid w:val="00DC5720"/>
    <w:rsid w:val="00DC59BF"/>
    <w:rsid w:val="00DC7DFC"/>
    <w:rsid w:val="00DE03AC"/>
    <w:rsid w:val="00DE1E0E"/>
    <w:rsid w:val="00DE2E7C"/>
    <w:rsid w:val="00DF0718"/>
    <w:rsid w:val="00E00BB6"/>
    <w:rsid w:val="00E105BF"/>
    <w:rsid w:val="00E162CF"/>
    <w:rsid w:val="00E23C26"/>
    <w:rsid w:val="00E26BEE"/>
    <w:rsid w:val="00E30453"/>
    <w:rsid w:val="00E36E29"/>
    <w:rsid w:val="00E465D2"/>
    <w:rsid w:val="00E5232D"/>
    <w:rsid w:val="00E57611"/>
    <w:rsid w:val="00E611A8"/>
    <w:rsid w:val="00E63D5C"/>
    <w:rsid w:val="00E828D3"/>
    <w:rsid w:val="00E85BBE"/>
    <w:rsid w:val="00E9089A"/>
    <w:rsid w:val="00EA203B"/>
    <w:rsid w:val="00EA7147"/>
    <w:rsid w:val="00EB3C40"/>
    <w:rsid w:val="00EB65E1"/>
    <w:rsid w:val="00EC0CE3"/>
    <w:rsid w:val="00EC710F"/>
    <w:rsid w:val="00ED2D30"/>
    <w:rsid w:val="00ED677B"/>
    <w:rsid w:val="00EE021C"/>
    <w:rsid w:val="00EE233B"/>
    <w:rsid w:val="00EF315B"/>
    <w:rsid w:val="00EF6AD1"/>
    <w:rsid w:val="00F04665"/>
    <w:rsid w:val="00F064FC"/>
    <w:rsid w:val="00F071E7"/>
    <w:rsid w:val="00F11D36"/>
    <w:rsid w:val="00F27836"/>
    <w:rsid w:val="00F35772"/>
    <w:rsid w:val="00F468A1"/>
    <w:rsid w:val="00F478AE"/>
    <w:rsid w:val="00F65F46"/>
    <w:rsid w:val="00F663C3"/>
    <w:rsid w:val="00F667E0"/>
    <w:rsid w:val="00F7066D"/>
    <w:rsid w:val="00F818CC"/>
    <w:rsid w:val="00F94024"/>
    <w:rsid w:val="00F94E4A"/>
    <w:rsid w:val="00FA458B"/>
    <w:rsid w:val="00FB3E32"/>
    <w:rsid w:val="00FC1D31"/>
    <w:rsid w:val="00FC2AF3"/>
    <w:rsid w:val="00FC6453"/>
    <w:rsid w:val="00FD20E5"/>
    <w:rsid w:val="00FD2C2A"/>
    <w:rsid w:val="00FF12F1"/>
    <w:rsid w:val="00FF6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E5232D"/>
    <w:pPr>
      <w:keepNext/>
      <w:keepLines/>
      <w:spacing w:before="480"/>
      <w:jc w:val="center"/>
    </w:pPr>
    <w:rPr>
      <w:rFonts w:ascii="Times New Roman Bold" w:hAnsi="Times New Roman Bold"/>
      <w:b/>
      <w:bCs/>
      <w:sz w:val="28"/>
      <w:szCs w:val="40"/>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C7DFC"/>
    <w:rPr>
      <w:color w:val="0000FF"/>
      <w:u w:val="single"/>
    </w:rPr>
  </w:style>
  <w:style w:type="paragraph" w:styleId="ListParagraph">
    <w:name w:val="List Paragraph"/>
    <w:basedOn w:val="Normal"/>
    <w:uiPriority w:val="34"/>
    <w:qFormat/>
    <w:rsid w:val="00F11D36"/>
    <w:pPr>
      <w:tabs>
        <w:tab w:val="clear" w:pos="794"/>
        <w:tab w:val="clear" w:pos="1191"/>
        <w:tab w:val="clear" w:pos="1588"/>
        <w:tab w:val="clear" w:pos="1985"/>
      </w:tabs>
      <w:overflowPunct/>
      <w:autoSpaceDE/>
      <w:autoSpaceDN/>
      <w:bidi w:val="0"/>
      <w:adjustRightInd/>
      <w:spacing w:before="0" w:line="240" w:lineRule="auto"/>
      <w:ind w:left="720"/>
      <w:contextualSpacing/>
      <w:jc w:val="left"/>
      <w:textAlignment w:val="auto"/>
    </w:pPr>
    <w:rPr>
      <w:rFonts w:cs="Times New Roman"/>
      <w:sz w:val="24"/>
      <w:szCs w:val="24"/>
      <w:lang w:val="en-US" w:eastAsia="zh-CN"/>
    </w:rPr>
  </w:style>
  <w:style w:type="paragraph" w:styleId="BalloonText">
    <w:name w:val="Balloon Text"/>
    <w:basedOn w:val="Normal"/>
    <w:link w:val="BalloonTextChar"/>
    <w:rsid w:val="00D93C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93CD8"/>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E5232D"/>
    <w:pPr>
      <w:keepNext/>
      <w:keepLines/>
      <w:spacing w:before="480"/>
      <w:jc w:val="center"/>
    </w:pPr>
    <w:rPr>
      <w:rFonts w:ascii="Times New Roman Bold" w:hAnsi="Times New Roman Bold"/>
      <w:b/>
      <w:bCs/>
      <w:sz w:val="28"/>
      <w:szCs w:val="40"/>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C7DFC"/>
    <w:rPr>
      <w:color w:val="0000FF"/>
      <w:u w:val="single"/>
    </w:rPr>
  </w:style>
  <w:style w:type="paragraph" w:styleId="ListParagraph">
    <w:name w:val="List Paragraph"/>
    <w:basedOn w:val="Normal"/>
    <w:uiPriority w:val="34"/>
    <w:qFormat/>
    <w:rsid w:val="00F11D36"/>
    <w:pPr>
      <w:tabs>
        <w:tab w:val="clear" w:pos="794"/>
        <w:tab w:val="clear" w:pos="1191"/>
        <w:tab w:val="clear" w:pos="1588"/>
        <w:tab w:val="clear" w:pos="1985"/>
      </w:tabs>
      <w:overflowPunct/>
      <w:autoSpaceDE/>
      <w:autoSpaceDN/>
      <w:bidi w:val="0"/>
      <w:adjustRightInd/>
      <w:spacing w:before="0" w:line="240" w:lineRule="auto"/>
      <w:ind w:left="720"/>
      <w:contextualSpacing/>
      <w:jc w:val="left"/>
      <w:textAlignment w:val="auto"/>
    </w:pPr>
    <w:rPr>
      <w:rFonts w:cs="Times New Roman"/>
      <w:sz w:val="24"/>
      <w:szCs w:val="24"/>
      <w:lang w:val="en-US" w:eastAsia="zh-CN"/>
    </w:rPr>
  </w:style>
  <w:style w:type="paragraph" w:styleId="BalloonText">
    <w:name w:val="Balloon Text"/>
    <w:basedOn w:val="Normal"/>
    <w:link w:val="BalloonTextChar"/>
    <w:rsid w:val="00D93C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93CD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mail@itu.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qlite.org/"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deltaw\Application%20Data\Microsoft\Templates\POOL%20A%20-%20ITU\PA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F271-94C1-4313-8587-1BF519A7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PA_BRcirc.DOT</Template>
  <TotalTime>84</TotalTime>
  <Pages>3</Pages>
  <Words>822</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5251</CharactersWithSpaces>
  <SharedDoc>false</SharedDoc>
  <HLinks>
    <vt:vector size="30" baseType="variant">
      <vt:variant>
        <vt:i4>3211369</vt:i4>
      </vt:variant>
      <vt:variant>
        <vt:i4>9</vt:i4>
      </vt:variant>
      <vt:variant>
        <vt:i4>0</vt:i4>
      </vt:variant>
      <vt:variant>
        <vt:i4>5</vt:i4>
      </vt:variant>
      <vt:variant>
        <vt:lpwstr>http://support.microsoft.com/kb/930627</vt:lpwstr>
      </vt:variant>
      <vt:variant>
        <vt:lpwstr/>
      </vt:variant>
      <vt:variant>
        <vt:i4>5111831</vt:i4>
      </vt:variant>
      <vt:variant>
        <vt:i4>6</vt:i4>
      </vt:variant>
      <vt:variant>
        <vt:i4>0</vt:i4>
      </vt:variant>
      <vt:variant>
        <vt:i4>5</vt:i4>
      </vt:variant>
      <vt:variant>
        <vt:lpwstr>http://www.adobe.com/</vt:lpwstr>
      </vt:variant>
      <vt:variant>
        <vt:lpwstr/>
      </vt:variant>
      <vt:variant>
        <vt:i4>589886</vt:i4>
      </vt:variant>
      <vt:variant>
        <vt:i4>3</vt:i4>
      </vt:variant>
      <vt:variant>
        <vt:i4>0</vt:i4>
      </vt:variant>
      <vt:variant>
        <vt:i4>5</vt:i4>
      </vt:variant>
      <vt:variant>
        <vt:lpwstr>mailto:matas@itu.int</vt:lpwstr>
      </vt:variant>
      <vt:variant>
        <vt:lpwstr/>
      </vt:variant>
      <vt:variant>
        <vt:i4>93</vt:i4>
      </vt:variant>
      <vt:variant>
        <vt:i4>0</vt:i4>
      </vt:variant>
      <vt:variant>
        <vt:i4>0</vt:i4>
      </vt:variant>
      <vt:variant>
        <vt:i4>5</vt:i4>
      </vt:variant>
      <vt:variant>
        <vt:lpwstr>http://www.itu.int/en/ITUR/space/Pages/supportFAQPublication.aspx</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ITU</dc:creator>
  <cp:lastModifiedBy>landeryo</cp:lastModifiedBy>
  <cp:revision>56</cp:revision>
  <cp:lastPrinted>2012-04-16T15:05:00Z</cp:lastPrinted>
  <dcterms:created xsi:type="dcterms:W3CDTF">2012-04-16T10:00:00Z</dcterms:created>
  <dcterms:modified xsi:type="dcterms:W3CDTF">2012-04-23T14:07:00Z</dcterms:modified>
</cp:coreProperties>
</file>