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35130F" w14:paraId="3373B1DA" w14:textId="77777777" w:rsidTr="004228FA">
        <w:trPr>
          <w:jc w:val="center"/>
        </w:trPr>
        <w:tc>
          <w:tcPr>
            <w:tcW w:w="9889" w:type="dxa"/>
            <w:gridSpan w:val="3"/>
            <w:shd w:val="clear" w:color="auto" w:fill="auto"/>
          </w:tcPr>
          <w:p w14:paraId="131D11D0" w14:textId="77777777" w:rsidR="00E53DCE" w:rsidRPr="0035130F" w:rsidRDefault="00E53DCE" w:rsidP="006160CB">
            <w:pPr>
              <w:spacing w:before="0"/>
              <w:jc w:val="left"/>
              <w:rPr>
                <w:rFonts w:cstheme="minorHAnsi"/>
                <w:b/>
                <w:bCs/>
                <w:color w:val="808080"/>
                <w:sz w:val="28"/>
                <w:szCs w:val="28"/>
                <w:lang w:val="fr-FR"/>
              </w:rPr>
            </w:pPr>
            <w:r w:rsidRPr="0035130F">
              <w:rPr>
                <w:rFonts w:cstheme="minorHAnsi"/>
                <w:b/>
                <w:bCs/>
                <w:color w:val="808080"/>
                <w:sz w:val="28"/>
                <w:szCs w:val="28"/>
                <w:lang w:val="fr-FR"/>
              </w:rPr>
              <w:t>Bureau des radiocommunications (BR)</w:t>
            </w:r>
          </w:p>
          <w:p w14:paraId="5D410CA3" w14:textId="77777777" w:rsidR="00E53DCE" w:rsidRPr="0035130F" w:rsidRDefault="00E53DCE" w:rsidP="006160CB">
            <w:pPr>
              <w:spacing w:before="0"/>
              <w:jc w:val="left"/>
              <w:rPr>
                <w:rFonts w:cstheme="minorHAnsi"/>
                <w:b/>
                <w:bCs/>
                <w:color w:val="808080"/>
                <w:sz w:val="28"/>
                <w:szCs w:val="28"/>
                <w:lang w:val="fr-FR"/>
              </w:rPr>
            </w:pPr>
          </w:p>
          <w:p w14:paraId="238EAC46" w14:textId="77777777" w:rsidR="00E53DCE" w:rsidRPr="0035130F" w:rsidRDefault="00E53DCE" w:rsidP="006160CB">
            <w:pPr>
              <w:spacing w:before="0"/>
              <w:jc w:val="left"/>
              <w:rPr>
                <w:rFonts w:cs="Times New Roman Bold"/>
                <w:b/>
                <w:bCs/>
                <w:color w:val="808080"/>
                <w:sz w:val="28"/>
                <w:szCs w:val="28"/>
                <w:lang w:val="fr-FR"/>
              </w:rPr>
            </w:pPr>
          </w:p>
        </w:tc>
      </w:tr>
      <w:tr w:rsidR="00E53DCE" w:rsidRPr="0035130F" w14:paraId="32D03654" w14:textId="77777777" w:rsidTr="004228FA">
        <w:trPr>
          <w:jc w:val="center"/>
        </w:trPr>
        <w:tc>
          <w:tcPr>
            <w:tcW w:w="7054" w:type="dxa"/>
            <w:gridSpan w:val="2"/>
            <w:shd w:val="clear" w:color="auto" w:fill="auto"/>
          </w:tcPr>
          <w:p w14:paraId="787AC96A" w14:textId="5EFBE236" w:rsidR="00E53DCE" w:rsidRPr="0035130F" w:rsidRDefault="00AA781A" w:rsidP="006160CB">
            <w:pPr>
              <w:spacing w:before="0"/>
              <w:jc w:val="left"/>
              <w:rPr>
                <w:sz w:val="28"/>
                <w:szCs w:val="28"/>
                <w:lang w:val="fr-FR"/>
              </w:rPr>
            </w:pPr>
            <w:r w:rsidRPr="0035130F">
              <w:rPr>
                <w:szCs w:val="24"/>
                <w:lang w:val="fr-FR"/>
              </w:rPr>
              <w:t>Lettre circulaire</w:t>
            </w:r>
          </w:p>
          <w:p w14:paraId="198DE3D1" w14:textId="63071B1B" w:rsidR="00E53DCE" w:rsidRPr="0035130F" w:rsidRDefault="004663B8" w:rsidP="006160CB">
            <w:pPr>
              <w:spacing w:before="0"/>
              <w:jc w:val="left"/>
              <w:rPr>
                <w:b/>
                <w:bCs/>
                <w:sz w:val="28"/>
                <w:szCs w:val="28"/>
                <w:lang w:val="fr-FR"/>
              </w:rPr>
            </w:pPr>
            <w:r w:rsidRPr="0035130F">
              <w:rPr>
                <w:b/>
                <w:bCs/>
                <w:lang w:val="fr-FR"/>
              </w:rPr>
              <w:t>CM/29</w:t>
            </w:r>
          </w:p>
        </w:tc>
        <w:tc>
          <w:tcPr>
            <w:tcW w:w="2835" w:type="dxa"/>
            <w:shd w:val="clear" w:color="auto" w:fill="auto"/>
          </w:tcPr>
          <w:p w14:paraId="73698996" w14:textId="4260E7F8" w:rsidR="00E53DCE" w:rsidRPr="0035130F" w:rsidRDefault="007B6F26" w:rsidP="00304636">
            <w:pPr>
              <w:spacing w:before="0"/>
              <w:jc w:val="right"/>
              <w:rPr>
                <w:sz w:val="28"/>
                <w:szCs w:val="28"/>
                <w:lang w:val="fr-FR"/>
              </w:rPr>
            </w:pPr>
            <w:r>
              <w:rPr>
                <w:lang w:val="fr-FR"/>
              </w:rPr>
              <w:t>08</w:t>
            </w:r>
            <w:r w:rsidR="004663B8" w:rsidRPr="0035130F">
              <w:rPr>
                <w:lang w:val="fr-FR"/>
              </w:rPr>
              <w:t xml:space="preserve"> janvier 2025</w:t>
            </w:r>
          </w:p>
        </w:tc>
      </w:tr>
      <w:tr w:rsidR="00E53DCE" w:rsidRPr="0035130F" w14:paraId="21CF050B" w14:textId="77777777" w:rsidTr="004228FA">
        <w:trPr>
          <w:jc w:val="center"/>
        </w:trPr>
        <w:tc>
          <w:tcPr>
            <w:tcW w:w="9889" w:type="dxa"/>
            <w:gridSpan w:val="3"/>
            <w:shd w:val="clear" w:color="auto" w:fill="auto"/>
          </w:tcPr>
          <w:p w14:paraId="78C111A6" w14:textId="77777777" w:rsidR="00E53DCE" w:rsidRPr="0035130F" w:rsidRDefault="00E53DCE" w:rsidP="006160CB">
            <w:pPr>
              <w:spacing w:before="0"/>
              <w:jc w:val="left"/>
              <w:rPr>
                <w:rFonts w:cs="Arial"/>
                <w:szCs w:val="24"/>
                <w:lang w:val="fr-FR"/>
              </w:rPr>
            </w:pPr>
          </w:p>
        </w:tc>
      </w:tr>
      <w:tr w:rsidR="00E53DCE" w:rsidRPr="0035130F" w14:paraId="2F4E240B" w14:textId="77777777" w:rsidTr="004228FA">
        <w:trPr>
          <w:jc w:val="center"/>
        </w:trPr>
        <w:tc>
          <w:tcPr>
            <w:tcW w:w="9889" w:type="dxa"/>
            <w:gridSpan w:val="3"/>
            <w:shd w:val="clear" w:color="auto" w:fill="auto"/>
          </w:tcPr>
          <w:p w14:paraId="1E0134AA" w14:textId="77777777" w:rsidR="00E53DCE" w:rsidRPr="0035130F" w:rsidRDefault="00E53DCE" w:rsidP="006160CB">
            <w:pPr>
              <w:spacing w:before="0"/>
              <w:jc w:val="left"/>
              <w:rPr>
                <w:szCs w:val="24"/>
                <w:lang w:val="fr-FR"/>
              </w:rPr>
            </w:pPr>
          </w:p>
        </w:tc>
      </w:tr>
      <w:tr w:rsidR="00E53DCE" w:rsidRPr="00ED7A4C" w14:paraId="007114AC" w14:textId="77777777" w:rsidTr="004228FA">
        <w:trPr>
          <w:jc w:val="center"/>
        </w:trPr>
        <w:tc>
          <w:tcPr>
            <w:tcW w:w="9889" w:type="dxa"/>
            <w:gridSpan w:val="3"/>
            <w:shd w:val="clear" w:color="auto" w:fill="auto"/>
          </w:tcPr>
          <w:p w14:paraId="63C97C02" w14:textId="68573C51" w:rsidR="00E53DCE" w:rsidRPr="0035130F" w:rsidRDefault="00EE1A57" w:rsidP="006160CB">
            <w:pPr>
              <w:spacing w:before="0"/>
              <w:jc w:val="left"/>
              <w:rPr>
                <w:b/>
                <w:bCs/>
                <w:szCs w:val="24"/>
                <w:lang w:val="fr-FR"/>
              </w:rPr>
            </w:pPr>
            <w:r w:rsidRPr="0035130F">
              <w:rPr>
                <w:b/>
                <w:bCs/>
                <w:szCs w:val="24"/>
                <w:lang w:val="fr-FR"/>
              </w:rPr>
              <w:t xml:space="preserve">Aux Administrations des </w:t>
            </w:r>
            <w:r w:rsidR="004663B8" w:rsidRPr="0035130F">
              <w:rPr>
                <w:b/>
                <w:bCs/>
                <w:szCs w:val="24"/>
                <w:lang w:val="fr-FR"/>
              </w:rPr>
              <w:t>É</w:t>
            </w:r>
            <w:r w:rsidRPr="0035130F">
              <w:rPr>
                <w:b/>
                <w:bCs/>
                <w:szCs w:val="24"/>
                <w:lang w:val="fr-FR"/>
              </w:rPr>
              <w:t>tats Membres de l'UIT</w:t>
            </w:r>
          </w:p>
          <w:p w14:paraId="43A7338A" w14:textId="77777777" w:rsidR="00E53DCE" w:rsidRPr="0035130F" w:rsidRDefault="00E53DCE" w:rsidP="006160CB">
            <w:pPr>
              <w:spacing w:before="0"/>
              <w:jc w:val="left"/>
              <w:rPr>
                <w:b/>
                <w:bCs/>
                <w:szCs w:val="24"/>
                <w:lang w:val="fr-FR"/>
              </w:rPr>
            </w:pPr>
          </w:p>
        </w:tc>
      </w:tr>
      <w:tr w:rsidR="00E53DCE" w:rsidRPr="00ED7A4C" w14:paraId="6C559311" w14:textId="77777777" w:rsidTr="004228FA">
        <w:trPr>
          <w:jc w:val="center"/>
        </w:trPr>
        <w:tc>
          <w:tcPr>
            <w:tcW w:w="9889" w:type="dxa"/>
            <w:gridSpan w:val="3"/>
            <w:shd w:val="clear" w:color="auto" w:fill="auto"/>
          </w:tcPr>
          <w:p w14:paraId="0D32AE4E" w14:textId="77777777" w:rsidR="00E53DCE" w:rsidRPr="0035130F" w:rsidRDefault="00E53DCE" w:rsidP="006160CB">
            <w:pPr>
              <w:spacing w:before="0"/>
              <w:jc w:val="left"/>
              <w:rPr>
                <w:szCs w:val="24"/>
                <w:lang w:val="fr-FR"/>
              </w:rPr>
            </w:pPr>
          </w:p>
        </w:tc>
      </w:tr>
      <w:tr w:rsidR="00E53DCE" w:rsidRPr="00ED7A4C" w14:paraId="26C0E337" w14:textId="77777777" w:rsidTr="004228FA">
        <w:trPr>
          <w:jc w:val="center"/>
        </w:trPr>
        <w:tc>
          <w:tcPr>
            <w:tcW w:w="9889" w:type="dxa"/>
            <w:gridSpan w:val="3"/>
            <w:shd w:val="clear" w:color="auto" w:fill="auto"/>
          </w:tcPr>
          <w:p w14:paraId="29F7E960" w14:textId="77777777" w:rsidR="00E53DCE" w:rsidRPr="0035130F" w:rsidRDefault="00E53DCE" w:rsidP="006160CB">
            <w:pPr>
              <w:spacing w:before="0"/>
              <w:jc w:val="left"/>
              <w:rPr>
                <w:szCs w:val="24"/>
                <w:lang w:val="fr-FR"/>
              </w:rPr>
            </w:pPr>
          </w:p>
        </w:tc>
      </w:tr>
      <w:tr w:rsidR="00E53DCE" w:rsidRPr="00ED7A4C" w14:paraId="2813E03B" w14:textId="77777777" w:rsidTr="004228FA">
        <w:trPr>
          <w:jc w:val="center"/>
        </w:trPr>
        <w:tc>
          <w:tcPr>
            <w:tcW w:w="1526" w:type="dxa"/>
            <w:shd w:val="clear" w:color="auto" w:fill="auto"/>
          </w:tcPr>
          <w:p w14:paraId="50D97891" w14:textId="77777777" w:rsidR="00E53DCE" w:rsidRPr="0035130F" w:rsidRDefault="003471C9" w:rsidP="006160CB">
            <w:pPr>
              <w:tabs>
                <w:tab w:val="clear" w:pos="1588"/>
                <w:tab w:val="left" w:pos="1560"/>
              </w:tabs>
              <w:spacing w:before="0"/>
              <w:jc w:val="left"/>
              <w:rPr>
                <w:szCs w:val="24"/>
                <w:lang w:val="fr-FR"/>
              </w:rPr>
            </w:pPr>
            <w:proofErr w:type="gramStart"/>
            <w:r w:rsidRPr="0035130F">
              <w:rPr>
                <w:lang w:val="fr-FR"/>
              </w:rPr>
              <w:t>Objet</w:t>
            </w:r>
            <w:r w:rsidR="00E53DCE" w:rsidRPr="0035130F">
              <w:rPr>
                <w:szCs w:val="24"/>
                <w:lang w:val="fr-FR"/>
              </w:rPr>
              <w:t>:</w:t>
            </w:r>
            <w:proofErr w:type="gramEnd"/>
          </w:p>
        </w:tc>
        <w:tc>
          <w:tcPr>
            <w:tcW w:w="8363" w:type="dxa"/>
            <w:gridSpan w:val="2"/>
            <w:vMerge w:val="restart"/>
            <w:shd w:val="clear" w:color="auto" w:fill="auto"/>
          </w:tcPr>
          <w:p w14:paraId="41F3265F" w14:textId="551E9C23" w:rsidR="00E53DCE" w:rsidRPr="0035130F" w:rsidRDefault="004663B8" w:rsidP="004663B8">
            <w:pPr>
              <w:tabs>
                <w:tab w:val="clear" w:pos="1588"/>
                <w:tab w:val="left" w:pos="1560"/>
              </w:tabs>
              <w:spacing w:before="0"/>
              <w:jc w:val="left"/>
              <w:rPr>
                <w:b/>
                <w:bCs/>
                <w:szCs w:val="24"/>
                <w:lang w:val="fr-FR"/>
              </w:rPr>
            </w:pPr>
            <w:r w:rsidRPr="0035130F">
              <w:rPr>
                <w:b/>
                <w:bCs/>
                <w:lang w:val="fr-FR"/>
              </w:rPr>
              <w:t>Amélioration de l'accès numérique aux publications de l'UIT</w:t>
            </w:r>
            <w:bookmarkStart w:id="0" w:name="_Hlk184907112"/>
            <w:bookmarkEnd w:id="0"/>
            <w:r w:rsidRPr="0035130F">
              <w:rPr>
                <w:b/>
                <w:bCs/>
                <w:lang w:val="fr-FR"/>
              </w:rPr>
              <w:t xml:space="preserve"> relatives au service maritime</w:t>
            </w:r>
          </w:p>
        </w:tc>
      </w:tr>
      <w:tr w:rsidR="00E53DCE" w:rsidRPr="00ED7A4C" w14:paraId="61BFC634" w14:textId="77777777" w:rsidTr="004228FA">
        <w:trPr>
          <w:jc w:val="center"/>
        </w:trPr>
        <w:tc>
          <w:tcPr>
            <w:tcW w:w="1526" w:type="dxa"/>
            <w:shd w:val="clear" w:color="auto" w:fill="auto"/>
          </w:tcPr>
          <w:p w14:paraId="1D8E097C" w14:textId="77777777" w:rsidR="00E53DCE" w:rsidRPr="0035130F"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35130F" w:rsidRDefault="00E53DCE" w:rsidP="006160CB">
            <w:pPr>
              <w:tabs>
                <w:tab w:val="clear" w:pos="1588"/>
                <w:tab w:val="left" w:pos="1560"/>
              </w:tabs>
              <w:spacing w:before="0"/>
              <w:rPr>
                <w:b/>
                <w:bCs/>
                <w:szCs w:val="24"/>
                <w:lang w:val="fr-FR"/>
              </w:rPr>
            </w:pPr>
          </w:p>
        </w:tc>
      </w:tr>
      <w:tr w:rsidR="00E53DCE" w:rsidRPr="00ED7A4C" w14:paraId="16E0966F" w14:textId="77777777" w:rsidTr="004228FA">
        <w:trPr>
          <w:jc w:val="center"/>
        </w:trPr>
        <w:tc>
          <w:tcPr>
            <w:tcW w:w="1526" w:type="dxa"/>
            <w:shd w:val="clear" w:color="auto" w:fill="auto"/>
          </w:tcPr>
          <w:p w14:paraId="1523ACF5" w14:textId="77777777" w:rsidR="00E53DCE" w:rsidRPr="0035130F"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35130F" w:rsidRDefault="00E53DCE" w:rsidP="006160CB">
            <w:pPr>
              <w:tabs>
                <w:tab w:val="clear" w:pos="1588"/>
                <w:tab w:val="left" w:pos="1560"/>
              </w:tabs>
              <w:spacing w:before="0"/>
              <w:rPr>
                <w:b/>
                <w:bCs/>
                <w:szCs w:val="24"/>
                <w:lang w:val="fr-FR"/>
              </w:rPr>
            </w:pPr>
          </w:p>
        </w:tc>
      </w:tr>
      <w:tr w:rsidR="00E53DCE" w:rsidRPr="00ED7A4C" w14:paraId="7F2EC983" w14:textId="77777777" w:rsidTr="004228FA">
        <w:trPr>
          <w:jc w:val="center"/>
        </w:trPr>
        <w:tc>
          <w:tcPr>
            <w:tcW w:w="9889" w:type="dxa"/>
            <w:gridSpan w:val="3"/>
            <w:shd w:val="clear" w:color="auto" w:fill="auto"/>
          </w:tcPr>
          <w:p w14:paraId="40F7D839" w14:textId="77777777" w:rsidR="00E53DCE" w:rsidRPr="0035130F" w:rsidRDefault="00E53DCE" w:rsidP="0060582E">
            <w:pPr>
              <w:tabs>
                <w:tab w:val="clear" w:pos="1588"/>
                <w:tab w:val="left" w:pos="1560"/>
              </w:tabs>
              <w:spacing w:before="0"/>
              <w:rPr>
                <w:szCs w:val="24"/>
                <w:lang w:val="fr-FR"/>
              </w:rPr>
            </w:pPr>
          </w:p>
        </w:tc>
      </w:tr>
      <w:tr w:rsidR="00E53DCE" w:rsidRPr="00ED7A4C" w14:paraId="290A0292" w14:textId="77777777" w:rsidTr="004228FA">
        <w:trPr>
          <w:jc w:val="center"/>
        </w:trPr>
        <w:tc>
          <w:tcPr>
            <w:tcW w:w="9889" w:type="dxa"/>
            <w:gridSpan w:val="3"/>
            <w:shd w:val="clear" w:color="auto" w:fill="auto"/>
          </w:tcPr>
          <w:p w14:paraId="40F59961" w14:textId="77777777" w:rsidR="00E53DCE" w:rsidRPr="0035130F" w:rsidRDefault="00E53DCE" w:rsidP="0060582E">
            <w:pPr>
              <w:spacing w:before="0"/>
              <w:rPr>
                <w:b/>
                <w:bCs/>
                <w:szCs w:val="24"/>
                <w:lang w:val="fr-FR"/>
              </w:rPr>
            </w:pPr>
          </w:p>
        </w:tc>
      </w:tr>
    </w:tbl>
    <w:p w14:paraId="07997DF3" w14:textId="2865F8CB" w:rsidR="004663B8" w:rsidRPr="004663B8" w:rsidRDefault="004663B8" w:rsidP="0060582E">
      <w:pPr>
        <w:spacing w:line="240" w:lineRule="auto"/>
        <w:rPr>
          <w:szCs w:val="24"/>
          <w:lang w:val="fr-FR"/>
        </w:rPr>
      </w:pPr>
      <w:r w:rsidRPr="004663B8">
        <w:rPr>
          <w:szCs w:val="24"/>
          <w:lang w:val="fr-FR"/>
        </w:rPr>
        <w:t>Les publications de l</w:t>
      </w:r>
      <w:r w:rsidRPr="0035130F">
        <w:rPr>
          <w:szCs w:val="24"/>
          <w:lang w:val="fr-FR"/>
        </w:rPr>
        <w:t>'</w:t>
      </w:r>
      <w:r w:rsidRPr="004663B8">
        <w:rPr>
          <w:szCs w:val="24"/>
          <w:lang w:val="fr-FR"/>
        </w:rPr>
        <w:t>UIT relatives au service maritime sont diffusées conformément à l</w:t>
      </w:r>
      <w:r w:rsidRPr="0035130F">
        <w:rPr>
          <w:szCs w:val="24"/>
          <w:lang w:val="fr-FR"/>
        </w:rPr>
        <w:t>'</w:t>
      </w:r>
      <w:r w:rsidRPr="004663B8">
        <w:rPr>
          <w:szCs w:val="24"/>
          <w:lang w:val="fr-FR"/>
        </w:rPr>
        <w:t xml:space="preserve">Article </w:t>
      </w:r>
      <w:r w:rsidRPr="004663B8">
        <w:rPr>
          <w:b/>
          <w:bCs/>
          <w:szCs w:val="24"/>
          <w:lang w:val="fr-FR"/>
        </w:rPr>
        <w:t xml:space="preserve">20 </w:t>
      </w:r>
      <w:r w:rsidRPr="004663B8">
        <w:rPr>
          <w:szCs w:val="24"/>
          <w:lang w:val="fr-FR"/>
        </w:rPr>
        <w:t xml:space="preserve">du Règlement des radiocommunications et comprennent les publications </w:t>
      </w:r>
      <w:proofErr w:type="gramStart"/>
      <w:r w:rsidRPr="004663B8">
        <w:rPr>
          <w:szCs w:val="24"/>
          <w:lang w:val="fr-FR"/>
        </w:rPr>
        <w:t>suivantes:</w:t>
      </w:r>
      <w:proofErr w:type="gramEnd"/>
    </w:p>
    <w:p w14:paraId="26818DCC" w14:textId="162DFD0B" w:rsidR="004663B8" w:rsidRPr="0035130F" w:rsidRDefault="004663B8" w:rsidP="0060582E">
      <w:pPr>
        <w:pStyle w:val="enumlev1"/>
        <w:spacing w:line="240" w:lineRule="auto"/>
        <w:rPr>
          <w:lang w:val="fr-FR"/>
        </w:rPr>
      </w:pPr>
      <w:r w:rsidRPr="0035130F">
        <w:rPr>
          <w:lang w:val="fr-FR"/>
        </w:rPr>
        <w:t>–</w:t>
      </w:r>
      <w:r w:rsidRPr="0035130F">
        <w:rPr>
          <w:lang w:val="fr-FR"/>
        </w:rPr>
        <w:tab/>
      </w:r>
      <w:r w:rsidR="00FE39E7" w:rsidRPr="0035130F">
        <w:rPr>
          <w:lang w:val="fr-FR"/>
        </w:rPr>
        <w:t>n</w:t>
      </w:r>
      <w:r w:rsidRPr="0035130F">
        <w:rPr>
          <w:lang w:val="fr-FR"/>
        </w:rPr>
        <w:t>omenclature des stations côtières et des stations effectuant des services spéciaux (Liste</w:t>
      </w:r>
      <w:r w:rsidR="00FE39E7" w:rsidRPr="0035130F">
        <w:rPr>
          <w:lang w:val="fr-FR"/>
        </w:rPr>
        <w:t> </w:t>
      </w:r>
      <w:r w:rsidRPr="0035130F">
        <w:rPr>
          <w:lang w:val="fr-FR"/>
        </w:rPr>
        <w:t>IV</w:t>
      </w:r>
      <w:proofErr w:type="gramStart"/>
      <w:r w:rsidRPr="0035130F">
        <w:rPr>
          <w:lang w:val="fr-FR"/>
        </w:rPr>
        <w:t>)</w:t>
      </w:r>
      <w:r w:rsidR="00FE39E7" w:rsidRPr="0035130F">
        <w:rPr>
          <w:lang w:val="fr-FR"/>
        </w:rPr>
        <w:t>;</w:t>
      </w:r>
      <w:proofErr w:type="gramEnd"/>
    </w:p>
    <w:p w14:paraId="53299FA1" w14:textId="67098072" w:rsidR="004663B8" w:rsidRPr="0035130F" w:rsidRDefault="004663B8" w:rsidP="0060582E">
      <w:pPr>
        <w:pStyle w:val="enumlev1"/>
        <w:spacing w:line="240" w:lineRule="auto"/>
        <w:rPr>
          <w:lang w:val="fr-FR"/>
        </w:rPr>
      </w:pPr>
      <w:r w:rsidRPr="0035130F">
        <w:rPr>
          <w:lang w:val="fr-FR"/>
        </w:rPr>
        <w:t>–</w:t>
      </w:r>
      <w:r w:rsidRPr="0035130F">
        <w:rPr>
          <w:lang w:val="fr-FR"/>
        </w:rPr>
        <w:tab/>
      </w:r>
      <w:r w:rsidR="00FE39E7" w:rsidRPr="0035130F">
        <w:rPr>
          <w:lang w:val="fr-FR"/>
        </w:rPr>
        <w:t>n</w:t>
      </w:r>
      <w:r w:rsidRPr="0035130F">
        <w:rPr>
          <w:lang w:val="fr-FR"/>
        </w:rPr>
        <w:t>omenclature des stations de navire et des identités du service mobile maritime assignées (Liste V</w:t>
      </w:r>
      <w:proofErr w:type="gramStart"/>
      <w:r w:rsidRPr="0035130F">
        <w:rPr>
          <w:lang w:val="fr-FR"/>
        </w:rPr>
        <w:t>);</w:t>
      </w:r>
      <w:proofErr w:type="gramEnd"/>
      <w:r w:rsidRPr="0035130F">
        <w:rPr>
          <w:lang w:val="fr-FR"/>
        </w:rPr>
        <w:t xml:space="preserve"> et</w:t>
      </w:r>
    </w:p>
    <w:p w14:paraId="7EDDB921" w14:textId="3204C594" w:rsidR="004663B8" w:rsidRPr="0035130F" w:rsidRDefault="004663B8" w:rsidP="0060582E">
      <w:pPr>
        <w:pStyle w:val="enumlev1"/>
        <w:spacing w:line="240" w:lineRule="auto"/>
        <w:rPr>
          <w:lang w:val="fr-FR"/>
        </w:rPr>
      </w:pPr>
      <w:r w:rsidRPr="0035130F">
        <w:rPr>
          <w:lang w:val="fr-FR"/>
        </w:rPr>
        <w:t>–</w:t>
      </w:r>
      <w:r w:rsidRPr="0035130F">
        <w:rPr>
          <w:lang w:val="fr-FR"/>
        </w:rPr>
        <w:tab/>
      </w:r>
      <w:r w:rsidR="00FE39E7" w:rsidRPr="0035130F">
        <w:rPr>
          <w:lang w:val="fr-FR"/>
        </w:rPr>
        <w:t>m</w:t>
      </w:r>
      <w:r w:rsidRPr="0035130F">
        <w:rPr>
          <w:lang w:val="fr-FR"/>
        </w:rPr>
        <w:t>anuel à l'usage des services mobile maritime et mobile maritime par satellite (Manuel</w:t>
      </w:r>
      <w:r w:rsidR="00FE39E7" w:rsidRPr="0035130F">
        <w:rPr>
          <w:lang w:val="fr-FR"/>
        </w:rPr>
        <w:t> </w:t>
      </w:r>
      <w:r w:rsidRPr="0035130F">
        <w:rPr>
          <w:lang w:val="fr-FR"/>
        </w:rPr>
        <w:t>maritime)</w:t>
      </w:r>
      <w:r w:rsidR="00FE39E7" w:rsidRPr="0035130F">
        <w:rPr>
          <w:lang w:val="fr-FR"/>
        </w:rPr>
        <w:t>.</w:t>
      </w:r>
    </w:p>
    <w:p w14:paraId="1B14186F" w14:textId="6EBB73A0" w:rsidR="004663B8" w:rsidRPr="004663B8" w:rsidRDefault="004663B8" w:rsidP="0060582E">
      <w:pPr>
        <w:spacing w:line="240" w:lineRule="auto"/>
        <w:rPr>
          <w:szCs w:val="24"/>
          <w:lang w:val="fr-FR"/>
        </w:rPr>
      </w:pPr>
      <w:r w:rsidRPr="004663B8">
        <w:rPr>
          <w:szCs w:val="24"/>
          <w:lang w:val="fr-FR"/>
        </w:rPr>
        <w:t>Depuis 2001, ces publications sont distribuées aux utilisateurs sur CD-ROM et au format papier.</w:t>
      </w:r>
    </w:p>
    <w:p w14:paraId="6CFA0E19" w14:textId="284FC0E1" w:rsidR="004663B8" w:rsidRPr="004663B8" w:rsidRDefault="004663B8" w:rsidP="0060582E">
      <w:pPr>
        <w:spacing w:line="240" w:lineRule="auto"/>
        <w:rPr>
          <w:szCs w:val="24"/>
          <w:lang w:val="fr-FR"/>
        </w:rPr>
      </w:pPr>
      <w:r w:rsidRPr="004663B8">
        <w:rPr>
          <w:szCs w:val="24"/>
          <w:lang w:val="fr-FR"/>
        </w:rPr>
        <w:t>La présente Lettre circulaire a pour objet d</w:t>
      </w:r>
      <w:r w:rsidRPr="0035130F">
        <w:rPr>
          <w:szCs w:val="24"/>
          <w:lang w:val="fr-FR"/>
        </w:rPr>
        <w:t>'</w:t>
      </w:r>
      <w:r w:rsidRPr="004663B8">
        <w:rPr>
          <w:szCs w:val="24"/>
          <w:lang w:val="fr-FR"/>
        </w:rPr>
        <w:t>annoncer que toutes les publications relatives au service maritime seront disponibles dans un nouveau format numérique. Ce format permettra aux utilisateurs de télécharger sur leur PC les publications depuis une page web dédiée et d</w:t>
      </w:r>
      <w:r w:rsidRPr="0035130F">
        <w:rPr>
          <w:szCs w:val="24"/>
          <w:lang w:val="fr-FR"/>
        </w:rPr>
        <w:t>'</w:t>
      </w:r>
      <w:r w:rsidRPr="004663B8">
        <w:rPr>
          <w:szCs w:val="24"/>
          <w:lang w:val="fr-FR"/>
        </w:rPr>
        <w:t>en consulter le contenu via une nouvelle application de bureau. Celle-ci offre des capacités de recherche améliorées et une interface conviviale. Ces mises à jour ont déjà été mises en œuvre pour l</w:t>
      </w:r>
      <w:r w:rsidRPr="0035130F">
        <w:rPr>
          <w:szCs w:val="24"/>
          <w:lang w:val="fr-FR"/>
        </w:rPr>
        <w:t>'</w:t>
      </w:r>
      <w:r w:rsidRPr="004663B8">
        <w:rPr>
          <w:szCs w:val="24"/>
          <w:lang w:val="fr-FR"/>
        </w:rPr>
        <w:t>édition de 2024 du Manuel maritime et seront étendues à toutes les publications relatives au service maritime à partir de 2025.</w:t>
      </w:r>
    </w:p>
    <w:p w14:paraId="4FFBC2A0" w14:textId="30413444" w:rsidR="004663B8" w:rsidRPr="004663B8" w:rsidRDefault="004663B8" w:rsidP="0060582E">
      <w:pPr>
        <w:spacing w:line="240" w:lineRule="auto"/>
        <w:rPr>
          <w:szCs w:val="24"/>
          <w:lang w:val="fr-FR"/>
        </w:rPr>
      </w:pPr>
      <w:r w:rsidRPr="004663B8">
        <w:rPr>
          <w:szCs w:val="24"/>
          <w:lang w:val="fr-FR"/>
        </w:rPr>
        <w:t>Pour veiller à ce qu'elles soient accessibles à tous les utilisateurs, les publications améliorées relatives au service maritime seront également disponibles sur clé USB et sur CD-ROM. Toutefois, le format téléchargeable deviendra le principal mode de distribution. Le Manuel maritime continuera d</w:t>
      </w:r>
      <w:r w:rsidRPr="0035130F">
        <w:rPr>
          <w:szCs w:val="24"/>
          <w:lang w:val="fr-FR"/>
        </w:rPr>
        <w:t>'</w:t>
      </w:r>
      <w:r w:rsidRPr="004663B8">
        <w:rPr>
          <w:szCs w:val="24"/>
          <w:lang w:val="fr-FR"/>
        </w:rPr>
        <w:t>être distribué au format papier, en plus des autres formats. On trouvera des informations sur la manière d</w:t>
      </w:r>
      <w:r w:rsidRPr="0035130F">
        <w:rPr>
          <w:szCs w:val="24"/>
          <w:lang w:val="fr-FR"/>
        </w:rPr>
        <w:t>'</w:t>
      </w:r>
      <w:r w:rsidRPr="004663B8">
        <w:rPr>
          <w:szCs w:val="24"/>
          <w:lang w:val="fr-FR"/>
        </w:rPr>
        <w:t>obtenir ces publications de l'UIT et une brève description des formats à l</w:t>
      </w:r>
      <w:r w:rsidRPr="0035130F">
        <w:rPr>
          <w:szCs w:val="24"/>
          <w:lang w:val="fr-FR"/>
        </w:rPr>
        <w:t>'</w:t>
      </w:r>
      <w:r w:rsidRPr="004663B8">
        <w:rPr>
          <w:szCs w:val="24"/>
          <w:lang w:val="fr-FR"/>
        </w:rPr>
        <w:t xml:space="preserve">adresse </w:t>
      </w:r>
      <w:proofErr w:type="gramStart"/>
      <w:r w:rsidRPr="004663B8">
        <w:rPr>
          <w:szCs w:val="24"/>
          <w:lang w:val="fr-FR"/>
        </w:rPr>
        <w:t>suivante:</w:t>
      </w:r>
      <w:proofErr w:type="gramEnd"/>
      <w:r w:rsidRPr="004663B8">
        <w:rPr>
          <w:szCs w:val="24"/>
          <w:lang w:val="fr-FR"/>
        </w:rPr>
        <w:t xml:space="preserve"> </w:t>
      </w:r>
      <w:hyperlink r:id="rId8" w:history="1">
        <w:r w:rsidR="00FE39E7" w:rsidRPr="0035130F">
          <w:rPr>
            <w:rStyle w:val="Hyperlink"/>
            <w:lang w:val="fr-FR"/>
          </w:rPr>
          <w:t>https://www.itu.int/sales/digital-publications/formats</w:t>
        </w:r>
      </w:hyperlink>
      <w:r w:rsidRPr="004663B8">
        <w:rPr>
          <w:szCs w:val="24"/>
          <w:lang w:val="fr-FR"/>
        </w:rPr>
        <w:t>.</w:t>
      </w:r>
    </w:p>
    <w:p w14:paraId="0866638C" w14:textId="3BD3B9A0" w:rsidR="004663B8" w:rsidRPr="004663B8" w:rsidRDefault="004663B8" w:rsidP="0060582E">
      <w:pPr>
        <w:spacing w:line="240" w:lineRule="auto"/>
        <w:rPr>
          <w:szCs w:val="24"/>
          <w:lang w:val="fr-FR"/>
        </w:rPr>
      </w:pPr>
      <w:r w:rsidRPr="004663B8">
        <w:rPr>
          <w:szCs w:val="24"/>
          <w:lang w:val="fr-FR"/>
        </w:rPr>
        <w:t>Le Bureau des radiocommunications a également amélioré les moyens d</w:t>
      </w:r>
      <w:r w:rsidRPr="0035130F">
        <w:rPr>
          <w:szCs w:val="24"/>
          <w:lang w:val="fr-FR"/>
        </w:rPr>
        <w:t>'</w:t>
      </w:r>
      <w:r w:rsidRPr="004663B8">
        <w:rPr>
          <w:szCs w:val="24"/>
          <w:lang w:val="fr-FR"/>
        </w:rPr>
        <w:t>authentification des publications relatives au service maritime à bord des navires, afin de garantir la conformité aux exigences selon lesquelles les navires doivent être munis de ces publications, comme indiqué dans l</w:t>
      </w:r>
      <w:r w:rsidRPr="0035130F">
        <w:rPr>
          <w:szCs w:val="24"/>
          <w:lang w:val="fr-FR"/>
        </w:rPr>
        <w:t>'</w:t>
      </w:r>
      <w:r w:rsidRPr="004663B8">
        <w:rPr>
          <w:szCs w:val="24"/>
          <w:lang w:val="fr-FR"/>
        </w:rPr>
        <w:t>Appendice </w:t>
      </w:r>
      <w:r w:rsidRPr="004663B8">
        <w:rPr>
          <w:b/>
          <w:bCs/>
          <w:szCs w:val="24"/>
          <w:lang w:val="fr-FR"/>
        </w:rPr>
        <w:t xml:space="preserve">16 </w:t>
      </w:r>
      <w:r w:rsidRPr="004663B8">
        <w:rPr>
          <w:szCs w:val="24"/>
          <w:lang w:val="fr-FR"/>
        </w:rPr>
        <w:t>du Règlement des radiocommunications.</w:t>
      </w:r>
      <w:bookmarkStart w:id="1" w:name="_Hlk185518328"/>
      <w:bookmarkEnd w:id="1"/>
    </w:p>
    <w:p w14:paraId="5B05A928" w14:textId="6E808F53" w:rsidR="004663B8" w:rsidRPr="004663B8" w:rsidRDefault="004663B8" w:rsidP="0060582E">
      <w:pPr>
        <w:keepNext/>
        <w:keepLines/>
        <w:spacing w:line="240" w:lineRule="auto"/>
        <w:rPr>
          <w:szCs w:val="24"/>
          <w:lang w:val="fr-FR"/>
        </w:rPr>
      </w:pPr>
      <w:r w:rsidRPr="004663B8">
        <w:rPr>
          <w:szCs w:val="24"/>
          <w:lang w:val="fr-FR"/>
        </w:rPr>
        <w:lastRenderedPageBreak/>
        <w:t>À cette fin, une fonction actualisée de lecture de code QR a été mise en œuvre, facilitant ainsi la vérification et l</w:t>
      </w:r>
      <w:r w:rsidRPr="0035130F">
        <w:rPr>
          <w:szCs w:val="24"/>
          <w:lang w:val="fr-FR"/>
        </w:rPr>
        <w:t>'</w:t>
      </w:r>
      <w:r w:rsidRPr="004663B8">
        <w:rPr>
          <w:szCs w:val="24"/>
          <w:lang w:val="fr-FR"/>
        </w:rPr>
        <w:t>authentification des publications relatives au service maritime lors des inspections des stations de navire effectuées pour le compte des administrations. Une application mobile destinée à aider les inspecteurs de navire à vérifier ces publications à bord des navires devrait être déployée en 2025.</w:t>
      </w:r>
    </w:p>
    <w:p w14:paraId="03373F53" w14:textId="0690B898" w:rsidR="004663B8" w:rsidRPr="004663B8" w:rsidRDefault="004663B8" w:rsidP="0060582E">
      <w:pPr>
        <w:spacing w:line="240" w:lineRule="auto"/>
        <w:rPr>
          <w:szCs w:val="24"/>
          <w:lang w:val="fr-FR"/>
        </w:rPr>
      </w:pPr>
      <w:r w:rsidRPr="004663B8">
        <w:rPr>
          <w:szCs w:val="24"/>
          <w:lang w:val="fr-FR"/>
        </w:rPr>
        <w:t>Votre Administration est priée de bien vouloir porter les informations figurant dans la présente Lettre circulaire à l</w:t>
      </w:r>
      <w:r w:rsidRPr="0035130F">
        <w:rPr>
          <w:szCs w:val="24"/>
          <w:lang w:val="fr-FR"/>
        </w:rPr>
        <w:t>'</w:t>
      </w:r>
      <w:r w:rsidRPr="004663B8">
        <w:rPr>
          <w:szCs w:val="24"/>
          <w:lang w:val="fr-FR"/>
        </w:rPr>
        <w:t>attention des autorités maritimes de votre pays.</w:t>
      </w:r>
    </w:p>
    <w:p w14:paraId="247FB96B" w14:textId="705D718B" w:rsidR="009F0408" w:rsidRDefault="004663B8" w:rsidP="0060582E">
      <w:pPr>
        <w:spacing w:line="240" w:lineRule="auto"/>
        <w:rPr>
          <w:szCs w:val="24"/>
          <w:lang w:val="fr-FR"/>
        </w:rPr>
      </w:pPr>
      <w:r w:rsidRPr="004663B8">
        <w:rPr>
          <w:szCs w:val="24"/>
          <w:lang w:val="fr-FR"/>
        </w:rPr>
        <w:t>Le Bureau des radiocommunications reste à la disposition de votre Administration, ainsi que des utilisateurs des publications de l</w:t>
      </w:r>
      <w:r w:rsidRPr="0035130F">
        <w:rPr>
          <w:szCs w:val="24"/>
          <w:lang w:val="fr-FR"/>
        </w:rPr>
        <w:t>'</w:t>
      </w:r>
      <w:r w:rsidRPr="004663B8">
        <w:rPr>
          <w:szCs w:val="24"/>
          <w:lang w:val="fr-FR"/>
        </w:rPr>
        <w:t>UIT relatives au service maritime et des abonnés à ces publications, pour tout complément d</w:t>
      </w:r>
      <w:r w:rsidRPr="0035130F">
        <w:rPr>
          <w:szCs w:val="24"/>
          <w:lang w:val="fr-FR"/>
        </w:rPr>
        <w:t>'</w:t>
      </w:r>
      <w:r w:rsidRPr="004663B8">
        <w:rPr>
          <w:szCs w:val="24"/>
          <w:lang w:val="fr-FR"/>
        </w:rPr>
        <w:t xml:space="preserve">information ou toute précision qui pourrait s'avérer nécessaire concernant les sujets traités dans la présente Lettre circulaire, à l'adresse </w:t>
      </w:r>
      <w:r w:rsidR="00FE39E7">
        <w:fldChar w:fldCharType="begin"/>
      </w:r>
      <w:r w:rsidR="00FE39E7" w:rsidRPr="00ED7A4C">
        <w:rPr>
          <w:lang w:val="fr-FR"/>
        </w:rPr>
        <w:instrText>HYPERLINK "mailto:brmail@itu.int"</w:instrText>
      </w:r>
      <w:r w:rsidR="00FE39E7">
        <w:fldChar w:fldCharType="separate"/>
      </w:r>
      <w:r w:rsidR="00FE39E7" w:rsidRPr="0035130F">
        <w:rPr>
          <w:rStyle w:val="Hyperlink"/>
          <w:szCs w:val="24"/>
          <w:lang w:val="fr-FR"/>
        </w:rPr>
        <w:t>brmail@itu.int</w:t>
      </w:r>
      <w:r w:rsidR="00FE39E7">
        <w:rPr>
          <w:rStyle w:val="Hyperlink"/>
          <w:szCs w:val="24"/>
          <w:lang w:val="fr-FR"/>
        </w:rPr>
        <w:fldChar w:fldCharType="end"/>
      </w:r>
      <w:r w:rsidRPr="004663B8">
        <w:rPr>
          <w:szCs w:val="24"/>
          <w:lang w:val="fr-FR"/>
        </w:rPr>
        <w:t>.</w:t>
      </w:r>
    </w:p>
    <w:p w14:paraId="001156D6" w14:textId="564808A0" w:rsidR="00E53DCE" w:rsidRPr="0035130F" w:rsidRDefault="004663B8" w:rsidP="0060582E">
      <w:pPr>
        <w:spacing w:before="1200"/>
        <w:jc w:val="left"/>
        <w:rPr>
          <w:szCs w:val="24"/>
          <w:lang w:val="fr-FR"/>
        </w:rPr>
      </w:pPr>
      <w:r w:rsidRPr="004663B8">
        <w:rPr>
          <w:szCs w:val="24"/>
          <w:lang w:val="fr-FR"/>
        </w:rPr>
        <w:t>Mario Maniewicz</w:t>
      </w:r>
      <w:r w:rsidRPr="0035130F">
        <w:rPr>
          <w:szCs w:val="24"/>
          <w:lang w:val="fr-FR"/>
        </w:rPr>
        <w:br/>
        <w:t>Directeur</w:t>
      </w:r>
    </w:p>
    <w:p w14:paraId="1B442B89" w14:textId="77777777" w:rsidR="004663B8" w:rsidRPr="0035130F" w:rsidRDefault="004663B8" w:rsidP="00ED7A4C">
      <w:pPr>
        <w:spacing w:before="1800" w:after="80" w:line="240" w:lineRule="auto"/>
        <w:jc w:val="left"/>
        <w:rPr>
          <w:rFonts w:asciiTheme="minorHAnsi" w:hAnsiTheme="minorHAnsi" w:cstheme="minorHAnsi"/>
          <w:b/>
          <w:bCs/>
          <w:sz w:val="12"/>
          <w:szCs w:val="12"/>
          <w:lang w:val="fr-FR"/>
        </w:rPr>
      </w:pPr>
      <w:proofErr w:type="gramStart"/>
      <w:r w:rsidRPr="0035130F">
        <w:rPr>
          <w:b/>
          <w:bCs/>
          <w:sz w:val="18"/>
          <w:szCs w:val="16"/>
          <w:lang w:val="fr-FR"/>
        </w:rPr>
        <w:t>Distribution:</w:t>
      </w:r>
      <w:proofErr w:type="gramEnd"/>
    </w:p>
    <w:p w14:paraId="49443E2C" w14:textId="77777777" w:rsidR="00FE39E7" w:rsidRPr="0035130F" w:rsidRDefault="004663B8" w:rsidP="00FE39E7">
      <w:pPr>
        <w:pStyle w:val="enumlev1"/>
        <w:spacing w:before="0"/>
        <w:rPr>
          <w:sz w:val="18"/>
          <w:szCs w:val="18"/>
          <w:lang w:val="fr-FR"/>
        </w:rPr>
      </w:pPr>
      <w:r w:rsidRPr="0035130F">
        <w:rPr>
          <w:sz w:val="18"/>
          <w:szCs w:val="18"/>
          <w:lang w:val="fr-FR"/>
        </w:rPr>
        <w:t>–</w:t>
      </w:r>
      <w:r w:rsidRPr="0035130F">
        <w:rPr>
          <w:sz w:val="18"/>
          <w:szCs w:val="18"/>
          <w:lang w:val="fr-FR"/>
        </w:rPr>
        <w:tab/>
        <w:t>Aux Administrations des États Membres de l'UIT</w:t>
      </w:r>
      <w:r w:rsidRPr="0035130F">
        <w:rPr>
          <w:sz w:val="18"/>
          <w:szCs w:val="18"/>
          <w:lang w:val="fr-FR"/>
        </w:rPr>
        <w:tab/>
      </w:r>
    </w:p>
    <w:p w14:paraId="30BDB853" w14:textId="5A11FA85" w:rsidR="00EE1A57" w:rsidRPr="0035130F" w:rsidRDefault="004663B8" w:rsidP="00FE39E7">
      <w:pPr>
        <w:pStyle w:val="enumlev1"/>
        <w:spacing w:before="0"/>
        <w:rPr>
          <w:rFonts w:asciiTheme="minorHAnsi" w:hAnsiTheme="minorHAnsi" w:cstheme="minorHAnsi"/>
          <w:sz w:val="18"/>
          <w:szCs w:val="18"/>
          <w:lang w:val="fr-FR"/>
        </w:rPr>
      </w:pPr>
      <w:r w:rsidRPr="0035130F">
        <w:rPr>
          <w:sz w:val="18"/>
          <w:szCs w:val="18"/>
          <w:lang w:val="fr-FR"/>
        </w:rPr>
        <w:t>–</w:t>
      </w:r>
      <w:r w:rsidRPr="0035130F">
        <w:rPr>
          <w:sz w:val="18"/>
          <w:szCs w:val="18"/>
          <w:lang w:val="fr-FR"/>
        </w:rPr>
        <w:tab/>
        <w:t>Aux Membres du Comité du Règlement des radiocommunications</w:t>
      </w:r>
    </w:p>
    <w:sectPr w:rsidR="00EE1A57" w:rsidRPr="0035130F" w:rsidSect="003F2F34">
      <w:headerReference w:type="even" r:id="rId9"/>
      <w:headerReference w:type="default" r:id="rId10"/>
      <w:foot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DDDAF" w14:textId="33ECFF35" w:rsidR="003F2F34" w:rsidRPr="003F2F34" w:rsidRDefault="003F2F34" w:rsidP="003F2F34">
    <w:pPr>
      <w:pStyle w:val="Footer"/>
      <w:tabs>
        <w:tab w:val="left" w:pos="7655"/>
        <w:tab w:val="right" w:pos="949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46018" w14:textId="0F68A021" w:rsidR="00305156" w:rsidRPr="004C1B88" w:rsidRDefault="00305156" w:rsidP="00305156">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r>
    <w:proofErr w:type="gramStart"/>
    <w:r w:rsidRPr="004C1B88">
      <w:rPr>
        <w:rFonts w:asciiTheme="minorHAnsi" w:hAnsiTheme="minorHAnsi"/>
        <w:color w:val="4F81BD"/>
        <w:sz w:val="19"/>
        <w:szCs w:val="19"/>
        <w:lang w:val="fr-CH"/>
      </w:rPr>
      <w:t>Tél.:</w:t>
    </w:r>
    <w:proofErr w:type="gramEnd"/>
    <w:r w:rsidRPr="004C1B88">
      <w:rPr>
        <w:rFonts w:asciiTheme="minorHAnsi" w:hAnsiTheme="minorHAnsi"/>
        <w:color w:val="4F81BD"/>
        <w:sz w:val="19"/>
        <w:szCs w:val="19"/>
        <w:lang w:val="fr-CH"/>
      </w:rPr>
      <w:t xml:space="preserve"> +41 22 730 5111 • Courriel: </w:t>
    </w:r>
    <w:hyperlink r:id="rId1" w:history="1">
      <w:r w:rsidR="004C1B88" w:rsidRPr="00C0311F">
        <w:rPr>
          <w:rStyle w:val="Hyperlink"/>
          <w:rFonts w:asciiTheme="minorHAnsi" w:hAnsiTheme="minorHAnsi"/>
          <w:sz w:val="19"/>
          <w:szCs w:val="19"/>
          <w:lang w:val="fr-CH"/>
        </w:rPr>
        <w:t>brmail@itu.int</w:t>
      </w:r>
    </w:hyperlink>
    <w:r w:rsidRPr="004C1B88">
      <w:rPr>
        <w:rFonts w:asciiTheme="minorHAnsi" w:hAnsiTheme="minorHAnsi"/>
        <w:sz w:val="19"/>
        <w:szCs w:val="19"/>
        <w:lang w:val="fr-CH"/>
      </w:rPr>
      <w:t xml:space="preserve"> </w:t>
    </w:r>
    <w:r w:rsidRPr="004C1B88">
      <w:rPr>
        <w:rFonts w:asciiTheme="minorHAnsi" w:hAnsiTheme="minorHAnsi"/>
        <w:color w:val="4F81BD"/>
        <w:sz w:val="19"/>
        <w:szCs w:val="19"/>
        <w:lang w:val="fr-CH"/>
      </w:rPr>
      <w:t xml:space="preserve">• Fax: +41 22 733 7256 • </w:t>
    </w:r>
    <w:r>
      <w:fldChar w:fldCharType="begin"/>
    </w:r>
    <w:r w:rsidRPr="00ED7A4C">
      <w:rPr>
        <w:lang w:val="fr-FR"/>
      </w:rPr>
      <w:instrText>HYPERLINK "http://www.itu.int"</w:instrText>
    </w:r>
    <w:r>
      <w:fldChar w:fldCharType="separate"/>
    </w:r>
    <w:r w:rsidRPr="004C1B88">
      <w:rPr>
        <w:rStyle w:val="Hyperlink"/>
        <w:sz w:val="19"/>
        <w:szCs w:val="19"/>
        <w:lang w:val="fr-CH"/>
      </w:rPr>
      <w:t>www.itu.int</w:t>
    </w:r>
    <w:r>
      <w:rPr>
        <w:rStyle w:val="Hyperlink"/>
        <w:sz w:val="19"/>
        <w:szCs w:val="19"/>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481783A9" w14:textId="77777777" w:rsidTr="00304636">
      <w:tc>
        <w:tcPr>
          <w:tcW w:w="10042" w:type="dxa"/>
          <w:tcMar>
            <w:left w:w="0" w:type="dxa"/>
          </w:tcMar>
        </w:tcPr>
        <w:p w14:paraId="2C832B73"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3371477D" wp14:editId="1BD04A8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3F26A1BC" w14:textId="77777777" w:rsidR="004F47EA" w:rsidRDefault="004F47EA" w:rsidP="00304636">
          <w:pPr>
            <w:pStyle w:val="Header"/>
            <w:spacing w:before="240" w:line="360" w:lineRule="auto"/>
            <w:ind w:left="4065" w:hanging="4065"/>
            <w:jc w:val="right"/>
          </w:pPr>
        </w:p>
      </w:tc>
    </w:tr>
  </w:tbl>
  <w:p w14:paraId="4922C67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9E84055"/>
    <w:multiLevelType w:val="hybridMultilevel"/>
    <w:tmpl w:val="D67CEAFC"/>
    <w:lvl w:ilvl="0" w:tplc="CBCCCCA8">
      <w:start w:val="1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 w:numId="3" w16cid:durableId="1507817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A7117"/>
    <w:rsid w:val="002B0CAC"/>
    <w:rsid w:val="002D5A15"/>
    <w:rsid w:val="002D5BDD"/>
    <w:rsid w:val="002E3D27"/>
    <w:rsid w:val="002F0890"/>
    <w:rsid w:val="002F2531"/>
    <w:rsid w:val="002F4967"/>
    <w:rsid w:val="002F5AA5"/>
    <w:rsid w:val="00304636"/>
    <w:rsid w:val="00305156"/>
    <w:rsid w:val="00316935"/>
    <w:rsid w:val="003266ED"/>
    <w:rsid w:val="00326C68"/>
    <w:rsid w:val="003370B8"/>
    <w:rsid w:val="00345D38"/>
    <w:rsid w:val="003471C9"/>
    <w:rsid w:val="0035130F"/>
    <w:rsid w:val="00352097"/>
    <w:rsid w:val="003666FF"/>
    <w:rsid w:val="00366E5A"/>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26F4"/>
    <w:rsid w:val="00406D71"/>
    <w:rsid w:val="00411CB3"/>
    <w:rsid w:val="004228FA"/>
    <w:rsid w:val="004326DB"/>
    <w:rsid w:val="0043682E"/>
    <w:rsid w:val="00447ECB"/>
    <w:rsid w:val="004623F7"/>
    <w:rsid w:val="004663B8"/>
    <w:rsid w:val="00480F51"/>
    <w:rsid w:val="00481124"/>
    <w:rsid w:val="004815EB"/>
    <w:rsid w:val="00487569"/>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0582E"/>
    <w:rsid w:val="00640C3C"/>
    <w:rsid w:val="00642050"/>
    <w:rsid w:val="0064371D"/>
    <w:rsid w:val="00650543"/>
    <w:rsid w:val="00650B2A"/>
    <w:rsid w:val="00651777"/>
    <w:rsid w:val="006550F8"/>
    <w:rsid w:val="006829F3"/>
    <w:rsid w:val="006A518B"/>
    <w:rsid w:val="006B0590"/>
    <w:rsid w:val="006B49DA"/>
    <w:rsid w:val="006C53F8"/>
    <w:rsid w:val="006C7CDE"/>
    <w:rsid w:val="007234B1"/>
    <w:rsid w:val="00723B31"/>
    <w:rsid w:val="00723D08"/>
    <w:rsid w:val="00725FDA"/>
    <w:rsid w:val="00727816"/>
    <w:rsid w:val="00730B9A"/>
    <w:rsid w:val="00750CFA"/>
    <w:rsid w:val="007553DA"/>
    <w:rsid w:val="00773F7E"/>
    <w:rsid w:val="00775DB8"/>
    <w:rsid w:val="00782354"/>
    <w:rsid w:val="007921A7"/>
    <w:rsid w:val="007B3DB1"/>
    <w:rsid w:val="007B6F26"/>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902B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0408"/>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63D9"/>
    <w:rsid w:val="00B81C2F"/>
    <w:rsid w:val="00B90743"/>
    <w:rsid w:val="00B90C45"/>
    <w:rsid w:val="00B933BE"/>
    <w:rsid w:val="00BD6738"/>
    <w:rsid w:val="00BD7E5E"/>
    <w:rsid w:val="00BE63DB"/>
    <w:rsid w:val="00BE6574"/>
    <w:rsid w:val="00C07319"/>
    <w:rsid w:val="00C167DD"/>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377E4"/>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D7A4C"/>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39E7"/>
    <w:rsid w:val="00FE51EA"/>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styleId="FollowedHyperlink">
    <w:name w:val="FollowedHyperlink"/>
    <w:basedOn w:val="DefaultParagraphFont"/>
    <w:semiHidden/>
    <w:unhideWhenUsed/>
    <w:rsid w:val="00FE3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sales/digital-publications/forma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482</Words>
  <Characters>3062</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3537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9</cp:revision>
  <cp:lastPrinted>2013-03-08T10:15:00Z</cp:lastPrinted>
  <dcterms:created xsi:type="dcterms:W3CDTF">2025-01-03T09:58:00Z</dcterms:created>
  <dcterms:modified xsi:type="dcterms:W3CDTF">2025-01-08T10:07:00Z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