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A5450B8" w14:textId="77777777" w:rsidTr="00153E23">
        <w:tc>
          <w:tcPr>
            <w:tcW w:w="5000" w:type="pct"/>
            <w:gridSpan w:val="3"/>
            <w:shd w:val="clear" w:color="auto" w:fill="auto"/>
          </w:tcPr>
          <w:p w14:paraId="1F4259EE"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4F80C6B8" w14:textId="77777777" w:rsidR="000F7BBE" w:rsidRPr="000F7BBE" w:rsidRDefault="000F7BBE" w:rsidP="000F7BBE">
            <w:pPr>
              <w:rPr>
                <w:b/>
                <w:bCs/>
                <w:rtl/>
                <w:lang w:bidi="ar-EG"/>
              </w:rPr>
            </w:pPr>
          </w:p>
        </w:tc>
      </w:tr>
      <w:tr w:rsidR="000F7BBE" w:rsidRPr="000F7BBE" w14:paraId="337EDC7E" w14:textId="77777777" w:rsidTr="00153E23">
        <w:tc>
          <w:tcPr>
            <w:tcW w:w="2707" w:type="pct"/>
            <w:gridSpan w:val="2"/>
            <w:shd w:val="clear" w:color="auto" w:fill="auto"/>
          </w:tcPr>
          <w:p w14:paraId="2FA96E73" w14:textId="3A95829B" w:rsidR="000F7BBE" w:rsidRPr="009577F4" w:rsidRDefault="000F7BBE" w:rsidP="004111FB">
            <w:pPr>
              <w:spacing w:before="80" w:line="300" w:lineRule="exact"/>
              <w:rPr>
                <w:position w:val="2"/>
                <w:lang w:bidi="ar-EG"/>
              </w:rPr>
            </w:pPr>
            <w:r w:rsidRPr="009577F4">
              <w:rPr>
                <w:rFonts w:hint="cs"/>
                <w:position w:val="2"/>
                <w:rtl/>
                <w:lang w:bidi="ar-AE"/>
              </w:rPr>
              <w:t>الرسالة المعممة</w:t>
            </w:r>
          </w:p>
          <w:p w14:paraId="11FEEFD2" w14:textId="2F664143" w:rsidR="000F7BBE" w:rsidRPr="00A837DA" w:rsidRDefault="00FC09E8" w:rsidP="004111FB">
            <w:pPr>
              <w:spacing w:before="0" w:after="60" w:line="300" w:lineRule="exact"/>
              <w:rPr>
                <w:position w:val="2"/>
                <w:rtl/>
                <w:lang w:bidi="ar-SY"/>
              </w:rPr>
            </w:pPr>
            <w:r w:rsidRPr="009577F4">
              <w:rPr>
                <w:b/>
                <w:bCs/>
                <w:position w:val="2"/>
                <w:lang w:val="en-GB" w:bidi="ar-EG"/>
              </w:rPr>
              <w:t>CCRR/</w:t>
            </w:r>
            <w:r w:rsidR="009577F4" w:rsidRPr="009577F4">
              <w:rPr>
                <w:b/>
                <w:bCs/>
                <w:position w:val="2"/>
                <w:lang w:val="en-GB" w:bidi="ar-EG"/>
              </w:rPr>
              <w:t>77</w:t>
            </w:r>
          </w:p>
        </w:tc>
        <w:tc>
          <w:tcPr>
            <w:tcW w:w="2293" w:type="pct"/>
            <w:shd w:val="clear" w:color="auto" w:fill="auto"/>
          </w:tcPr>
          <w:p w14:paraId="7C430E0C" w14:textId="4633BD7F" w:rsidR="000F7BBE" w:rsidRPr="000F7BBE" w:rsidRDefault="002E3A5F" w:rsidP="00F16820">
            <w:pPr>
              <w:spacing w:before="80" w:after="60" w:line="300" w:lineRule="exact"/>
              <w:jc w:val="right"/>
              <w:rPr>
                <w:position w:val="2"/>
                <w:rtl/>
              </w:rPr>
            </w:pPr>
            <w:r>
              <w:rPr>
                <w:position w:val="2"/>
                <w:rtl/>
                <w:lang w:val="fr-FR" w:bidi="ar-EG"/>
              </w:rPr>
              <w:t>9</w:t>
            </w:r>
            <w:r w:rsidR="009577F4">
              <w:rPr>
                <w:rFonts w:hint="cs"/>
                <w:position w:val="2"/>
                <w:rtl/>
                <w:lang w:val="fr-FR" w:bidi="ar-EG"/>
              </w:rPr>
              <w:t xml:space="preserve"> أغسطس</w:t>
            </w:r>
            <w:r w:rsidR="000F7BBE" w:rsidRPr="000F7BBE">
              <w:rPr>
                <w:rFonts w:hint="cs"/>
                <w:position w:val="2"/>
                <w:rtl/>
                <w:lang w:bidi="ar-SY"/>
              </w:rPr>
              <w:t xml:space="preserve"> </w:t>
            </w:r>
            <w:r w:rsidR="004C39C6">
              <w:rPr>
                <w:position w:val="2"/>
                <w:lang w:bidi="ar-EG"/>
              </w:rPr>
              <w:t>202</w:t>
            </w:r>
            <w:r w:rsidR="00B74B14">
              <w:rPr>
                <w:position w:val="2"/>
                <w:lang w:bidi="ar-EG"/>
              </w:rPr>
              <w:t>4</w:t>
            </w:r>
          </w:p>
        </w:tc>
      </w:tr>
      <w:tr w:rsidR="000F7BBE" w:rsidRPr="000F7BBE" w14:paraId="66E6FE88" w14:textId="77777777" w:rsidTr="00153E23">
        <w:tc>
          <w:tcPr>
            <w:tcW w:w="5000" w:type="pct"/>
            <w:gridSpan w:val="3"/>
            <w:shd w:val="clear" w:color="auto" w:fill="auto"/>
          </w:tcPr>
          <w:p w14:paraId="24DDAA9D" w14:textId="77777777" w:rsidR="000F7BBE" w:rsidRPr="000F7BBE" w:rsidRDefault="000F7BBE" w:rsidP="004111FB">
            <w:pPr>
              <w:spacing w:before="0" w:line="260" w:lineRule="exact"/>
              <w:rPr>
                <w:position w:val="2"/>
                <w:rtl/>
                <w:lang w:bidi="ar-SY"/>
              </w:rPr>
            </w:pPr>
          </w:p>
        </w:tc>
      </w:tr>
      <w:tr w:rsidR="000F7BBE" w:rsidRPr="000F7BBE" w14:paraId="3FC7B1C7" w14:textId="77777777" w:rsidTr="00153E23">
        <w:tc>
          <w:tcPr>
            <w:tcW w:w="5000" w:type="pct"/>
            <w:gridSpan w:val="3"/>
            <w:shd w:val="clear" w:color="auto" w:fill="auto"/>
          </w:tcPr>
          <w:p w14:paraId="46BF9BC5" w14:textId="77777777" w:rsidR="000F7BBE" w:rsidRPr="000F7BBE" w:rsidRDefault="000F7BBE" w:rsidP="004111FB">
            <w:pPr>
              <w:spacing w:before="0" w:line="260" w:lineRule="exact"/>
              <w:rPr>
                <w:position w:val="2"/>
                <w:rtl/>
                <w:lang w:bidi="ar-SY"/>
              </w:rPr>
            </w:pPr>
          </w:p>
        </w:tc>
      </w:tr>
      <w:tr w:rsidR="000F7BBE" w:rsidRPr="000F7BBE" w14:paraId="5F57E19C" w14:textId="77777777" w:rsidTr="00153E23">
        <w:tc>
          <w:tcPr>
            <w:tcW w:w="5000" w:type="pct"/>
            <w:gridSpan w:val="3"/>
            <w:shd w:val="clear" w:color="auto" w:fill="auto"/>
          </w:tcPr>
          <w:p w14:paraId="6AFBF7A2" w14:textId="51E0C2F3"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r w:rsidRPr="000F7BBE">
              <w:rPr>
                <w:b/>
                <w:bCs/>
                <w:position w:val="2"/>
                <w:rtl/>
              </w:rPr>
              <w:t xml:space="preserve"> </w:t>
            </w:r>
          </w:p>
        </w:tc>
      </w:tr>
      <w:tr w:rsidR="000F7BBE" w:rsidRPr="000F7BBE" w14:paraId="74D124F3" w14:textId="77777777" w:rsidTr="00153E23">
        <w:tc>
          <w:tcPr>
            <w:tcW w:w="5000" w:type="pct"/>
            <w:gridSpan w:val="3"/>
            <w:shd w:val="clear" w:color="auto" w:fill="auto"/>
          </w:tcPr>
          <w:p w14:paraId="4976FCE8" w14:textId="77777777" w:rsidR="000F7BBE" w:rsidRPr="000F7BBE" w:rsidRDefault="000F7BBE" w:rsidP="004111FB">
            <w:pPr>
              <w:spacing w:before="0" w:line="260" w:lineRule="exact"/>
              <w:rPr>
                <w:position w:val="2"/>
                <w:rtl/>
                <w:lang w:bidi="ar-SY"/>
              </w:rPr>
            </w:pPr>
          </w:p>
        </w:tc>
      </w:tr>
      <w:tr w:rsidR="000F7BBE" w:rsidRPr="000F7BBE" w14:paraId="494DF7D5" w14:textId="77777777" w:rsidTr="00153E23">
        <w:tc>
          <w:tcPr>
            <w:tcW w:w="5000" w:type="pct"/>
            <w:gridSpan w:val="3"/>
            <w:shd w:val="clear" w:color="auto" w:fill="auto"/>
          </w:tcPr>
          <w:p w14:paraId="168361DC" w14:textId="77777777" w:rsidR="000F7BBE" w:rsidRPr="000F7BBE" w:rsidRDefault="000F7BBE" w:rsidP="004111FB">
            <w:pPr>
              <w:spacing w:before="0" w:line="260" w:lineRule="exact"/>
              <w:rPr>
                <w:position w:val="2"/>
                <w:rtl/>
                <w:lang w:bidi="ar-SY"/>
              </w:rPr>
            </w:pPr>
          </w:p>
        </w:tc>
      </w:tr>
      <w:tr w:rsidR="000F7BBE" w:rsidRPr="002E3A5F" w14:paraId="1DBCFF5D" w14:textId="77777777" w:rsidTr="00153E23">
        <w:trPr>
          <w:trHeight w:val="452"/>
        </w:trPr>
        <w:tc>
          <w:tcPr>
            <w:tcW w:w="699" w:type="pct"/>
            <w:shd w:val="clear" w:color="auto" w:fill="auto"/>
          </w:tcPr>
          <w:p w14:paraId="4F298816"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7568871" w14:textId="09DA2554" w:rsidR="000F7BBE" w:rsidRPr="00A90827" w:rsidRDefault="009577F4" w:rsidP="009577F4">
            <w:pPr>
              <w:tabs>
                <w:tab w:val="clear" w:pos="794"/>
                <w:tab w:val="left" w:pos="385"/>
              </w:tabs>
              <w:spacing w:before="80" w:after="60" w:line="300" w:lineRule="exact"/>
              <w:ind w:left="385" w:hanging="385"/>
              <w:rPr>
                <w:b/>
                <w:bCs/>
                <w:position w:val="2"/>
                <w:lang w:val="fr-FR" w:bidi="ar-EG"/>
              </w:rPr>
            </w:pPr>
            <w:bookmarkStart w:id="0" w:name="lt_pId024"/>
            <w:r w:rsidRPr="009577F4">
              <w:rPr>
                <w:b/>
                <w:bCs/>
                <w:position w:val="2"/>
                <w:rtl/>
              </w:rPr>
              <w:t>مشروع قواعد إجرائية تعبِّر عن قرارات المؤتمر WRC-23</w:t>
            </w:r>
            <w:bookmarkEnd w:id="0"/>
          </w:p>
        </w:tc>
      </w:tr>
      <w:tr w:rsidR="00FC09E8" w:rsidRPr="002E3A5F" w14:paraId="30F23A07" w14:textId="77777777" w:rsidTr="00153E23">
        <w:trPr>
          <w:trHeight w:val="452"/>
        </w:trPr>
        <w:tc>
          <w:tcPr>
            <w:tcW w:w="699" w:type="pct"/>
            <w:shd w:val="clear" w:color="auto" w:fill="auto"/>
          </w:tcPr>
          <w:p w14:paraId="769D61FB"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0EC4DA2A"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6115D114" w14:textId="025294A5" w:rsidR="009577F4" w:rsidRPr="00CD7972" w:rsidRDefault="009577F4" w:rsidP="001A351B">
      <w:pPr>
        <w:spacing w:before="240"/>
        <w:rPr>
          <w:lang w:val="ar-SA" w:eastAsia="zh-TW" w:bidi="en-GB"/>
        </w:rPr>
      </w:pPr>
      <w:bookmarkStart w:id="1" w:name="lt_pId025"/>
      <w:r w:rsidRPr="00CD7972">
        <w:rPr>
          <w:rtl/>
        </w:rPr>
        <w:t xml:space="preserve">نظرت لجنة لوائح الراديو </w:t>
      </w:r>
      <w:r w:rsidRPr="00A90827">
        <w:rPr>
          <w:lang w:val="fr-FR"/>
        </w:rPr>
        <w:t>(RRB)</w:t>
      </w:r>
      <w:r w:rsidRPr="00CD7972">
        <w:rPr>
          <w:rtl/>
        </w:rPr>
        <w:t xml:space="preserve">، في اجتماعها السادس والتسعين، في آثار قرارات المؤتمر WRC-23 والممارسات العامة لمكتب الاتصالات الراديوية على القواعد الإجرائية الحالية. ونتيجة لذلك، وافقت اللجنة على جدول زمني للموافقة على مشاريع القواعد الإجرائية الجديدة والمعدلة الوارد في الوثيقة </w:t>
      </w:r>
      <w:hyperlink r:id="rId8" w:history="1">
        <w:r w:rsidR="00CD7972" w:rsidRPr="00A90827">
          <w:rPr>
            <w:rStyle w:val="Hyperlink"/>
            <w:lang w:val="fr-FR"/>
          </w:rPr>
          <w:t>RRB24-1/1(Rev.2)</w:t>
        </w:r>
      </w:hyperlink>
      <w:r w:rsidRPr="00CD7972">
        <w:rPr>
          <w:rtl/>
        </w:rPr>
        <w:t>. وبناء على ذلك، أعد المكتب مجموعة من مشاريع القواعد الإجرائية الجديدة أو المعدَّلة الملحقة بهذه الرسالة المعممة:</w:t>
      </w:r>
      <w:bookmarkStart w:id="2" w:name="lt_pId026"/>
      <w:bookmarkStart w:id="3" w:name="lt_pId027"/>
      <w:bookmarkEnd w:id="1"/>
      <w:bookmarkEnd w:id="2"/>
      <w:bookmarkEnd w:id="3"/>
    </w:p>
    <w:p w14:paraId="1D02C9A1" w14:textId="49E3DDC8" w:rsidR="009577F4" w:rsidRPr="00CD7972" w:rsidRDefault="009577F4" w:rsidP="00A90827">
      <w:pPr>
        <w:pStyle w:val="enumlev1"/>
        <w:spacing w:before="120"/>
        <w:rPr>
          <w:b/>
          <w:lang w:val="ar-SA" w:eastAsia="zh-TW" w:bidi="en-GB"/>
        </w:rPr>
      </w:pPr>
      <w:bookmarkStart w:id="4" w:name="_Hlk172809171"/>
      <w:r w:rsidRPr="00CD7972">
        <w:t>–</w:t>
      </w:r>
      <w:r w:rsidRPr="00CD7972">
        <w:rPr>
          <w:rtl/>
        </w:rPr>
        <w:tab/>
      </w:r>
      <w:r w:rsidRPr="00CD7972">
        <w:rPr>
          <w:b/>
          <w:bCs/>
          <w:rtl/>
        </w:rPr>
        <w:t>الملحق 1</w:t>
      </w:r>
      <w:r w:rsidRPr="00CD7972">
        <w:rPr>
          <w:b/>
          <w:bCs/>
        </w:rPr>
        <w:t>:</w:t>
      </w:r>
      <w:r w:rsidRPr="00CD7972">
        <w:rPr>
          <w:rtl/>
        </w:rPr>
        <w:t xml:space="preserve"> إضافة قواعد إجرائية جديدة بشأن الرقم </w:t>
      </w:r>
      <w:r w:rsidR="00CD7972" w:rsidRPr="00CD7972">
        <w:rPr>
          <w:rFonts w:hint="cs"/>
          <w:b/>
          <w:bCs/>
          <w:rtl/>
        </w:rPr>
        <w:t>6.13</w:t>
      </w:r>
      <w:r w:rsidR="00CD7972" w:rsidRPr="00CD7972">
        <w:rPr>
          <w:rFonts w:hint="cs"/>
          <w:rtl/>
        </w:rPr>
        <w:t xml:space="preserve"> </w:t>
      </w:r>
      <w:r w:rsidRPr="00CD7972">
        <w:rPr>
          <w:rtl/>
        </w:rPr>
        <w:t xml:space="preserve">المتعلق بالتفاوتات المدارية للأنظمة الساتلية غير الخاضعة للقرار </w:t>
      </w:r>
      <w:r w:rsidR="00CD7972" w:rsidRPr="00CD7972">
        <w:rPr>
          <w:b/>
          <w:bCs/>
          <w:lang w:val="en-GB"/>
        </w:rPr>
        <w:t>8 (WRC-23)</w:t>
      </w:r>
      <w:r w:rsidRPr="00CD7972">
        <w:rPr>
          <w:rtl/>
        </w:rPr>
        <w:t>؛</w:t>
      </w:r>
      <w:bookmarkStart w:id="5" w:name="lt_pId029"/>
      <w:bookmarkStart w:id="6" w:name="lt_pId030"/>
      <w:bookmarkEnd w:id="5"/>
      <w:bookmarkEnd w:id="6"/>
    </w:p>
    <w:p w14:paraId="0EFDE568" w14:textId="3710776D" w:rsidR="009577F4" w:rsidRPr="00CD7972" w:rsidRDefault="009577F4" w:rsidP="009577F4">
      <w:pPr>
        <w:pStyle w:val="enumlev1"/>
        <w:rPr>
          <w:b/>
          <w:lang w:val="ar-SA" w:eastAsia="zh-TW" w:bidi="en-GB"/>
        </w:rPr>
      </w:pPr>
      <w:r w:rsidRPr="00CD7972">
        <w:t>–</w:t>
      </w:r>
      <w:r w:rsidRPr="00CD7972">
        <w:rPr>
          <w:rtl/>
        </w:rPr>
        <w:tab/>
      </w:r>
      <w:r w:rsidRPr="00CD7972">
        <w:rPr>
          <w:b/>
          <w:bCs/>
          <w:rtl/>
        </w:rPr>
        <w:t>الملحق 2</w:t>
      </w:r>
      <w:r w:rsidRPr="00CD7972">
        <w:rPr>
          <w:b/>
          <w:bCs/>
        </w:rPr>
        <w:t>:</w:t>
      </w:r>
      <w:r w:rsidRPr="00CD7972">
        <w:rPr>
          <w:rtl/>
        </w:rPr>
        <w:t xml:space="preserve"> إضافة قواعد إجرائية جديدة بشأن القرار </w:t>
      </w:r>
      <w:r w:rsidR="00CD7972" w:rsidRPr="00CD7972">
        <w:rPr>
          <w:b/>
          <w:bCs/>
          <w:lang w:val="en-GB"/>
        </w:rPr>
        <w:t>35 (WRC</w:t>
      </w:r>
      <w:r w:rsidR="00CD7972" w:rsidRPr="00CD7972">
        <w:rPr>
          <w:b/>
          <w:bCs/>
          <w:lang w:val="en-GB"/>
        </w:rPr>
        <w:noBreakHyphen/>
        <w:t>19)</w:t>
      </w:r>
      <w:r w:rsidRPr="00CD7972">
        <w:rPr>
          <w:rtl/>
        </w:rPr>
        <w:t>؛</w:t>
      </w:r>
      <w:bookmarkStart w:id="7" w:name="lt_pId032"/>
      <w:bookmarkStart w:id="8" w:name="lt_pId033"/>
      <w:bookmarkStart w:id="9" w:name="_Hlk173162783"/>
      <w:bookmarkEnd w:id="4"/>
      <w:bookmarkEnd w:id="7"/>
      <w:bookmarkEnd w:id="8"/>
      <w:bookmarkEnd w:id="9"/>
    </w:p>
    <w:p w14:paraId="3D5677EF" w14:textId="24D1CAAC" w:rsidR="009577F4" w:rsidRPr="00CD7972" w:rsidRDefault="009577F4" w:rsidP="009577F4">
      <w:pPr>
        <w:pStyle w:val="enumlev1"/>
        <w:rPr>
          <w:lang w:val="ar-SA" w:eastAsia="zh-TW" w:bidi="en-GB"/>
        </w:rPr>
      </w:pPr>
      <w:r w:rsidRPr="00CD7972">
        <w:t>–</w:t>
      </w:r>
      <w:r w:rsidRPr="00CD7972">
        <w:rPr>
          <w:rtl/>
        </w:rPr>
        <w:tab/>
      </w:r>
      <w:r w:rsidRPr="00CD7972">
        <w:rPr>
          <w:b/>
          <w:bCs/>
          <w:rtl/>
        </w:rPr>
        <w:t>الملحق 3</w:t>
      </w:r>
      <w:r w:rsidRPr="00CD7972">
        <w:rPr>
          <w:b/>
          <w:bCs/>
        </w:rPr>
        <w:t>:</w:t>
      </w:r>
      <w:r w:rsidRPr="00CD7972">
        <w:rPr>
          <w:rtl/>
        </w:rPr>
        <w:t xml:space="preserve"> إضافة قواعد إجرائية جديدة بشأن معالجة تقارير التداخل غير المقبول بموجب القرارات </w:t>
      </w:r>
      <w:bookmarkStart w:id="10" w:name="lt_pId035"/>
      <w:bookmarkStart w:id="11" w:name="lt_pId036"/>
      <w:bookmarkEnd w:id="10"/>
      <w:bookmarkEnd w:id="11"/>
      <w:r w:rsidR="00CD7972" w:rsidRPr="00CD7972">
        <w:rPr>
          <w:b/>
          <w:bCs/>
          <w:lang w:val="en-GB"/>
        </w:rPr>
        <w:t>121 (WRC</w:t>
      </w:r>
      <w:r w:rsidR="00CD7972" w:rsidRPr="00CD7972">
        <w:rPr>
          <w:b/>
          <w:bCs/>
          <w:lang w:val="en-GB"/>
        </w:rPr>
        <w:noBreakHyphen/>
        <w:t>23)</w:t>
      </w:r>
      <w:r w:rsidR="00CD7972" w:rsidRPr="00CD7972">
        <w:rPr>
          <w:rFonts w:hint="cs"/>
          <w:rtl/>
          <w:lang w:val="en-GB" w:bidi="ar-EG"/>
        </w:rPr>
        <w:t xml:space="preserve"> أو </w:t>
      </w:r>
      <w:r w:rsidR="00CD7972" w:rsidRPr="00CD7972">
        <w:rPr>
          <w:b/>
          <w:bCs/>
          <w:lang w:val="en-GB"/>
        </w:rPr>
        <w:t>123 (WRC</w:t>
      </w:r>
      <w:r w:rsidR="00CD7972" w:rsidRPr="00CD7972">
        <w:rPr>
          <w:b/>
          <w:bCs/>
          <w:lang w:val="en-GB"/>
        </w:rPr>
        <w:noBreakHyphen/>
        <w:t>23)</w:t>
      </w:r>
      <w:r w:rsidR="00CD7972" w:rsidRPr="00CD7972">
        <w:rPr>
          <w:rFonts w:hint="cs"/>
          <w:rtl/>
          <w:lang w:val="en-GB"/>
        </w:rPr>
        <w:t xml:space="preserve"> أو </w:t>
      </w:r>
      <w:r w:rsidR="00CD7972" w:rsidRPr="00CD7972">
        <w:rPr>
          <w:b/>
          <w:bCs/>
          <w:lang w:val="en-GB"/>
        </w:rPr>
        <w:t>679 (WRC</w:t>
      </w:r>
      <w:r w:rsidR="00CD7972" w:rsidRPr="00CD7972">
        <w:rPr>
          <w:b/>
          <w:bCs/>
          <w:lang w:val="en-GB"/>
        </w:rPr>
        <w:noBreakHyphen/>
        <w:t>23)</w:t>
      </w:r>
      <w:r w:rsidR="00CD7972" w:rsidRPr="00CD7972">
        <w:rPr>
          <w:rFonts w:hint="cs"/>
          <w:rtl/>
          <w:lang w:val="en-GB"/>
        </w:rPr>
        <w:t>.</w:t>
      </w:r>
    </w:p>
    <w:p w14:paraId="49732532" w14:textId="007C3B0A" w:rsidR="00CD7972" w:rsidRPr="00CD7972" w:rsidRDefault="009577F4" w:rsidP="009577F4">
      <w:pPr>
        <w:textDirection w:val="tbRlV"/>
        <w:rPr>
          <w:rtl/>
        </w:rPr>
      </w:pPr>
      <w:bookmarkStart w:id="12" w:name="lt_pId037"/>
      <w:r w:rsidRPr="00CD7972">
        <w:rPr>
          <w:rtl/>
        </w:rPr>
        <w:t>ووفقا</w:t>
      </w:r>
      <w:r w:rsidR="003660BA">
        <w:rPr>
          <w:rFonts w:hint="cs"/>
          <w:rtl/>
        </w:rPr>
        <w:t>ً</w:t>
      </w:r>
      <w:r w:rsidRPr="00CD7972">
        <w:rPr>
          <w:rtl/>
        </w:rPr>
        <w:t xml:space="preserve"> لأحكام الرقم</w:t>
      </w:r>
      <w:r w:rsidRPr="00CD7972">
        <w:rPr>
          <w:b/>
          <w:bCs/>
          <w:rtl/>
        </w:rPr>
        <w:t xml:space="preserve"> </w:t>
      </w:r>
      <w:r w:rsidR="00CD7972" w:rsidRPr="00CD7972">
        <w:rPr>
          <w:rFonts w:hint="cs"/>
          <w:b/>
          <w:bCs/>
          <w:rtl/>
        </w:rPr>
        <w:t>17.13</w:t>
      </w:r>
      <w:r w:rsidR="00CD7972" w:rsidRPr="00CD7972">
        <w:rPr>
          <w:rFonts w:hint="cs"/>
          <w:rtl/>
        </w:rPr>
        <w:t xml:space="preserve"> </w:t>
      </w:r>
      <w:r w:rsidRPr="00CD7972">
        <w:rPr>
          <w:rtl/>
        </w:rPr>
        <w:t xml:space="preserve">من لوائح الراديو، تتاح مشاريع هذه القواعد الإجرائية للإدارات للتعليق عليها قبل تقديمها إلى لجنة لوائح الراديو عملاً بأحكام الرقم </w:t>
      </w:r>
      <w:r w:rsidR="00CD7972" w:rsidRPr="00CD7972">
        <w:rPr>
          <w:rFonts w:hint="cs"/>
          <w:b/>
          <w:bCs/>
          <w:rtl/>
        </w:rPr>
        <w:t>14.13</w:t>
      </w:r>
      <w:r w:rsidRPr="00CD7972">
        <w:rPr>
          <w:rtl/>
        </w:rPr>
        <w:t xml:space="preserve">. وكما هو مبين في الرقم </w:t>
      </w:r>
      <w:r w:rsidRPr="00CD7972">
        <w:rPr>
          <w:b/>
          <w:bCs/>
          <w:rtl/>
        </w:rPr>
        <w:t>12A.13 د)</w:t>
      </w:r>
      <w:r w:rsidRPr="00CD7972">
        <w:rPr>
          <w:rtl/>
        </w:rPr>
        <w:t xml:space="preserve"> من لوائح الراديو، فإن أي تعليقات تودون إبداءها ينبغي أن تصل إلى المكتب في موعد أقصاه </w:t>
      </w:r>
      <w:r w:rsidRPr="00CD7972">
        <w:rPr>
          <w:b/>
          <w:bCs/>
          <w:rtl/>
        </w:rPr>
        <w:t xml:space="preserve">14 أكتوبر 2024، الساعة </w:t>
      </w:r>
      <w:r w:rsidR="00CD7972" w:rsidRPr="00CD7972">
        <w:rPr>
          <w:b/>
          <w:bCs/>
        </w:rPr>
        <w:t>16:00</w:t>
      </w:r>
      <w:r w:rsidRPr="00CD7972">
        <w:rPr>
          <w:b/>
          <w:bCs/>
          <w:rtl/>
        </w:rPr>
        <w:t xml:space="preserve"> بالتوقيت العالمي المنسق </w:t>
      </w:r>
      <w:r w:rsidRPr="00CD7972">
        <w:rPr>
          <w:b/>
          <w:bCs/>
        </w:rPr>
        <w:t>(UTC</w:t>
      </w:r>
      <w:r w:rsidR="00CD7972" w:rsidRPr="00CD7972">
        <w:rPr>
          <w:b/>
          <w:bCs/>
        </w:rPr>
        <w:t>)</w:t>
      </w:r>
      <w:r w:rsidRPr="00CD7972">
        <w:rPr>
          <w:rtl/>
        </w:rPr>
        <w:t xml:space="preserve"> لكي ينظر فيها الاجتماع السابع والتسعون للجنة لوائح الراديو، المقرر عقده في الفترة 11-19 نوفمبر 2024. وينبغي إرسال التعليقات بالبريد الإلكتروني إلى العنوان</w:t>
      </w:r>
      <w:r w:rsidRPr="00CD7972">
        <w:t>:</w:t>
      </w:r>
      <w:r w:rsidRPr="00CD7972">
        <w:rPr>
          <w:rtl/>
        </w:rPr>
        <w:t xml:space="preserve"> </w:t>
      </w:r>
      <w:hyperlink r:id="rId9" w:history="1">
        <w:r w:rsidR="00CD7972" w:rsidRPr="00CD7972">
          <w:rPr>
            <w:rStyle w:val="Hyperlink"/>
            <w:rtl/>
          </w:rPr>
          <w:t>rrb@itu.int</w:t>
        </w:r>
      </w:hyperlink>
      <w:r w:rsidRPr="00CD7972">
        <w:rPr>
          <w:rtl/>
        </w:rPr>
        <w:t>.</w:t>
      </w:r>
    </w:p>
    <w:p w14:paraId="3943EBA9" w14:textId="4A2A079E" w:rsidR="009577F4" w:rsidRPr="00CD7972" w:rsidRDefault="009577F4" w:rsidP="00CD7972">
      <w:pPr>
        <w:spacing w:before="240"/>
        <w:textDirection w:val="tbRlV"/>
        <w:rPr>
          <w:szCs w:val="20"/>
          <w:lang w:val="ar-SA" w:eastAsia="zh-TW" w:bidi="en-GB"/>
        </w:rPr>
      </w:pPr>
      <w:r w:rsidRPr="00CD7972">
        <w:rPr>
          <w:rtl/>
        </w:rPr>
        <w:t>وتفضلوا بقبول فائق التقدير والاحترام.</w:t>
      </w:r>
      <w:bookmarkStart w:id="13" w:name="lt_pId038"/>
      <w:bookmarkStart w:id="14" w:name="lt_pId039"/>
      <w:bookmarkEnd w:id="12"/>
      <w:bookmarkEnd w:id="13"/>
      <w:bookmarkEnd w:id="14"/>
    </w:p>
    <w:p w14:paraId="7DB47215" w14:textId="77777777" w:rsidR="009577F4" w:rsidRPr="00CD7972" w:rsidRDefault="009577F4" w:rsidP="001A351B">
      <w:pPr>
        <w:tabs>
          <w:tab w:val="left" w:pos="3402"/>
        </w:tabs>
        <w:spacing w:before="1200" w:line="240" w:lineRule="auto"/>
        <w:textDirection w:val="tbRlV"/>
        <w:rPr>
          <w:szCs w:val="20"/>
          <w:lang w:val="ar-SA" w:eastAsia="zh-TW" w:bidi="en-GB"/>
        </w:rPr>
      </w:pPr>
      <w:bookmarkStart w:id="15" w:name="lt_pId040"/>
      <w:r w:rsidRPr="00CD7972">
        <w:rPr>
          <w:rtl/>
        </w:rPr>
        <w:t>ماريو مانيفيتش</w:t>
      </w:r>
      <w:bookmarkEnd w:id="15"/>
    </w:p>
    <w:p w14:paraId="0E89789B" w14:textId="77777777" w:rsidR="009577F4" w:rsidRPr="00CD7972" w:rsidRDefault="009577F4" w:rsidP="009577F4">
      <w:pPr>
        <w:tabs>
          <w:tab w:val="left" w:pos="3402"/>
        </w:tabs>
        <w:spacing w:before="0" w:line="276" w:lineRule="auto"/>
        <w:textDirection w:val="tbRlV"/>
        <w:rPr>
          <w:szCs w:val="20"/>
          <w:lang w:val="ar-SA" w:eastAsia="zh-TW" w:bidi="en-GB"/>
        </w:rPr>
      </w:pPr>
      <w:bookmarkStart w:id="16" w:name="lt_pId041"/>
      <w:r w:rsidRPr="00CD7972">
        <w:rPr>
          <w:rtl/>
        </w:rPr>
        <w:t>المدير</w:t>
      </w:r>
      <w:bookmarkEnd w:id="16"/>
    </w:p>
    <w:p w14:paraId="4AE49837" w14:textId="77777777" w:rsidR="009577F4" w:rsidRPr="00CD7972" w:rsidRDefault="009577F4" w:rsidP="009577F4">
      <w:pPr>
        <w:tabs>
          <w:tab w:val="left" w:pos="3402"/>
        </w:tabs>
        <w:spacing w:before="360" w:line="240" w:lineRule="auto"/>
        <w:jc w:val="left"/>
        <w:textDirection w:val="tbRlV"/>
        <w:rPr>
          <w:lang w:val="ar-SA" w:eastAsia="zh-TW" w:bidi="ar-EG"/>
        </w:rPr>
      </w:pPr>
      <w:bookmarkStart w:id="17" w:name="lt_pId042"/>
      <w:r w:rsidRPr="00CD7972">
        <w:rPr>
          <w:b/>
          <w:bCs/>
          <w:rtl/>
        </w:rPr>
        <w:t>الملحقات</w:t>
      </w:r>
      <w:r w:rsidRPr="00CD7972">
        <w:rPr>
          <w:b/>
          <w:bCs/>
        </w:rPr>
        <w:t>:</w:t>
      </w:r>
      <w:r w:rsidRPr="00CD7972">
        <w:rPr>
          <w:b/>
          <w:bCs/>
          <w:rtl/>
        </w:rPr>
        <w:t xml:space="preserve"> 3</w:t>
      </w:r>
      <w:bookmarkEnd w:id="17"/>
    </w:p>
    <w:p w14:paraId="5838CDCB" w14:textId="77777777" w:rsidR="00CD7972" w:rsidRPr="00CD7972" w:rsidRDefault="009577F4" w:rsidP="001A351B">
      <w:pPr>
        <w:tabs>
          <w:tab w:val="clear" w:pos="794"/>
          <w:tab w:val="left" w:pos="284"/>
        </w:tabs>
        <w:spacing w:before="240" w:line="240" w:lineRule="auto"/>
        <w:jc w:val="left"/>
        <w:textDirection w:val="tbRlV"/>
        <w:rPr>
          <w:sz w:val="18"/>
          <w:szCs w:val="18"/>
        </w:rPr>
      </w:pPr>
      <w:bookmarkStart w:id="18" w:name="lt_pId044"/>
      <w:r w:rsidRPr="00CD7972">
        <w:rPr>
          <w:sz w:val="18"/>
          <w:szCs w:val="18"/>
          <w:rtl/>
        </w:rPr>
        <w:t>التوزيع:</w:t>
      </w:r>
    </w:p>
    <w:p w14:paraId="1E851653" w14:textId="53A76775" w:rsidR="00CD7972" w:rsidRPr="00CD7972" w:rsidRDefault="009577F4" w:rsidP="003660BA">
      <w:pPr>
        <w:spacing w:before="60"/>
        <w:ind w:left="283" w:hanging="283"/>
        <w:rPr>
          <w:sz w:val="18"/>
          <w:szCs w:val="18"/>
        </w:rPr>
      </w:pPr>
      <w:r w:rsidRPr="00CD7972">
        <w:rPr>
          <w:sz w:val="18"/>
          <w:szCs w:val="18"/>
          <w:rtl/>
        </w:rPr>
        <w:t xml:space="preserve">- </w:t>
      </w:r>
      <w:r w:rsidRPr="00CD7972">
        <w:rPr>
          <w:sz w:val="18"/>
          <w:szCs w:val="18"/>
          <w:rtl/>
        </w:rPr>
        <w:tab/>
        <w:t>إدارات الدول الأعضاء في الاتحاد الدولي للاتصالات</w:t>
      </w:r>
    </w:p>
    <w:p w14:paraId="65793416" w14:textId="75D025B4" w:rsidR="00CD7972" w:rsidRDefault="009577F4" w:rsidP="003660BA">
      <w:pPr>
        <w:spacing w:before="60"/>
        <w:ind w:left="283" w:hanging="283"/>
        <w:rPr>
          <w:sz w:val="18"/>
          <w:szCs w:val="18"/>
          <w:rtl/>
        </w:rPr>
      </w:pPr>
      <w:r w:rsidRPr="00CD7972">
        <w:rPr>
          <w:sz w:val="18"/>
          <w:szCs w:val="18"/>
          <w:rtl/>
        </w:rPr>
        <w:t xml:space="preserve">- </w:t>
      </w:r>
      <w:r w:rsidRPr="00CD7972">
        <w:rPr>
          <w:sz w:val="18"/>
          <w:szCs w:val="18"/>
          <w:rtl/>
        </w:rPr>
        <w:tab/>
        <w:t>أعضاء لجنة لوائح الراديو</w:t>
      </w:r>
      <w:bookmarkStart w:id="19" w:name="lt_pId046"/>
      <w:bookmarkStart w:id="20" w:name="lt_pId048"/>
      <w:bookmarkEnd w:id="18"/>
      <w:bookmarkEnd w:id="19"/>
      <w:bookmarkEnd w:id="20"/>
      <w:r w:rsidR="00CD7972">
        <w:rPr>
          <w:sz w:val="18"/>
          <w:szCs w:val="18"/>
          <w:rtl/>
        </w:rPr>
        <w:br w:type="page"/>
      </w:r>
    </w:p>
    <w:p w14:paraId="0FA7BDCC" w14:textId="3C58BD93" w:rsidR="009577F4" w:rsidRPr="00CD7972" w:rsidRDefault="009577F4" w:rsidP="00CD7972">
      <w:pPr>
        <w:pStyle w:val="Annextitle"/>
        <w:rPr>
          <w:szCs w:val="20"/>
          <w:lang w:val="ar-SA" w:eastAsia="zh-TW" w:bidi="en-GB"/>
        </w:rPr>
      </w:pPr>
      <w:r w:rsidRPr="00CD7972">
        <w:rPr>
          <w:rtl/>
        </w:rPr>
        <w:lastRenderedPageBreak/>
        <w:t xml:space="preserve"> الملحق </w:t>
      </w:r>
      <w:r w:rsidRPr="00CD7972">
        <w:rPr>
          <w:szCs w:val="20"/>
          <w:rtl/>
        </w:rPr>
        <w:t>1</w:t>
      </w:r>
      <w:r w:rsidR="00CD7972">
        <w:br/>
      </w:r>
      <w:r w:rsidR="00CD7972">
        <w:br/>
      </w:r>
      <w:r w:rsidRPr="00CD7972">
        <w:rPr>
          <w:rtl/>
        </w:rPr>
        <w:t xml:space="preserve">إضافة قواعد إجرائية جديدة بشأن الرقم </w:t>
      </w:r>
      <w:r w:rsidR="00CD7972">
        <w:rPr>
          <w:szCs w:val="20"/>
        </w:rPr>
        <w:t>6.13</w:t>
      </w:r>
      <w:r w:rsidR="00CD7972">
        <w:rPr>
          <w:rFonts w:hint="cs"/>
          <w:szCs w:val="20"/>
          <w:rtl/>
          <w:lang w:bidi="ar-EG"/>
        </w:rPr>
        <w:t xml:space="preserve"> </w:t>
      </w:r>
      <w:r w:rsidRPr="00CD7972">
        <w:rPr>
          <w:rtl/>
        </w:rPr>
        <w:t xml:space="preserve">المتعلق بالتفاوتات المدارية </w:t>
      </w:r>
      <w:r w:rsidR="00CD7972">
        <w:br/>
      </w:r>
      <w:r w:rsidRPr="00CD7972">
        <w:rPr>
          <w:rtl/>
        </w:rPr>
        <w:t xml:space="preserve">للأنظمة الساتلية غير الخاضعة للقرار </w:t>
      </w:r>
      <w:r w:rsidR="00CD7972" w:rsidRPr="00CD7972">
        <w:rPr>
          <w:lang w:val="en-GB"/>
        </w:rPr>
        <w:t>8 (WRC-23)</w:t>
      </w:r>
    </w:p>
    <w:p w14:paraId="3128F268" w14:textId="77777777" w:rsidR="009577F4" w:rsidRPr="00CD7972" w:rsidRDefault="009577F4" w:rsidP="00CD7972">
      <w:pPr>
        <w:pStyle w:val="Articletitle"/>
        <w:rPr>
          <w:color w:val="000000"/>
          <w:szCs w:val="20"/>
          <w:lang w:val="ar-SA" w:eastAsia="zh-TW" w:bidi="en-GB"/>
        </w:rPr>
      </w:pPr>
      <w:bookmarkStart w:id="21" w:name="lt_pId051"/>
      <w:r w:rsidRPr="00CD7972">
        <w:rPr>
          <w:rtl/>
        </w:rPr>
        <w:t>القواعد المتعلقة</w:t>
      </w:r>
      <w:bookmarkEnd w:id="21"/>
    </w:p>
    <w:p w14:paraId="0AE85B92" w14:textId="4D4351F1" w:rsidR="009577F4" w:rsidRPr="00CD7972" w:rsidRDefault="009577F4" w:rsidP="00CD7972">
      <w:pPr>
        <w:pStyle w:val="Articletitle"/>
        <w:rPr>
          <w:color w:val="000000"/>
          <w:szCs w:val="20"/>
          <w:lang w:val="ar-SA" w:eastAsia="zh-TW" w:bidi="en-GB"/>
        </w:rPr>
      </w:pPr>
      <w:bookmarkStart w:id="22" w:name="lt_pId052"/>
      <w:r w:rsidRPr="00CD7972">
        <w:rPr>
          <w:rtl/>
        </w:rPr>
        <w:t>المادة 13 من لوائح الراديو</w:t>
      </w:r>
      <w:r w:rsidRPr="00CD7972">
        <w:rPr>
          <w:rStyle w:val="FootnoteReference"/>
          <w:rtl/>
        </w:rPr>
        <w:t>*،**</w:t>
      </w:r>
      <w:bookmarkEnd w:id="22"/>
    </w:p>
    <w:p w14:paraId="0F0DB713" w14:textId="77777777" w:rsidR="009577F4" w:rsidRPr="00CD7972" w:rsidRDefault="009577F4" w:rsidP="009577F4">
      <w:pPr>
        <w:tabs>
          <w:tab w:val="clear" w:pos="794"/>
        </w:tabs>
        <w:spacing w:line="276" w:lineRule="auto"/>
        <w:textDirection w:val="tbRlV"/>
        <w:rPr>
          <w:b/>
          <w:bCs/>
          <w:szCs w:val="20"/>
          <w:lang w:val="ar-SA" w:eastAsia="zh-TW" w:bidi="en-GB"/>
        </w:rPr>
      </w:pPr>
      <w:bookmarkStart w:id="23" w:name="lt_pId053"/>
      <w:r w:rsidRPr="00CD7972">
        <w:rPr>
          <w:b/>
          <w:bCs/>
          <w:sz w:val="20"/>
          <w:szCs w:val="20"/>
        </w:rPr>
        <w:t>ADD</w:t>
      </w:r>
      <w:bookmarkEnd w:id="23"/>
    </w:p>
    <w:p w14:paraId="1C350EE0" w14:textId="7B0C49D5" w:rsidR="009577F4" w:rsidRPr="00CD7972" w:rsidRDefault="00CD7972" w:rsidP="009577F4">
      <w:pPr>
        <w:keepNext/>
        <w:keepLines/>
        <w:pBdr>
          <w:top w:val="double" w:sz="6" w:space="1" w:color="auto"/>
          <w:left w:val="double" w:sz="6" w:space="1" w:color="auto"/>
          <w:bottom w:val="double" w:sz="6" w:space="1" w:color="auto"/>
          <w:right w:val="double" w:sz="6" w:space="1" w:color="auto"/>
        </w:pBdr>
        <w:tabs>
          <w:tab w:val="clear" w:pos="794"/>
          <w:tab w:val="left" w:pos="1134"/>
          <w:tab w:val="left" w:pos="1871"/>
        </w:tabs>
        <w:spacing w:before="400" w:line="240" w:lineRule="auto"/>
        <w:ind w:left="85" w:right="7938"/>
        <w:textDirection w:val="tbRlV"/>
        <w:outlineLvl w:val="7"/>
        <w:rPr>
          <w:b/>
          <w:color w:val="000000"/>
          <w:szCs w:val="20"/>
          <w:lang w:val="ar-SA" w:eastAsia="zh-TW" w:bidi="en-GB"/>
        </w:rPr>
      </w:pPr>
      <w:r>
        <w:rPr>
          <w:b/>
          <w:bCs/>
          <w:szCs w:val="20"/>
        </w:rPr>
        <w:t>6.13</w:t>
      </w:r>
    </w:p>
    <w:p w14:paraId="3A8858FA" w14:textId="6F4BC438" w:rsidR="009577F4" w:rsidRPr="009F250C" w:rsidRDefault="009577F4" w:rsidP="009F250C">
      <w:pPr>
        <w:rPr>
          <w:lang w:val="ar-SA" w:eastAsia="zh-TW" w:bidi="en-GB"/>
        </w:rPr>
      </w:pPr>
      <w:bookmarkStart w:id="24" w:name="lt_pId055"/>
      <w:r w:rsidRPr="009F250C">
        <w:rPr>
          <w:rtl/>
        </w:rPr>
        <w:t xml:space="preserve">لاحظت اللجنة أن المؤتمر العالمي للاتصالات الراديوية (دبي، 2023) (WRC-23) حدد في القرار </w:t>
      </w:r>
      <w:r w:rsidR="00CD7972" w:rsidRPr="009F250C">
        <w:rPr>
          <w:b/>
          <w:bCs/>
          <w:lang w:val="en-GB"/>
        </w:rPr>
        <w:t>8 (WRC</w:t>
      </w:r>
      <w:r w:rsidR="00CD7972" w:rsidRPr="009F250C">
        <w:rPr>
          <w:b/>
          <w:bCs/>
          <w:lang w:val="en-GB"/>
        </w:rPr>
        <w:noBreakHyphen/>
        <w:t>23)</w:t>
      </w:r>
      <w:r w:rsidRPr="009F250C">
        <w:rPr>
          <w:rtl/>
        </w:rPr>
        <w:t xml:space="preserve"> التفاوتات المدارية المطبقة على تخصيصات الترددات المبلغ عنها كجزء من نظام مدار ساتلي غير مستقر بالنسبة إلى الأرض (</w:t>
      </w:r>
      <w:r w:rsidRPr="009F250C">
        <w:t>non-GSO</w:t>
      </w:r>
      <w:r w:rsidRPr="009F250C">
        <w:rPr>
          <w:rtl/>
        </w:rPr>
        <w:t xml:space="preserve">) خاضع للقرار </w:t>
      </w:r>
      <w:r w:rsidR="009F250C" w:rsidRPr="009F250C">
        <w:rPr>
          <w:b/>
          <w:bCs/>
          <w:lang w:val="en-GB"/>
        </w:rPr>
        <w:t>35 (Rev.WRC</w:t>
      </w:r>
      <w:r w:rsidR="009F250C" w:rsidRPr="009F250C">
        <w:rPr>
          <w:b/>
          <w:bCs/>
          <w:lang w:val="en-GB"/>
        </w:rPr>
        <w:noBreakHyphen/>
        <w:t>23)</w:t>
      </w:r>
      <w:r w:rsidRPr="009F250C">
        <w:rPr>
          <w:rtl/>
        </w:rPr>
        <w:t xml:space="preserve"> ويرتبط بالمستوِيات المدارية التي يقل انحرافها المداري عن 0,5 وارتفاع أوجها عن </w:t>
      </w:r>
      <w:r w:rsidR="009F250C" w:rsidRPr="009F250C">
        <w:t>15 000</w:t>
      </w:r>
      <w:r w:rsidRPr="009F250C">
        <w:rPr>
          <w:rtl/>
        </w:rPr>
        <w:t xml:space="preserve"> كيلومتر. وأضاف المؤتمر WRC-23 أيض</w:t>
      </w:r>
      <w:r w:rsidR="009F250C" w:rsidRPr="009F250C">
        <w:rPr>
          <w:rFonts w:hint="cs"/>
          <w:rtl/>
        </w:rPr>
        <w:t>اً</w:t>
      </w:r>
      <w:r w:rsidRPr="009F250C">
        <w:rPr>
          <w:rtl/>
        </w:rPr>
        <w:t xml:space="preserve"> بنود بيانات التذييل </w:t>
      </w:r>
      <w:r w:rsidRPr="009F250C">
        <w:rPr>
          <w:b/>
          <w:bCs/>
          <w:rtl/>
        </w:rPr>
        <w:t>4</w:t>
      </w:r>
      <w:r w:rsidRPr="009F250C">
        <w:rPr>
          <w:rtl/>
        </w:rPr>
        <w:t xml:space="preserve"> بحيث يمكن للإدارات المبلغة أن تبين ما إذا كانت المحطة الفضائية تستعمل الثبات في المدار للحفاظ على ارتفاعي الأوج والحضيض خلال عمرها التشغيلي (انظر بند البيانات </w:t>
      </w:r>
      <w:r w:rsidR="009F250C" w:rsidRPr="009F250C">
        <w:t>A</w:t>
      </w:r>
      <w:r w:rsidR="009F250C" w:rsidRPr="009F250C">
        <w:rPr>
          <w:rFonts w:hint="cs"/>
          <w:rtl/>
          <w:lang w:bidi="ar-EG"/>
        </w:rPr>
        <w:t>.4.ب.4.</w:t>
      </w:r>
      <w:r w:rsidR="009F250C">
        <w:rPr>
          <w:rFonts w:hint="cs"/>
          <w:rtl/>
          <w:lang w:bidi="ar-EG"/>
        </w:rPr>
        <w:t>ع</w:t>
      </w:r>
      <w:r w:rsidRPr="009F250C">
        <w:rPr>
          <w:rtl/>
        </w:rPr>
        <w:t xml:space="preserve">)، وإذا لم يكن الأمر كذلك، يكون لديها خيار تقديم ارتفاع الأوج والحضيض كدالة زمنية (انظر بند البيانات </w:t>
      </w:r>
      <w:r w:rsidR="009F250C" w:rsidRPr="009F250C">
        <w:t>A</w:t>
      </w:r>
      <w:r w:rsidR="009F250C" w:rsidRPr="009F250C">
        <w:rPr>
          <w:rFonts w:hint="cs"/>
          <w:rtl/>
          <w:lang w:bidi="ar-EG"/>
        </w:rPr>
        <w:t>.4.ب.4.</w:t>
      </w:r>
      <w:r w:rsidR="009F250C">
        <w:rPr>
          <w:rFonts w:hint="cs"/>
          <w:rtl/>
          <w:lang w:bidi="ar-EG"/>
        </w:rPr>
        <w:t>ف</w:t>
      </w:r>
      <w:r w:rsidRPr="009F250C">
        <w:rPr>
          <w:rtl/>
        </w:rPr>
        <w:t xml:space="preserve">). </w:t>
      </w:r>
      <w:bookmarkStart w:id="25" w:name="lt_pId056"/>
      <w:bookmarkEnd w:id="25"/>
      <w:bookmarkEnd w:id="24"/>
    </w:p>
    <w:p w14:paraId="1BCA521A" w14:textId="21295867" w:rsidR="009577F4" w:rsidRPr="009F250C" w:rsidRDefault="009577F4" w:rsidP="009F250C">
      <w:pPr>
        <w:rPr>
          <w:lang w:val="ar-SA" w:eastAsia="zh-TW" w:bidi="en-GB"/>
        </w:rPr>
      </w:pPr>
      <w:bookmarkStart w:id="26" w:name="lt_pId057"/>
      <w:r w:rsidRPr="009F250C">
        <w:rPr>
          <w:rtl/>
        </w:rPr>
        <w:t xml:space="preserve">وتثير هذه القرارات مسألة التفاوتات المدارية التي ينبغي للمكتب أن ينظر فيها عند تطبيق الأرقام </w:t>
      </w:r>
      <w:r w:rsidR="009F250C" w:rsidRPr="009F250C">
        <w:rPr>
          <w:b/>
          <w:bCs/>
        </w:rPr>
        <w:t>3.44.11</w:t>
      </w:r>
      <w:r w:rsidR="009F250C" w:rsidRPr="009F250C">
        <w:rPr>
          <w:rFonts w:hint="cs"/>
          <w:b/>
          <w:bCs/>
          <w:rtl/>
          <w:lang w:bidi="ar-EG"/>
        </w:rPr>
        <w:t xml:space="preserve"> </w:t>
      </w:r>
      <w:r w:rsidR="009F250C" w:rsidRPr="009F250C">
        <w:rPr>
          <w:rFonts w:hint="cs"/>
          <w:rtl/>
          <w:lang w:bidi="ar-EG"/>
        </w:rPr>
        <w:t>أو</w:t>
      </w:r>
      <w:r w:rsidR="009F250C" w:rsidRPr="009F250C">
        <w:rPr>
          <w:rFonts w:hint="cs"/>
          <w:b/>
          <w:bCs/>
          <w:rtl/>
          <w:lang w:bidi="ar-EG"/>
        </w:rPr>
        <w:t xml:space="preserve"> </w:t>
      </w:r>
      <w:r w:rsidR="009F250C" w:rsidRPr="009F250C">
        <w:rPr>
          <w:b/>
          <w:bCs/>
          <w:lang w:bidi="ar-EG"/>
        </w:rPr>
        <w:t>2.44C.11</w:t>
      </w:r>
      <w:r w:rsidR="009F250C" w:rsidRPr="009F250C">
        <w:rPr>
          <w:rFonts w:hint="cs"/>
          <w:b/>
          <w:bCs/>
          <w:rtl/>
          <w:lang w:bidi="ar-EG"/>
        </w:rPr>
        <w:t xml:space="preserve"> </w:t>
      </w:r>
      <w:r w:rsidR="009F250C" w:rsidRPr="009F250C">
        <w:rPr>
          <w:rFonts w:hint="cs"/>
          <w:rtl/>
          <w:lang w:bidi="ar-EG"/>
        </w:rPr>
        <w:t>أو</w:t>
      </w:r>
      <w:r w:rsidR="009F250C" w:rsidRPr="009F250C">
        <w:rPr>
          <w:rFonts w:hint="cs"/>
          <w:b/>
          <w:bCs/>
          <w:rtl/>
          <w:lang w:bidi="ar-EG"/>
        </w:rPr>
        <w:t xml:space="preserve"> </w:t>
      </w:r>
      <w:r w:rsidR="009F250C" w:rsidRPr="009F250C">
        <w:rPr>
          <w:b/>
          <w:bCs/>
          <w:lang w:bidi="ar-EG"/>
        </w:rPr>
        <w:t>2.44D.11</w:t>
      </w:r>
      <w:r w:rsidR="009F250C" w:rsidRPr="009F250C">
        <w:rPr>
          <w:rFonts w:hint="cs"/>
          <w:b/>
          <w:bCs/>
          <w:rtl/>
          <w:lang w:bidi="ar-EG"/>
        </w:rPr>
        <w:t xml:space="preserve"> </w:t>
      </w:r>
      <w:r w:rsidR="009F250C" w:rsidRPr="009F250C">
        <w:rPr>
          <w:rFonts w:hint="cs"/>
          <w:rtl/>
          <w:lang w:bidi="ar-EG"/>
        </w:rPr>
        <w:t>أو</w:t>
      </w:r>
      <w:r w:rsidR="009F250C" w:rsidRPr="009F250C">
        <w:rPr>
          <w:rFonts w:hint="cs"/>
          <w:b/>
          <w:bCs/>
          <w:rtl/>
          <w:lang w:bidi="ar-EG"/>
        </w:rPr>
        <w:t xml:space="preserve"> </w:t>
      </w:r>
      <w:r w:rsidR="009F250C" w:rsidRPr="009F250C">
        <w:rPr>
          <w:b/>
          <w:bCs/>
          <w:lang w:bidi="ar-EG"/>
        </w:rPr>
        <w:t>6.13</w:t>
      </w:r>
      <w:r w:rsidR="009F250C" w:rsidRPr="009F250C">
        <w:rPr>
          <w:rFonts w:hint="cs"/>
          <w:rtl/>
          <w:lang w:bidi="ar-EG"/>
        </w:rPr>
        <w:t>.</w:t>
      </w:r>
      <w:bookmarkEnd w:id="26"/>
    </w:p>
    <w:p w14:paraId="3BBC7CC6" w14:textId="061E72B4" w:rsidR="009577F4" w:rsidRPr="009F250C" w:rsidRDefault="009577F4" w:rsidP="009F250C">
      <w:pPr>
        <w:rPr>
          <w:lang w:val="ar-SA" w:eastAsia="zh-TW" w:bidi="en-GB"/>
        </w:rPr>
      </w:pPr>
      <w:bookmarkStart w:id="27" w:name="lt_pId058"/>
      <w:r w:rsidRPr="009F250C">
        <w:rPr>
          <w:rtl/>
        </w:rPr>
        <w:t xml:space="preserve">ولإتاحة بعض المرونة للإدارات المبلِّغة عن الأنظمة الساتلية غير الخاضعة للقرار </w:t>
      </w:r>
      <w:r w:rsidR="009F250C" w:rsidRPr="009F250C">
        <w:rPr>
          <w:b/>
          <w:bCs/>
          <w:lang w:val="en-GB"/>
        </w:rPr>
        <w:t>8 (WRC</w:t>
      </w:r>
      <w:r w:rsidR="009F250C" w:rsidRPr="009F250C">
        <w:rPr>
          <w:b/>
          <w:bCs/>
          <w:lang w:val="en-GB"/>
        </w:rPr>
        <w:noBreakHyphen/>
        <w:t>23)</w:t>
      </w:r>
      <w:r w:rsidRPr="009F250C">
        <w:rPr>
          <w:rtl/>
        </w:rPr>
        <w:t xml:space="preserve"> فيما يتعلق بالتفاوتات المدارية، مع تجنب أوجه عدم الاتساق في الأنظمة الساتلية التي تحمل على متنها نطاقات ترددات خاضعة وغير خاضعة لذلك القرار، قررت اللجنة أن ينظر المكتب في نفس قيم التفاوتات المدارية الواردة في القرار </w:t>
      </w:r>
      <w:r w:rsidR="009F250C" w:rsidRPr="009F250C">
        <w:rPr>
          <w:b/>
          <w:bCs/>
          <w:lang w:val="en-GB"/>
        </w:rPr>
        <w:t>8 (WRC</w:t>
      </w:r>
      <w:r w:rsidR="009F250C" w:rsidRPr="009F250C">
        <w:rPr>
          <w:b/>
          <w:bCs/>
          <w:lang w:val="en-GB"/>
        </w:rPr>
        <w:noBreakHyphen/>
        <w:t>23)</w:t>
      </w:r>
      <w:r w:rsidRPr="009F250C">
        <w:rPr>
          <w:rtl/>
        </w:rPr>
        <w:t xml:space="preserve"> عند تطبيق الأرقام </w:t>
      </w:r>
      <w:r w:rsidR="009F250C" w:rsidRPr="009F250C">
        <w:rPr>
          <w:b/>
          <w:bCs/>
        </w:rPr>
        <w:t>3.44.11</w:t>
      </w:r>
      <w:r w:rsidR="009F250C" w:rsidRPr="009F250C">
        <w:rPr>
          <w:rFonts w:hint="cs"/>
          <w:b/>
          <w:bCs/>
          <w:rtl/>
          <w:lang w:bidi="ar-EG"/>
        </w:rPr>
        <w:t xml:space="preserve"> </w:t>
      </w:r>
      <w:r w:rsidR="009F250C" w:rsidRPr="009F250C">
        <w:rPr>
          <w:rFonts w:hint="cs"/>
          <w:rtl/>
          <w:lang w:bidi="ar-EG"/>
        </w:rPr>
        <w:t>أو</w:t>
      </w:r>
      <w:r w:rsidR="009F250C" w:rsidRPr="009F250C">
        <w:rPr>
          <w:rFonts w:hint="cs"/>
          <w:b/>
          <w:bCs/>
          <w:rtl/>
          <w:lang w:bidi="ar-EG"/>
        </w:rPr>
        <w:t xml:space="preserve"> </w:t>
      </w:r>
      <w:r w:rsidR="009F250C" w:rsidRPr="009F250C">
        <w:rPr>
          <w:b/>
          <w:bCs/>
          <w:lang w:bidi="ar-EG"/>
        </w:rPr>
        <w:t>2.44C.11</w:t>
      </w:r>
      <w:r w:rsidR="009F250C" w:rsidRPr="009F250C">
        <w:rPr>
          <w:rFonts w:hint="cs"/>
          <w:b/>
          <w:bCs/>
          <w:rtl/>
          <w:lang w:bidi="ar-EG"/>
        </w:rPr>
        <w:t xml:space="preserve"> </w:t>
      </w:r>
      <w:r w:rsidR="009F250C" w:rsidRPr="009F250C">
        <w:rPr>
          <w:rFonts w:hint="cs"/>
          <w:rtl/>
          <w:lang w:bidi="ar-EG"/>
        </w:rPr>
        <w:t>أو</w:t>
      </w:r>
      <w:r w:rsidR="009F250C" w:rsidRPr="009F250C">
        <w:rPr>
          <w:rFonts w:hint="cs"/>
          <w:b/>
          <w:bCs/>
          <w:rtl/>
          <w:lang w:bidi="ar-EG"/>
        </w:rPr>
        <w:t xml:space="preserve"> </w:t>
      </w:r>
      <w:r w:rsidR="009F250C" w:rsidRPr="009F250C">
        <w:rPr>
          <w:b/>
          <w:bCs/>
          <w:lang w:bidi="ar-EG"/>
        </w:rPr>
        <w:t>2.44D.11</w:t>
      </w:r>
      <w:r w:rsidR="009F250C" w:rsidRPr="009F250C">
        <w:rPr>
          <w:rFonts w:hint="cs"/>
          <w:b/>
          <w:bCs/>
          <w:rtl/>
          <w:lang w:bidi="ar-EG"/>
        </w:rPr>
        <w:t xml:space="preserve"> </w:t>
      </w:r>
      <w:r w:rsidR="009F250C" w:rsidRPr="009F250C">
        <w:rPr>
          <w:rFonts w:hint="cs"/>
          <w:rtl/>
          <w:lang w:bidi="ar-EG"/>
        </w:rPr>
        <w:t>أو</w:t>
      </w:r>
      <w:r w:rsidR="009F250C" w:rsidRPr="009F250C">
        <w:rPr>
          <w:rFonts w:hint="cs"/>
          <w:b/>
          <w:bCs/>
          <w:rtl/>
          <w:lang w:bidi="ar-EG"/>
        </w:rPr>
        <w:t xml:space="preserve"> </w:t>
      </w:r>
      <w:r w:rsidR="009F250C" w:rsidRPr="009F250C">
        <w:rPr>
          <w:b/>
          <w:bCs/>
          <w:lang w:bidi="ar-EG"/>
        </w:rPr>
        <w:t>6.13</w:t>
      </w:r>
      <w:r w:rsidRPr="009F250C">
        <w:rPr>
          <w:rtl/>
        </w:rPr>
        <w:t xml:space="preserve"> للأنظمة غير المستقرة بالنسبة إلى الأرض غير الخاضعة لذلك القرار. ويرد الإجراء التفصيلي الذي يجب أن يتبعه المكتب في الفقرتين 1 و2 أدناه. </w:t>
      </w:r>
      <w:bookmarkStart w:id="28" w:name="lt_pId059"/>
      <w:bookmarkEnd w:id="27"/>
      <w:bookmarkEnd w:id="28"/>
    </w:p>
    <w:p w14:paraId="490B7CCA" w14:textId="77777777" w:rsidR="009577F4" w:rsidRPr="00CD7972" w:rsidRDefault="009577F4" w:rsidP="009F250C">
      <w:pPr>
        <w:pStyle w:val="Heading1"/>
        <w:rPr>
          <w:szCs w:val="20"/>
          <w:lang w:val="ar-SA" w:eastAsia="zh-TW" w:bidi="en-GB"/>
        </w:rPr>
      </w:pPr>
      <w:r w:rsidRPr="009F250C">
        <w:rPr>
          <w:rtl/>
        </w:rPr>
        <w:t>1</w:t>
      </w:r>
      <w:r w:rsidRPr="00CD7972">
        <w:rPr>
          <w:rtl/>
        </w:rPr>
        <w:tab/>
        <w:t>الوضع في الخدمة أو معاودة الوضع في الخدمة</w:t>
      </w:r>
      <w:bookmarkStart w:id="29" w:name="lt_pId061"/>
      <w:bookmarkEnd w:id="29"/>
    </w:p>
    <w:p w14:paraId="58BF2873" w14:textId="3B78502D" w:rsidR="009577F4" w:rsidRPr="0006484C" w:rsidRDefault="009577F4" w:rsidP="009F250C">
      <w:pPr>
        <w:rPr>
          <w:lang w:val="ar-SA" w:eastAsia="zh-TW" w:bidi="en-GB"/>
        </w:rPr>
      </w:pPr>
      <w:bookmarkStart w:id="30" w:name="lt_pId062"/>
      <w:r w:rsidRPr="0006484C">
        <w:rPr>
          <w:rtl/>
        </w:rPr>
        <w:t xml:space="preserve">عند وضع تخصيصات ترددات الأنظمة غير المستقرة بالنسبة إلى الأرض في الخدمة بموجب الرقمين </w:t>
      </w:r>
      <w:r w:rsidR="009F250C" w:rsidRPr="0006484C">
        <w:rPr>
          <w:b/>
          <w:bCs/>
        </w:rPr>
        <w:t>44C.11</w:t>
      </w:r>
      <w:r w:rsidR="009F250C" w:rsidRPr="0006484C">
        <w:rPr>
          <w:rFonts w:hint="cs"/>
          <w:rtl/>
          <w:lang w:bidi="ar-EG"/>
        </w:rPr>
        <w:t xml:space="preserve"> أو </w:t>
      </w:r>
      <w:r w:rsidR="009F250C" w:rsidRPr="0006484C">
        <w:rPr>
          <w:b/>
          <w:bCs/>
          <w:lang w:bidi="ar-EG"/>
        </w:rPr>
        <w:t>44D.11</w:t>
      </w:r>
      <w:r w:rsidR="009F250C" w:rsidRPr="0006484C">
        <w:rPr>
          <w:rFonts w:hint="cs"/>
          <w:rtl/>
          <w:lang w:bidi="ar-EG"/>
        </w:rPr>
        <w:t xml:space="preserve"> </w:t>
      </w:r>
      <w:r w:rsidRPr="0006484C">
        <w:rPr>
          <w:rtl/>
        </w:rPr>
        <w:t xml:space="preserve">أو إعادة وضعها في الخدمة بموجب الرقم </w:t>
      </w:r>
      <w:r w:rsidR="009F250C" w:rsidRPr="0006484C">
        <w:rPr>
          <w:b/>
          <w:bCs/>
        </w:rPr>
        <w:t>49.11</w:t>
      </w:r>
      <w:r w:rsidRPr="0006484C">
        <w:rPr>
          <w:rtl/>
        </w:rPr>
        <w:t>، يجمع المكتب القيم المرصودة للأوج والحضيض وزاوية الميل من المعلومات المتاحة للعموم. وإذا لم تكن هذه المعلومات متاحة للعموم، يطلب المكتب من الإدارة المبلِّغة تقديم هذه المعلومات بموجب الرقم</w:t>
      </w:r>
      <w:r w:rsidR="009F250C" w:rsidRPr="0006484C">
        <w:rPr>
          <w:rFonts w:hint="cs"/>
          <w:rtl/>
        </w:rPr>
        <w:t> </w:t>
      </w:r>
      <w:r w:rsidR="009F250C" w:rsidRPr="0006484C">
        <w:rPr>
          <w:rFonts w:hint="cs"/>
          <w:b/>
          <w:bCs/>
          <w:rtl/>
        </w:rPr>
        <w:t>6.13</w:t>
      </w:r>
      <w:r w:rsidRPr="0006484C">
        <w:rPr>
          <w:rtl/>
        </w:rPr>
        <w:t>.</w:t>
      </w:r>
      <w:bookmarkStart w:id="31" w:name="lt_pId063"/>
      <w:bookmarkEnd w:id="30"/>
      <w:bookmarkEnd w:id="31"/>
    </w:p>
    <w:p w14:paraId="387FA02A" w14:textId="6B56A491" w:rsidR="009577F4" w:rsidRPr="0006484C" w:rsidRDefault="009577F4" w:rsidP="009F250C">
      <w:pPr>
        <w:rPr>
          <w:lang w:eastAsia="zh-TW" w:bidi="en-GB"/>
        </w:rPr>
      </w:pPr>
      <w:bookmarkStart w:id="32" w:name="lt_pId064"/>
      <w:r w:rsidRPr="0006484C">
        <w:rPr>
          <w:rtl/>
        </w:rPr>
        <w:t xml:space="preserve">ويتحقق المكتب بعد ذلك من الفرق بين القيم المرصودة والقيم المبلَّغ عنها ويطبق نفس قيم التفاوتات المحددة في الفقرة 6 من القرار </w:t>
      </w:r>
      <w:r w:rsidR="009F250C" w:rsidRPr="0006484C">
        <w:rPr>
          <w:b/>
          <w:bCs/>
          <w:lang w:val="en-GB"/>
        </w:rPr>
        <w:t>8 (WRC</w:t>
      </w:r>
      <w:r w:rsidR="009F250C" w:rsidRPr="0006484C">
        <w:rPr>
          <w:b/>
          <w:bCs/>
          <w:lang w:val="en-GB"/>
        </w:rPr>
        <w:noBreakHyphen/>
        <w:t>23)</w:t>
      </w:r>
      <w:bookmarkEnd w:id="32"/>
      <w:r w:rsidR="009F250C" w:rsidRPr="0006484C">
        <w:rPr>
          <w:rFonts w:hint="cs"/>
          <w:rtl/>
        </w:rPr>
        <w:t>:</w:t>
      </w:r>
    </w:p>
    <w:p w14:paraId="133043AD" w14:textId="18B5250B" w:rsidR="009577F4" w:rsidRPr="009F250C" w:rsidRDefault="009577F4" w:rsidP="009F250C">
      <w:pPr>
        <w:pStyle w:val="enumlev1"/>
        <w:rPr>
          <w:lang w:val="ar-SA" w:eastAsia="zh-TW" w:bidi="en-GB"/>
        </w:rPr>
      </w:pPr>
      <w:bookmarkStart w:id="33" w:name="_Hlk173763221"/>
      <w:r w:rsidRPr="009F250C">
        <w:t>–</w:t>
      </w:r>
      <w:r w:rsidRPr="009F250C">
        <w:rPr>
          <w:rtl/>
        </w:rPr>
        <w:tab/>
        <w:t>بالنسبة للأوج والحضيض</w:t>
      </w:r>
      <w:r w:rsidRPr="009F250C">
        <w:t>:</w:t>
      </w:r>
      <w:r w:rsidRPr="009F250C">
        <w:rPr>
          <w:rtl/>
        </w:rPr>
        <w:t xml:space="preserve"> 70 km (لارتفاع الأوج المبلَّغ عنه/ارتفاع الحضيض المبلَّغ عنه الذي يساوي أو يقل عن </w:t>
      </w:r>
      <w:r w:rsidR="009F250C">
        <w:t>2 000</w:t>
      </w:r>
      <w:r w:rsidRPr="009F250C">
        <w:rPr>
          <w:rtl/>
        </w:rPr>
        <w:t xml:space="preserve"> km) أو </w:t>
      </w:r>
      <w:r w:rsidR="009F250C">
        <w:rPr>
          <w:lang w:bidi="ar-EG"/>
        </w:rPr>
        <w:t>%5</w:t>
      </w:r>
      <w:r w:rsidRPr="009F250C">
        <w:rPr>
          <w:rtl/>
        </w:rPr>
        <w:t xml:space="preserve"> بالكيلومترات (لارتفاع الأوج المبلَّغ عنه/ارتفاع الحضيض المبلَّغ عنه الذي يزيد عن </w:t>
      </w:r>
      <w:r w:rsidR="009F250C">
        <w:t>2 000</w:t>
      </w:r>
      <w:r w:rsidRPr="009F250C">
        <w:rPr>
          <w:rtl/>
        </w:rPr>
        <w:t xml:space="preserve"> km)؛</w:t>
      </w:r>
      <w:bookmarkStart w:id="34" w:name="lt_pId066"/>
      <w:bookmarkStart w:id="35" w:name="lt_pId067"/>
      <w:bookmarkStart w:id="36" w:name="lt_pId068"/>
      <w:bookmarkEnd w:id="33"/>
      <w:bookmarkEnd w:id="34"/>
      <w:bookmarkEnd w:id="35"/>
      <w:bookmarkEnd w:id="36"/>
    </w:p>
    <w:p w14:paraId="3DA10436" w14:textId="13175C81" w:rsidR="009577F4" w:rsidRPr="009F250C" w:rsidRDefault="009577F4" w:rsidP="009F250C">
      <w:pPr>
        <w:pStyle w:val="enumlev1"/>
        <w:rPr>
          <w:lang w:val="ar-SA" w:eastAsia="zh-TW" w:bidi="en-GB"/>
        </w:rPr>
      </w:pPr>
      <w:r w:rsidRPr="009F250C">
        <w:t>–</w:t>
      </w:r>
      <w:r w:rsidRPr="009F250C">
        <w:rPr>
          <w:rtl/>
        </w:rPr>
        <w:tab/>
      </w:r>
      <w:r w:rsidR="009F250C">
        <w:rPr>
          <w:rFonts w:hint="cs"/>
          <w:rtl/>
        </w:rPr>
        <w:t>و</w:t>
      </w:r>
      <w:r w:rsidRPr="009F250C">
        <w:rPr>
          <w:rtl/>
        </w:rPr>
        <w:t>بالنسبة لزاوية الميل</w:t>
      </w:r>
      <w:r w:rsidRPr="009F250C">
        <w:t>:</w:t>
      </w:r>
      <w:r w:rsidRPr="009F250C">
        <w:rPr>
          <w:rtl/>
        </w:rPr>
        <w:t xml:space="preserve"> 2° (للارتفاع المبلغ عنه للأوج/الارتفاع المبلغ عنه للحضيض الذي يساوي أو يقل عن </w:t>
      </w:r>
      <w:r w:rsidR="009F250C">
        <w:t>2 000</w:t>
      </w:r>
      <w:r w:rsidR="009F250C">
        <w:rPr>
          <w:rFonts w:hint="cs"/>
          <w:rtl/>
        </w:rPr>
        <w:t> </w:t>
      </w:r>
      <w:r w:rsidRPr="009F250C">
        <w:rPr>
          <w:rtl/>
        </w:rPr>
        <w:t xml:space="preserve">km)، أو 3° (لارتفاع الأوج المبلَّغ عنه/ارتفاع الحضيض المبلَّغ عنه الذي يزيد عن </w:t>
      </w:r>
      <w:r w:rsidR="009F250C">
        <w:t>2 000</w:t>
      </w:r>
      <w:r w:rsidRPr="009F250C">
        <w:rPr>
          <w:rtl/>
        </w:rPr>
        <w:t xml:space="preserve"> km).</w:t>
      </w:r>
      <w:bookmarkStart w:id="37" w:name="lt_pId070"/>
      <w:bookmarkStart w:id="38" w:name="lt_pId071"/>
      <w:bookmarkEnd w:id="37"/>
      <w:bookmarkEnd w:id="38"/>
    </w:p>
    <w:p w14:paraId="652B6694" w14:textId="6D0F46BD" w:rsidR="009577F4" w:rsidRPr="009F250C" w:rsidRDefault="009577F4" w:rsidP="009F250C">
      <w:pPr>
        <w:rPr>
          <w:spacing w:val="-4"/>
          <w:szCs w:val="20"/>
          <w:lang w:val="ar-SA" w:eastAsia="zh-TW" w:bidi="en-GB"/>
        </w:rPr>
      </w:pPr>
      <w:bookmarkStart w:id="39" w:name="lt_pId072"/>
      <w:bookmarkStart w:id="40" w:name="_Hlk173280417"/>
      <w:r w:rsidRPr="009F250C">
        <w:rPr>
          <w:spacing w:val="-4"/>
          <w:rtl/>
        </w:rPr>
        <w:t>وفي حالة عدم استيفاء التفاوتات المذكورة أعلاه، يطلب المكتب توضيحا</w:t>
      </w:r>
      <w:r w:rsidR="009F250C" w:rsidRPr="009F250C">
        <w:rPr>
          <w:rFonts w:hint="cs"/>
          <w:spacing w:val="-4"/>
          <w:rtl/>
        </w:rPr>
        <w:t>ً</w:t>
      </w:r>
      <w:r w:rsidRPr="009F250C">
        <w:rPr>
          <w:spacing w:val="-4"/>
          <w:rtl/>
        </w:rPr>
        <w:t xml:space="preserve"> بموجب الأرقام </w:t>
      </w:r>
      <w:r w:rsidR="009F250C" w:rsidRPr="009F250C">
        <w:rPr>
          <w:b/>
          <w:bCs/>
          <w:spacing w:val="-4"/>
        </w:rPr>
        <w:t>3.44.11</w:t>
      </w:r>
      <w:r w:rsidR="009F250C" w:rsidRPr="009F250C">
        <w:rPr>
          <w:rFonts w:hint="cs"/>
          <w:b/>
          <w:bCs/>
          <w:spacing w:val="-4"/>
          <w:rtl/>
          <w:lang w:bidi="ar-EG"/>
        </w:rPr>
        <w:t xml:space="preserve"> </w:t>
      </w:r>
      <w:r w:rsidR="009F250C" w:rsidRPr="009F250C">
        <w:rPr>
          <w:rFonts w:hint="cs"/>
          <w:spacing w:val="-4"/>
          <w:rtl/>
          <w:lang w:bidi="ar-EG"/>
        </w:rPr>
        <w:t>أو</w:t>
      </w:r>
      <w:r w:rsidR="009F250C" w:rsidRPr="009F250C">
        <w:rPr>
          <w:rFonts w:hint="cs"/>
          <w:b/>
          <w:bCs/>
          <w:spacing w:val="-4"/>
          <w:rtl/>
          <w:lang w:bidi="ar-EG"/>
        </w:rPr>
        <w:t xml:space="preserve"> </w:t>
      </w:r>
      <w:r w:rsidR="009F250C" w:rsidRPr="009F250C">
        <w:rPr>
          <w:b/>
          <w:bCs/>
          <w:spacing w:val="-4"/>
          <w:lang w:bidi="ar-EG"/>
        </w:rPr>
        <w:t>2.44C.11</w:t>
      </w:r>
      <w:r w:rsidR="009F250C" w:rsidRPr="009F250C">
        <w:rPr>
          <w:rFonts w:hint="cs"/>
          <w:b/>
          <w:bCs/>
          <w:spacing w:val="-4"/>
          <w:rtl/>
          <w:lang w:bidi="ar-EG"/>
        </w:rPr>
        <w:t xml:space="preserve"> </w:t>
      </w:r>
      <w:r w:rsidR="009F250C" w:rsidRPr="009F250C">
        <w:rPr>
          <w:rFonts w:hint="cs"/>
          <w:spacing w:val="-4"/>
          <w:rtl/>
          <w:lang w:bidi="ar-EG"/>
        </w:rPr>
        <w:t>أو</w:t>
      </w:r>
      <w:r w:rsidR="009F250C" w:rsidRPr="009F250C">
        <w:rPr>
          <w:rFonts w:hint="cs"/>
          <w:b/>
          <w:bCs/>
          <w:spacing w:val="-4"/>
          <w:rtl/>
          <w:lang w:bidi="ar-EG"/>
        </w:rPr>
        <w:t xml:space="preserve"> </w:t>
      </w:r>
      <w:r w:rsidR="009F250C" w:rsidRPr="009F250C">
        <w:rPr>
          <w:b/>
          <w:bCs/>
          <w:spacing w:val="-4"/>
          <w:lang w:bidi="ar-EG"/>
        </w:rPr>
        <w:t>2.44D.11</w:t>
      </w:r>
      <w:r w:rsidR="009F250C" w:rsidRPr="009F250C">
        <w:rPr>
          <w:rFonts w:hint="cs"/>
          <w:b/>
          <w:bCs/>
          <w:spacing w:val="-4"/>
          <w:rtl/>
          <w:lang w:bidi="ar-EG"/>
        </w:rPr>
        <w:t xml:space="preserve"> </w:t>
      </w:r>
      <w:r w:rsidR="009F250C" w:rsidRPr="009F250C">
        <w:rPr>
          <w:rFonts w:hint="cs"/>
          <w:spacing w:val="-4"/>
          <w:rtl/>
          <w:lang w:bidi="ar-EG"/>
        </w:rPr>
        <w:t>أو</w:t>
      </w:r>
      <w:r w:rsidR="009F250C" w:rsidRPr="009F250C">
        <w:rPr>
          <w:rFonts w:hint="cs"/>
          <w:b/>
          <w:bCs/>
          <w:spacing w:val="-4"/>
          <w:rtl/>
          <w:lang w:bidi="ar-EG"/>
        </w:rPr>
        <w:t xml:space="preserve"> </w:t>
      </w:r>
      <w:r w:rsidR="009F250C" w:rsidRPr="009F250C">
        <w:rPr>
          <w:b/>
          <w:bCs/>
          <w:spacing w:val="-4"/>
          <w:lang w:bidi="ar-EG"/>
        </w:rPr>
        <w:t>6.13</w:t>
      </w:r>
      <w:r w:rsidRPr="009F250C">
        <w:rPr>
          <w:spacing w:val="-4"/>
          <w:rtl/>
        </w:rPr>
        <w:t>.</w:t>
      </w:r>
      <w:bookmarkEnd w:id="39"/>
    </w:p>
    <w:bookmarkEnd w:id="40"/>
    <w:p w14:paraId="4D0B293C" w14:textId="77777777" w:rsidR="009577F4" w:rsidRPr="00CD7972" w:rsidRDefault="009577F4" w:rsidP="009F250C">
      <w:pPr>
        <w:pStyle w:val="Heading1"/>
        <w:rPr>
          <w:szCs w:val="20"/>
          <w:lang w:val="ar-SA" w:eastAsia="zh-TW" w:bidi="en-GB"/>
        </w:rPr>
      </w:pPr>
      <w:r w:rsidRPr="0006484C">
        <w:rPr>
          <w:rtl/>
        </w:rPr>
        <w:lastRenderedPageBreak/>
        <w:t>2</w:t>
      </w:r>
      <w:r w:rsidRPr="00CD7972">
        <w:rPr>
          <w:rtl/>
        </w:rPr>
        <w:tab/>
        <w:t>الاستخدام المستمر</w:t>
      </w:r>
      <w:bookmarkStart w:id="41" w:name="lt_pId074"/>
      <w:bookmarkEnd w:id="41"/>
    </w:p>
    <w:p w14:paraId="4039CB19" w14:textId="17E9D54A" w:rsidR="009577F4" w:rsidRPr="004C5521" w:rsidRDefault="009577F4" w:rsidP="0006484C">
      <w:pPr>
        <w:rPr>
          <w:lang w:val="ar-SA" w:eastAsia="zh-TW" w:bidi="en-GB"/>
        </w:rPr>
      </w:pPr>
      <w:bookmarkStart w:id="42" w:name="lt_pId075"/>
      <w:r w:rsidRPr="004C5521">
        <w:rPr>
          <w:rtl/>
        </w:rPr>
        <w:t xml:space="preserve">ينظر المكتب أولا فيما إذا كانت المحطة الفضائية تستعمل الثبات في المدار للحفاظ على ارتفاعي الأوج والحضيض. ونظراً للزوم إدراج بند بيانات التذييل </w:t>
      </w:r>
      <w:r w:rsidRPr="004C5521">
        <w:rPr>
          <w:b/>
          <w:bCs/>
          <w:rtl/>
        </w:rPr>
        <w:t>4</w:t>
      </w:r>
      <w:r w:rsidRPr="004C5521">
        <w:rPr>
          <w:rtl/>
        </w:rPr>
        <w:t xml:space="preserve">، </w:t>
      </w:r>
      <w:r w:rsidR="004C5521" w:rsidRPr="004C5521">
        <w:t>A</w:t>
      </w:r>
      <w:r w:rsidR="004C5521" w:rsidRPr="004C5521">
        <w:rPr>
          <w:rFonts w:hint="cs"/>
          <w:rtl/>
          <w:lang w:bidi="ar-EG"/>
        </w:rPr>
        <w:t>.4.ب.4.ع</w:t>
      </w:r>
      <w:r w:rsidRPr="004C5521">
        <w:rPr>
          <w:rtl/>
        </w:rPr>
        <w:t>، في التبليغات عن الأنظمة غير المستقرة بالنسبة إلى الأرض المستلَمة اعتبارا</w:t>
      </w:r>
      <w:r w:rsidR="004C5521" w:rsidRPr="004C5521">
        <w:rPr>
          <w:rFonts w:hint="cs"/>
          <w:rtl/>
        </w:rPr>
        <w:t>ً</w:t>
      </w:r>
      <w:r w:rsidRPr="004C5521">
        <w:rPr>
          <w:rtl/>
        </w:rPr>
        <w:t xml:space="preserve"> من</w:t>
      </w:r>
      <w:r w:rsidR="0006484C">
        <w:rPr>
          <w:rFonts w:hint="cs"/>
          <w:rtl/>
        </w:rPr>
        <w:t> </w:t>
      </w:r>
      <w:r w:rsidRPr="004C5521">
        <w:rPr>
          <w:rtl/>
        </w:rPr>
        <w:t>1</w:t>
      </w:r>
      <w:r w:rsidR="004C5521" w:rsidRPr="004C5521">
        <w:rPr>
          <w:rFonts w:hint="cs"/>
          <w:rtl/>
        </w:rPr>
        <w:t> </w:t>
      </w:r>
      <w:r w:rsidRPr="004C5521">
        <w:rPr>
          <w:rtl/>
        </w:rPr>
        <w:t>يناير</w:t>
      </w:r>
      <w:r w:rsidR="004C5521" w:rsidRPr="004C5521">
        <w:rPr>
          <w:rFonts w:hint="cs"/>
          <w:rtl/>
        </w:rPr>
        <w:t> </w:t>
      </w:r>
      <w:r w:rsidRPr="004C5521">
        <w:rPr>
          <w:rtl/>
        </w:rPr>
        <w:t xml:space="preserve">2025، قررت اللجنة أن يسعى المكتب، فيما يتعلق بالتبليغات السابقة، إلى الحصول على هذا البيان من الإدارة المبلِّغة بموجب الرقم </w:t>
      </w:r>
      <w:r w:rsidR="004C5521" w:rsidRPr="004C5521">
        <w:rPr>
          <w:rFonts w:hint="cs"/>
          <w:b/>
          <w:bCs/>
          <w:rtl/>
        </w:rPr>
        <w:t>6.13</w:t>
      </w:r>
      <w:r w:rsidRPr="004C5521">
        <w:rPr>
          <w:rtl/>
        </w:rPr>
        <w:t>.</w:t>
      </w:r>
      <w:bookmarkStart w:id="43" w:name="lt_pId076"/>
      <w:bookmarkEnd w:id="42"/>
      <w:bookmarkEnd w:id="43"/>
    </w:p>
    <w:p w14:paraId="043151EE" w14:textId="38F19778" w:rsidR="009577F4" w:rsidRPr="004C5521" w:rsidRDefault="009577F4" w:rsidP="009F250C">
      <w:pPr>
        <w:rPr>
          <w:lang w:val="ar-SA" w:eastAsia="zh-TW" w:bidi="en-GB"/>
        </w:rPr>
      </w:pPr>
      <w:bookmarkStart w:id="44" w:name="lt_pId077"/>
      <w:r w:rsidRPr="004C5521">
        <w:rPr>
          <w:rtl/>
        </w:rPr>
        <w:t>ويجمع المكتب أيضا</w:t>
      </w:r>
      <w:r w:rsidR="003660BA">
        <w:rPr>
          <w:rFonts w:hint="cs"/>
          <w:rtl/>
        </w:rPr>
        <w:t>ً</w:t>
      </w:r>
      <w:r w:rsidRPr="004C5521">
        <w:rPr>
          <w:rtl/>
        </w:rPr>
        <w:t xml:space="preserve"> القيم المرصودة للأوج والحضيض وزاوية الميل من المعلومات المتاحة للعموم. وعندما لا تكون المعلومات متاحة للعموم، يطلب المكتب من الإدارة المبلِّغة تقديم هذه المعلومات بموجب الرقم </w:t>
      </w:r>
      <w:r w:rsidR="004C5521" w:rsidRPr="004C5521">
        <w:rPr>
          <w:b/>
          <w:bCs/>
        </w:rPr>
        <w:t>6.13</w:t>
      </w:r>
      <w:r w:rsidRPr="004C5521">
        <w:rPr>
          <w:rtl/>
        </w:rPr>
        <w:t>.</w:t>
      </w:r>
      <w:bookmarkStart w:id="45" w:name="lt_pId078"/>
      <w:bookmarkEnd w:id="44"/>
      <w:bookmarkEnd w:id="45"/>
    </w:p>
    <w:p w14:paraId="7320D4C0" w14:textId="01A44A37" w:rsidR="009577F4" w:rsidRPr="004C5521" w:rsidRDefault="004C5521" w:rsidP="004C5521">
      <w:pPr>
        <w:pStyle w:val="Heading2"/>
        <w:rPr>
          <w:lang w:val="ar-SA" w:eastAsia="zh-TW" w:bidi="en-GB"/>
        </w:rPr>
      </w:pPr>
      <w:r>
        <w:rPr>
          <w:rFonts w:hint="cs"/>
          <w:rtl/>
        </w:rPr>
        <w:t>1.2</w:t>
      </w:r>
      <w:r w:rsidR="009577F4" w:rsidRPr="004C5521">
        <w:rPr>
          <w:rtl/>
        </w:rPr>
        <w:tab/>
        <w:t>الحالات التي يُستعمل فيها الثبات في المدار</w:t>
      </w:r>
      <w:bookmarkStart w:id="46" w:name="lt_pId080"/>
      <w:bookmarkEnd w:id="46"/>
    </w:p>
    <w:p w14:paraId="4D8EB9EB" w14:textId="77777777" w:rsidR="009577F4" w:rsidRPr="004C5521" w:rsidRDefault="009577F4" w:rsidP="009F250C">
      <w:pPr>
        <w:rPr>
          <w:lang w:val="ar-SA" w:eastAsia="zh-TW" w:bidi="en-GB"/>
        </w:rPr>
      </w:pPr>
      <w:bookmarkStart w:id="47" w:name="lt_pId081"/>
      <w:r w:rsidRPr="004C5521">
        <w:rPr>
          <w:rtl/>
        </w:rPr>
        <w:t>إذا استُخدم الثبات في المدار للحفاظ على ارتفاعي الأوج والحضيض، يتحقق المكتب من إبقاء الساتل في المستوي المداري الذي وُضع منه في الخدمة أو أعيد منه وضعه في الخدمة، ويتحقق أيضاً مما يلي:</w:t>
      </w:r>
      <w:bookmarkEnd w:id="47"/>
    </w:p>
    <w:p w14:paraId="777F430F" w14:textId="77777777" w:rsidR="009577F4" w:rsidRPr="004C5521" w:rsidRDefault="009577F4" w:rsidP="004C5521">
      <w:pPr>
        <w:pStyle w:val="enumlev1"/>
        <w:rPr>
          <w:lang w:val="ar-SA" w:eastAsia="zh-TW" w:bidi="en-GB"/>
        </w:rPr>
      </w:pPr>
      <w:r w:rsidRPr="004C5521">
        <w:t>–</w:t>
      </w:r>
      <w:r w:rsidRPr="004C5521">
        <w:rPr>
          <w:rtl/>
        </w:rPr>
        <w:tab/>
        <w:t>أن الفرق بين المسافة المرصودة إلى الأوج (أو الحضيض) والمسافة المحسوبة إلى الأوج (أو الحضيض) من الخصائص المبلغ عنها للنظام الساتلي، في وقت وضعه في الخدمة أو إعادة وضعه في الخدمة، أقل من أو يساوي 30 km؛</w:t>
      </w:r>
      <w:bookmarkStart w:id="48" w:name="lt_pId083"/>
      <w:bookmarkEnd w:id="48"/>
    </w:p>
    <w:p w14:paraId="683C9CB8" w14:textId="77777777" w:rsidR="009577F4" w:rsidRPr="004C5521" w:rsidRDefault="009577F4" w:rsidP="004C5521">
      <w:pPr>
        <w:pStyle w:val="enumlev1"/>
        <w:rPr>
          <w:lang w:val="ar-SA" w:eastAsia="zh-TW" w:bidi="en-GB"/>
        </w:rPr>
      </w:pPr>
      <w:r w:rsidRPr="004C5521">
        <w:t>–</w:t>
      </w:r>
      <w:r w:rsidRPr="004C5521">
        <w:rPr>
          <w:rtl/>
        </w:rPr>
        <w:tab/>
        <w:t>أن الفرق بين زاوية ميل المستوي المداري المرصودة وزاوية الميل المبلَّغ عنها وقت الوضع في الخدمة أو معاودة الوضع في الخدمة أقل من أو يساوي 2° لارتفاع أوج/حضيض مبلَّغ عنه بمقدار km 2 000، أو 3° لارتفاع أوج/حضيض مبلَّغ عنه يزيد عن km 2 000.</w:t>
      </w:r>
      <w:bookmarkStart w:id="49" w:name="lt_pId085"/>
      <w:bookmarkEnd w:id="49"/>
    </w:p>
    <w:p w14:paraId="78552BDC" w14:textId="274CB036" w:rsidR="009577F4" w:rsidRPr="004C5521" w:rsidRDefault="009577F4" w:rsidP="009F250C">
      <w:pPr>
        <w:rPr>
          <w:lang w:val="ar-SA" w:eastAsia="zh-TW" w:bidi="en-GB"/>
        </w:rPr>
      </w:pPr>
      <w:bookmarkStart w:id="50" w:name="lt_pId086"/>
      <w:r w:rsidRPr="004C5521">
        <w:rPr>
          <w:rtl/>
        </w:rPr>
        <w:t>وفي حال تجاوز الفروق المذكورة أعلاه، يطلب المكتب توضيحا</w:t>
      </w:r>
      <w:r w:rsidR="003660BA">
        <w:rPr>
          <w:rFonts w:hint="cs"/>
          <w:rtl/>
        </w:rPr>
        <w:t>ً</w:t>
      </w:r>
      <w:r w:rsidRPr="004C5521">
        <w:rPr>
          <w:rtl/>
        </w:rPr>
        <w:t xml:space="preserve"> من الإدارة المبلِّغة بموجب الرقم </w:t>
      </w:r>
      <w:bookmarkEnd w:id="50"/>
      <w:r w:rsidR="004C5521" w:rsidRPr="004C5521">
        <w:rPr>
          <w:b/>
          <w:bCs/>
        </w:rPr>
        <w:t>6.13</w:t>
      </w:r>
      <w:r w:rsidR="004C5521" w:rsidRPr="004C5521">
        <w:rPr>
          <w:rtl/>
        </w:rPr>
        <w:t>.</w:t>
      </w:r>
    </w:p>
    <w:p w14:paraId="7680A223" w14:textId="22E63AA5" w:rsidR="009577F4" w:rsidRPr="004C5521" w:rsidRDefault="0006484C" w:rsidP="0006484C">
      <w:pPr>
        <w:pStyle w:val="Heading2"/>
        <w:rPr>
          <w:lang w:val="ar-SA" w:eastAsia="zh-TW" w:bidi="en-GB"/>
        </w:rPr>
      </w:pPr>
      <w:r>
        <w:rPr>
          <w:rFonts w:hint="cs"/>
          <w:rtl/>
        </w:rPr>
        <w:t>2.2</w:t>
      </w:r>
      <w:r w:rsidR="009577F4" w:rsidRPr="004C5521">
        <w:rPr>
          <w:rtl/>
        </w:rPr>
        <w:tab/>
        <w:t>الحالات التي لا يُستعمل فيها الثبات في المدار</w:t>
      </w:r>
      <w:bookmarkStart w:id="51" w:name="lt_pId088"/>
      <w:bookmarkEnd w:id="51"/>
    </w:p>
    <w:p w14:paraId="3FD90570" w14:textId="3749045C" w:rsidR="009577F4" w:rsidRPr="004C5521" w:rsidRDefault="009577F4" w:rsidP="009F250C">
      <w:pPr>
        <w:rPr>
          <w:lang w:val="ar-SA" w:eastAsia="zh-TW" w:bidi="en-GB"/>
        </w:rPr>
      </w:pPr>
      <w:bookmarkStart w:id="52" w:name="lt_pId089"/>
      <w:r w:rsidRPr="004C5521">
        <w:rPr>
          <w:rtl/>
        </w:rPr>
        <w:t xml:space="preserve">إذا لم يٌستخدم الثبات في المدار للحفاظ على ارتفاعي الأوج والحضيض، يتحقق المكتب مما إذا كان الارتفاع المرصود للمحطة الفضائية أعلى من الارتفاع التشغيلي الأدنى المبلغ عنه (انظر بند البيانات </w:t>
      </w:r>
      <w:r w:rsidR="004C5521" w:rsidRPr="004C5521">
        <w:t>A</w:t>
      </w:r>
      <w:r w:rsidR="004C5521" w:rsidRPr="004C5521">
        <w:rPr>
          <w:rFonts w:hint="cs"/>
          <w:rtl/>
          <w:lang w:bidi="ar-EG"/>
        </w:rPr>
        <w:t>.4.ب.4.</w:t>
      </w:r>
      <w:r w:rsidR="004C5521">
        <w:rPr>
          <w:rFonts w:hint="cs"/>
          <w:rtl/>
          <w:lang w:bidi="ar-EG"/>
        </w:rPr>
        <w:t>و</w:t>
      </w:r>
      <w:r w:rsidRPr="004C5521">
        <w:rPr>
          <w:rtl/>
        </w:rPr>
        <w:t xml:space="preserve"> من التذييل </w:t>
      </w:r>
      <w:r w:rsidRPr="004C5521">
        <w:rPr>
          <w:b/>
          <w:bCs/>
          <w:rtl/>
        </w:rPr>
        <w:t>4</w:t>
      </w:r>
      <w:r w:rsidRPr="004C5521">
        <w:rPr>
          <w:rtl/>
        </w:rPr>
        <w:t xml:space="preserve">). وإذا لم يكن الأمر كذلك، يطلب المكتب من الإدارة المبلِّغة إلغاء تخصيصات الترددات أو تقديم تعديل بموجب الرقم </w:t>
      </w:r>
      <w:r w:rsidRPr="004C5521">
        <w:rPr>
          <w:b/>
          <w:bCs/>
          <w:rtl/>
        </w:rPr>
        <w:t>43A.11</w:t>
      </w:r>
      <w:r w:rsidRPr="004C5521">
        <w:rPr>
          <w:rtl/>
        </w:rPr>
        <w:t>.</w:t>
      </w:r>
      <w:bookmarkStart w:id="53" w:name="lt_pId090"/>
      <w:bookmarkEnd w:id="52"/>
      <w:bookmarkEnd w:id="53"/>
    </w:p>
    <w:p w14:paraId="03B262BF" w14:textId="17BBCC0B" w:rsidR="009577F4" w:rsidRPr="004C5521" w:rsidRDefault="009577F4" w:rsidP="004C5521">
      <w:pPr>
        <w:rPr>
          <w:rFonts w:eastAsia="SimSun"/>
          <w:i/>
          <w:iCs/>
          <w:lang w:val="ar-SA" w:eastAsia="zh-TW" w:bidi="en-GB"/>
        </w:rPr>
      </w:pPr>
      <w:bookmarkStart w:id="54" w:name="lt_pId091"/>
      <w:r w:rsidRPr="004C5521">
        <w:rPr>
          <w:b/>
          <w:bCs/>
          <w:i/>
          <w:iCs/>
          <w:rtl/>
        </w:rPr>
        <w:t>الأسباب:</w:t>
      </w:r>
      <w:r w:rsidRPr="004C5521">
        <w:rPr>
          <w:i/>
          <w:iCs/>
          <w:rtl/>
        </w:rPr>
        <w:t xml:space="preserve"> توثيق ممارسة المكتب فيما يتعلق بالتفاوتات المدارية للأنظمة الساتلية غير الخاضعة للقرار </w:t>
      </w:r>
      <w:r w:rsidR="004C5521" w:rsidRPr="004C5521">
        <w:rPr>
          <w:b/>
          <w:bCs/>
          <w:i/>
          <w:iCs/>
          <w:lang w:val="en-GB"/>
        </w:rPr>
        <w:t>8 (WRC</w:t>
      </w:r>
      <w:r w:rsidR="004C5521" w:rsidRPr="004C5521">
        <w:rPr>
          <w:b/>
          <w:bCs/>
          <w:i/>
          <w:iCs/>
          <w:lang w:val="en-GB"/>
        </w:rPr>
        <w:noBreakHyphen/>
        <w:t>23)</w:t>
      </w:r>
      <w:r w:rsidRPr="004C5521">
        <w:rPr>
          <w:i/>
          <w:iCs/>
          <w:rtl/>
        </w:rPr>
        <w:t>.</w:t>
      </w:r>
      <w:bookmarkStart w:id="55" w:name="lt_pId092"/>
      <w:bookmarkEnd w:id="54"/>
      <w:bookmarkEnd w:id="55"/>
    </w:p>
    <w:p w14:paraId="6D82F0AE" w14:textId="77777777" w:rsidR="009577F4" w:rsidRPr="004C5521" w:rsidRDefault="009577F4" w:rsidP="009F250C">
      <w:pPr>
        <w:rPr>
          <w:i/>
          <w:iCs/>
          <w:lang w:val="ar-SA" w:eastAsia="zh-TW" w:bidi="en-GB"/>
        </w:rPr>
      </w:pPr>
      <w:bookmarkStart w:id="56" w:name="lt_pId093"/>
      <w:r w:rsidRPr="004C5521">
        <w:rPr>
          <w:i/>
          <w:iCs/>
          <w:rtl/>
        </w:rPr>
        <w:t>تاريخ سريان تطبيق هذه القاعدة</w:t>
      </w:r>
      <w:r w:rsidRPr="004C5521">
        <w:rPr>
          <w:i/>
          <w:iCs/>
        </w:rPr>
        <w:t>:</w:t>
      </w:r>
      <w:r w:rsidRPr="004C5521">
        <w:rPr>
          <w:i/>
          <w:iCs/>
          <w:rtl/>
        </w:rPr>
        <w:t xml:space="preserve"> 1 يناير 2025.</w:t>
      </w:r>
      <w:bookmarkStart w:id="57" w:name="lt_pId094"/>
      <w:bookmarkEnd w:id="56"/>
      <w:bookmarkEnd w:id="57"/>
    </w:p>
    <w:p w14:paraId="5358455C" w14:textId="77777777" w:rsidR="009577F4" w:rsidRPr="00CD7972" w:rsidRDefault="009577F4" w:rsidP="004C5521">
      <w:pPr>
        <w:rPr>
          <w:lang w:val="en-GB"/>
        </w:rPr>
      </w:pPr>
      <w:r w:rsidRPr="00CD7972">
        <w:rPr>
          <w:lang w:val="en-GB"/>
        </w:rPr>
        <w:br w:type="page"/>
      </w:r>
    </w:p>
    <w:p w14:paraId="7C69C7E4" w14:textId="427E88EC" w:rsidR="009577F4" w:rsidRPr="004C5521" w:rsidRDefault="009577F4" w:rsidP="004C5521">
      <w:pPr>
        <w:pStyle w:val="Annextitle"/>
        <w:rPr>
          <w:lang w:val="ar-SA" w:eastAsia="zh-TW" w:bidi="en-GB"/>
        </w:rPr>
      </w:pPr>
      <w:bookmarkStart w:id="58" w:name="lt_pId095"/>
      <w:r w:rsidRPr="004C5521">
        <w:rPr>
          <w:rtl/>
        </w:rPr>
        <w:lastRenderedPageBreak/>
        <w:t>الملحق 2</w:t>
      </w:r>
      <w:r w:rsidR="004C5521">
        <w:rPr>
          <w:rtl/>
        </w:rPr>
        <w:br/>
      </w:r>
      <w:r w:rsidR="004C5521">
        <w:rPr>
          <w:rtl/>
        </w:rPr>
        <w:br/>
      </w:r>
      <w:r w:rsidRPr="004C5521">
        <w:rPr>
          <w:rtl/>
        </w:rPr>
        <w:t xml:space="preserve">إضافة قواعد إجرائية جديدة بشأن القرار </w:t>
      </w:r>
      <w:bookmarkStart w:id="59" w:name="lt_pId096"/>
      <w:bookmarkEnd w:id="58"/>
      <w:bookmarkEnd w:id="59"/>
      <w:r w:rsidR="004C5521">
        <w:t>35 (WRC-19)</w:t>
      </w:r>
    </w:p>
    <w:p w14:paraId="01265E22" w14:textId="77777777" w:rsidR="009577F4" w:rsidRPr="004C5521" w:rsidRDefault="009577F4" w:rsidP="004C5521">
      <w:pPr>
        <w:rPr>
          <w:b/>
          <w:bCs/>
          <w:lang w:val="ar-SA" w:eastAsia="zh-TW" w:bidi="en-GB"/>
        </w:rPr>
      </w:pPr>
      <w:bookmarkStart w:id="60" w:name="lt_pId097"/>
      <w:r w:rsidRPr="004C5521">
        <w:rPr>
          <w:b/>
          <w:bCs/>
        </w:rPr>
        <w:t>ADD</w:t>
      </w:r>
      <w:bookmarkEnd w:id="60"/>
    </w:p>
    <w:p w14:paraId="6A6798F9" w14:textId="77777777" w:rsidR="0006484C" w:rsidRDefault="009577F4" w:rsidP="0006484C">
      <w:pPr>
        <w:pStyle w:val="Articletitle"/>
        <w:rPr>
          <w:rtl/>
        </w:rPr>
      </w:pPr>
      <w:bookmarkStart w:id="61" w:name="lt_pId098"/>
      <w:r w:rsidRPr="004C5521">
        <w:rPr>
          <w:rtl/>
        </w:rPr>
        <w:t>القواعد المتعلقة</w:t>
      </w:r>
    </w:p>
    <w:p w14:paraId="37F5EBD5" w14:textId="09039B40" w:rsidR="009577F4" w:rsidRPr="004C5521" w:rsidRDefault="009577F4" w:rsidP="0006484C">
      <w:pPr>
        <w:pStyle w:val="Articletitle"/>
        <w:rPr>
          <w:caps/>
          <w:lang w:val="ar-SA" w:eastAsia="zh-TW" w:bidi="en-GB"/>
        </w:rPr>
      </w:pPr>
      <w:r w:rsidRPr="004C5521">
        <w:rPr>
          <w:rtl/>
        </w:rPr>
        <w:t xml:space="preserve">بالقرار </w:t>
      </w:r>
      <w:bookmarkStart w:id="62" w:name="lt_pId099"/>
      <w:bookmarkEnd w:id="61"/>
      <w:bookmarkEnd w:id="62"/>
      <w:r w:rsidR="004C5521" w:rsidRPr="004C5521">
        <w:t>35 (WRC-19)</w:t>
      </w:r>
    </w:p>
    <w:p w14:paraId="70652E08" w14:textId="2609798F" w:rsidR="009577F4" w:rsidRPr="004C5521" w:rsidRDefault="009577F4" w:rsidP="0006484C">
      <w:pPr>
        <w:pStyle w:val="Articletitle"/>
        <w:rPr>
          <w:lang w:val="ar-SA" w:eastAsia="zh-TW" w:bidi="en-GB"/>
        </w:rPr>
      </w:pPr>
      <w:bookmarkStart w:id="63" w:name="lt_pId100"/>
      <w:r w:rsidRPr="004C5521">
        <w:rPr>
          <w:rtl/>
        </w:rPr>
        <w:t xml:space="preserve">نهج قائم على المَعلمات لتنفيذ تخصيصات ترددات المحطات الفضائية </w:t>
      </w:r>
      <w:r w:rsidR="0006484C">
        <w:rPr>
          <w:rtl/>
        </w:rPr>
        <w:br/>
      </w:r>
      <w:r w:rsidRPr="004C5521">
        <w:rPr>
          <w:rtl/>
        </w:rPr>
        <w:t>في نظام ساتلي غير مستقر بالنسبة إلى الأرض في نطاقات ترددات وخدمات محددة</w:t>
      </w:r>
      <w:bookmarkStart w:id="64" w:name="lt_pId101"/>
      <w:bookmarkStart w:id="65" w:name="lt_pId102"/>
      <w:bookmarkEnd w:id="63"/>
      <w:bookmarkEnd w:id="64"/>
      <w:bookmarkEnd w:id="65"/>
    </w:p>
    <w:p w14:paraId="74A3E489" w14:textId="4410CFD9" w:rsidR="009577F4" w:rsidRPr="004C5521" w:rsidRDefault="009577F4" w:rsidP="004C5521">
      <w:pPr>
        <w:rPr>
          <w:lang w:val="ar-SA" w:eastAsia="zh-TW" w:bidi="en-GB"/>
        </w:rPr>
      </w:pPr>
      <w:bookmarkStart w:id="66" w:name="lt_pId103"/>
      <w:r w:rsidRPr="004C5521">
        <w:rPr>
          <w:rtl/>
        </w:rPr>
        <w:t xml:space="preserve">لتطبيق الفقرة 17 </w:t>
      </w:r>
      <w:r w:rsidRPr="004C5521">
        <w:rPr>
          <w:i/>
          <w:iCs/>
          <w:rtl/>
        </w:rPr>
        <w:t>ب)</w:t>
      </w:r>
      <w:r w:rsidR="004C5521">
        <w:rPr>
          <w:rFonts w:hint="cs"/>
          <w:rtl/>
          <w:lang w:bidi="ar-EG"/>
        </w:rPr>
        <w:t xml:space="preserve">’1‘ </w:t>
      </w:r>
      <w:r w:rsidRPr="004C5521">
        <w:rPr>
          <w:rtl/>
        </w:rPr>
        <w:t xml:space="preserve">من القرار </w:t>
      </w:r>
      <w:r w:rsidR="004C5521" w:rsidRPr="004C5521">
        <w:rPr>
          <w:b/>
          <w:bCs/>
        </w:rPr>
        <w:t>35 (WRC-19)</w:t>
      </w:r>
      <w:r w:rsidRPr="004C5521">
        <w:rPr>
          <w:rtl/>
        </w:rPr>
        <w:t>، تفهم اللجنة أن جميع السواتل في أي مستوٍ مداري، غير المدرجة في آخر معلومات النشر الكاملة، وجميع المستوِيات المدارية التي لم يُدرج ضمنها أي ساتل في آخر معلومات النشر الكاملة، والمبلَّغ بموجب الفقرات 2 أو 3 أو 7 أو 8</w:t>
      </w:r>
      <w:r w:rsidR="004C5521">
        <w:rPr>
          <w:rFonts w:hint="cs"/>
          <w:rtl/>
        </w:rPr>
        <w:t xml:space="preserve"> من "</w:t>
      </w:r>
      <w:r w:rsidR="004C5521" w:rsidRPr="004C5521">
        <w:rPr>
          <w:rFonts w:hint="cs"/>
          <w:i/>
          <w:iCs/>
          <w:rtl/>
        </w:rPr>
        <w:t>يقرر</w:t>
      </w:r>
      <w:r w:rsidR="004C5521">
        <w:rPr>
          <w:rFonts w:hint="cs"/>
          <w:rtl/>
        </w:rPr>
        <w:t>"</w:t>
      </w:r>
      <w:r w:rsidRPr="004C5521">
        <w:rPr>
          <w:rtl/>
        </w:rPr>
        <w:t xml:space="preserve">، حسب الاقتضاء، من القرار </w:t>
      </w:r>
      <w:r w:rsidR="004C5521" w:rsidRPr="004C5521">
        <w:rPr>
          <w:b/>
          <w:bCs/>
        </w:rPr>
        <w:t>35 (WRC-19)</w:t>
      </w:r>
      <w:r w:rsidRPr="004C5521">
        <w:rPr>
          <w:rtl/>
        </w:rPr>
        <w:t>، ستلغى من بطاقة التبليغ. وبالتالي، سيتعين أيضا</w:t>
      </w:r>
      <w:r w:rsidR="003660BA">
        <w:rPr>
          <w:rFonts w:hint="cs"/>
          <w:rtl/>
        </w:rPr>
        <w:t>ً</w:t>
      </w:r>
      <w:r w:rsidRPr="004C5521">
        <w:rPr>
          <w:rtl/>
        </w:rPr>
        <w:t xml:space="preserve"> إلغاء أي حزم ومجموعات من تخصيصات الترددات المرتبطة حصراً بهذه المستوِيات أو السواتل المدارية.</w:t>
      </w:r>
      <w:bookmarkStart w:id="67" w:name="lt_pId104"/>
      <w:bookmarkEnd w:id="66"/>
      <w:bookmarkEnd w:id="67"/>
    </w:p>
    <w:p w14:paraId="4E8350E2" w14:textId="7C189A85" w:rsidR="009577F4" w:rsidRPr="004C5521" w:rsidRDefault="009577F4" w:rsidP="004C5521">
      <w:pPr>
        <w:rPr>
          <w:lang w:val="ar-SA" w:eastAsia="zh-TW" w:bidi="en-GB"/>
        </w:rPr>
      </w:pPr>
      <w:bookmarkStart w:id="68" w:name="lt_pId105"/>
      <w:r w:rsidRPr="004C5521">
        <w:rPr>
          <w:rtl/>
        </w:rPr>
        <w:t xml:space="preserve">وفيما يتعلق بتخصيصات الترددات التي كانت المرتبطة بالمستويات المدارية والسواتل المتبقية، وبما أن التعديلات على الخصائص المبلغ عنها للنظام الساتلي المنصوص عليها في الفقرة 11 من القرار </w:t>
      </w:r>
      <w:r w:rsidR="004C5521" w:rsidRPr="004C5521">
        <w:rPr>
          <w:b/>
          <w:bCs/>
        </w:rPr>
        <w:t>35 (WRC-19)</w:t>
      </w:r>
      <w:r w:rsidRPr="004C5521">
        <w:rPr>
          <w:rtl/>
        </w:rPr>
        <w:t xml:space="preserve"> لم تقدَّم بعد الفشل في بلوغ المراحل المحددة، خلصت اللجنة إلى وجوب تطبيق الفقرة 17 </w:t>
      </w:r>
      <w:r w:rsidRPr="004C5521">
        <w:rPr>
          <w:i/>
          <w:iCs/>
          <w:rtl/>
        </w:rPr>
        <w:t>ب)</w:t>
      </w:r>
      <w:r w:rsidRPr="004C5521">
        <w:rPr>
          <w:rtl/>
        </w:rPr>
        <w:t xml:space="preserve">’2‘ من </w:t>
      </w:r>
      <w:r w:rsidR="004C5521">
        <w:rPr>
          <w:rFonts w:hint="cs"/>
          <w:rtl/>
        </w:rPr>
        <w:t>"</w:t>
      </w:r>
      <w:r w:rsidRPr="004C5521">
        <w:rPr>
          <w:i/>
          <w:iCs/>
          <w:rtl/>
        </w:rPr>
        <w:t>يقرر</w:t>
      </w:r>
      <w:r w:rsidR="004C5521">
        <w:rPr>
          <w:rFonts w:hint="cs"/>
          <w:rtl/>
        </w:rPr>
        <w:t>"</w:t>
      </w:r>
      <w:r w:rsidRPr="004C5521">
        <w:rPr>
          <w:rtl/>
        </w:rPr>
        <w:t xml:space="preserve">، وبالتالي إدراج رمز في حقل "الملاحظات" يبين أن تخصيصات الترددات هذه لا تلتزم بالقرار </w:t>
      </w:r>
      <w:r w:rsidR="004C5521" w:rsidRPr="004C5521">
        <w:rPr>
          <w:b/>
          <w:bCs/>
        </w:rPr>
        <w:t>35 (WRC-19)</w:t>
      </w:r>
      <w:r w:rsidRPr="004C5521">
        <w:rPr>
          <w:rtl/>
        </w:rPr>
        <w:t xml:space="preserve"> ولن تؤخذ في الاعتبار في عمليات التفحص اللاحقة بموجب الأرقام</w:t>
      </w:r>
      <w:r w:rsidR="004C5521">
        <w:rPr>
          <w:rFonts w:hint="cs"/>
          <w:rtl/>
        </w:rPr>
        <w:t> </w:t>
      </w:r>
      <w:r w:rsidR="004C5521" w:rsidRPr="004C5521">
        <w:rPr>
          <w:b/>
          <w:bCs/>
        </w:rPr>
        <w:t>36.9</w:t>
      </w:r>
      <w:r w:rsidR="004C5521" w:rsidRPr="004C5521">
        <w:rPr>
          <w:rFonts w:hint="cs"/>
          <w:b/>
          <w:bCs/>
          <w:rtl/>
          <w:lang w:bidi="ar-EG"/>
        </w:rPr>
        <w:t xml:space="preserve"> </w:t>
      </w:r>
      <w:r w:rsidR="004C5521" w:rsidRPr="004C5521">
        <w:rPr>
          <w:rFonts w:hint="cs"/>
          <w:rtl/>
          <w:lang w:bidi="ar-EG"/>
        </w:rPr>
        <w:t>أو</w:t>
      </w:r>
      <w:r w:rsidR="004C5521" w:rsidRPr="004C5521">
        <w:rPr>
          <w:rFonts w:hint="cs"/>
          <w:b/>
          <w:bCs/>
          <w:rtl/>
          <w:lang w:bidi="ar-EG"/>
        </w:rPr>
        <w:t xml:space="preserve"> </w:t>
      </w:r>
      <w:r w:rsidR="004C5521" w:rsidRPr="004C5521">
        <w:rPr>
          <w:b/>
          <w:bCs/>
          <w:lang w:bidi="ar-EG"/>
        </w:rPr>
        <w:t>32.11</w:t>
      </w:r>
      <w:r w:rsidRPr="004C5521">
        <w:rPr>
          <w:b/>
          <w:bCs/>
          <w:rtl/>
        </w:rPr>
        <w:t xml:space="preserve"> </w:t>
      </w:r>
      <w:r w:rsidRPr="004C5521">
        <w:rPr>
          <w:rtl/>
        </w:rPr>
        <w:t>أو</w:t>
      </w:r>
      <w:r w:rsidRPr="004C5521">
        <w:rPr>
          <w:b/>
          <w:bCs/>
          <w:rtl/>
        </w:rPr>
        <w:t xml:space="preserve"> 32A.11</w:t>
      </w:r>
      <w:r w:rsidRPr="004C5521">
        <w:rPr>
          <w:rtl/>
        </w:rPr>
        <w:t xml:space="preserve">. وستزال المعلومات المسجلة تحت تاريخ الحماية أو "تاريخ 2D" (أي التاريخ الذي يؤخذ فيه تخصيص الترددات في الاعتبار على النحو المحدد في الفقرة 1 </w:t>
      </w:r>
      <w:r w:rsidRPr="004C5521">
        <w:rPr>
          <w:i/>
          <w:iCs/>
          <w:rtl/>
        </w:rPr>
        <w:t>هـ)</w:t>
      </w:r>
      <w:r w:rsidRPr="004C5521">
        <w:rPr>
          <w:rtl/>
        </w:rPr>
        <w:t xml:space="preserve"> من التذييل </w:t>
      </w:r>
      <w:r w:rsidRPr="004C5521">
        <w:rPr>
          <w:b/>
          <w:bCs/>
          <w:rtl/>
        </w:rPr>
        <w:t>5</w:t>
      </w:r>
      <w:r w:rsidRPr="004C5521">
        <w:rPr>
          <w:rtl/>
        </w:rPr>
        <w:t>) والمعلومات المتعلقة بحالة اتفاق التنسيق بالنسبة لتخصيصات الترددات تلك.</w:t>
      </w:r>
      <w:bookmarkStart w:id="69" w:name="lt_pId106"/>
      <w:bookmarkEnd w:id="68"/>
      <w:bookmarkEnd w:id="69"/>
    </w:p>
    <w:p w14:paraId="1EC2C459" w14:textId="77777777" w:rsidR="009577F4" w:rsidRPr="004C5521" w:rsidRDefault="009577F4" w:rsidP="004C5521">
      <w:pPr>
        <w:rPr>
          <w:lang w:val="ar-SA" w:eastAsia="zh-TW" w:bidi="en-GB"/>
        </w:rPr>
      </w:pPr>
      <w:bookmarkStart w:id="70" w:name="lt_pId107"/>
      <w:r w:rsidRPr="004C5521">
        <w:rPr>
          <w:rtl/>
        </w:rPr>
        <w:t xml:space="preserve">وعقب هذه الإجراءات، أفادت اللجنة أن تخصيصات الترددات هذه ستسجل في السجل الأساسي للعلم فقط ويجب ألاّ تتسبب في تداخل ضار بمحطة تعمل وفقاً للوائح الراديو، وألا تطالب بالحماية من تداخل ضار تسببه تلك المحطة، على غرار تسجيل مقرون بطلب تطبيق الرقم </w:t>
      </w:r>
      <w:r w:rsidRPr="004C5521">
        <w:rPr>
          <w:b/>
          <w:bCs/>
          <w:rtl/>
        </w:rPr>
        <w:t>4.4</w:t>
      </w:r>
      <w:r w:rsidRPr="004C5521">
        <w:rPr>
          <w:rtl/>
        </w:rPr>
        <w:t>. وكلفت اللجنة المكتب بنشر أحدث حالة لتخصيصات الترددات هذه في النشرة الإعلامية الدولية للترددات الصادرة عن مكتب الاتصالات الراديوية (BR IFIC).</w:t>
      </w:r>
      <w:bookmarkStart w:id="71" w:name="lt_pId108"/>
      <w:bookmarkEnd w:id="70"/>
      <w:bookmarkEnd w:id="71"/>
    </w:p>
    <w:p w14:paraId="30F3406E" w14:textId="17515ADC" w:rsidR="009577F4" w:rsidRPr="004C5521" w:rsidRDefault="009577F4" w:rsidP="004C5521">
      <w:pPr>
        <w:rPr>
          <w:lang w:val="ar-SA" w:eastAsia="zh-TW" w:bidi="en-GB"/>
        </w:rPr>
      </w:pPr>
      <w:bookmarkStart w:id="72" w:name="lt_pId109"/>
      <w:r w:rsidRPr="004C5521">
        <w:rPr>
          <w:rtl/>
        </w:rPr>
        <w:t>وإذ لاحظت اللجنة أن الفقرة 17 من القرار لا تنطبق إلا في الحالات التي تتخلف فيها الإدارة المبلِّغة عن تقديم المعلومات المطلوبة، ومن أجل تجنب الاحتفاظ بتخصيصات الترددات غير المستعملة في السجل الأساسي، كلفت اللجنة المكتب أيضا</w:t>
      </w:r>
      <w:r w:rsidR="004C5521">
        <w:rPr>
          <w:rFonts w:hint="cs"/>
          <w:rtl/>
        </w:rPr>
        <w:t>ً</w:t>
      </w:r>
      <w:r w:rsidRPr="004C5521">
        <w:rPr>
          <w:rtl/>
        </w:rPr>
        <w:t xml:space="preserve"> بتطبيق الرقم</w:t>
      </w:r>
      <w:r w:rsidR="004C5521">
        <w:rPr>
          <w:rFonts w:hint="cs"/>
          <w:rtl/>
        </w:rPr>
        <w:t> </w:t>
      </w:r>
      <w:r w:rsidR="004C5521" w:rsidRPr="004C5521">
        <w:rPr>
          <w:rFonts w:hint="cs"/>
          <w:b/>
          <w:bCs/>
          <w:rtl/>
        </w:rPr>
        <w:t>6.13</w:t>
      </w:r>
      <w:r w:rsidRPr="004C5521">
        <w:rPr>
          <w:rtl/>
        </w:rPr>
        <w:t xml:space="preserve"> قبل تسجيل ونشر أحدث حالة لتخصيصات الترددات هذه.</w:t>
      </w:r>
      <w:bookmarkEnd w:id="72"/>
    </w:p>
    <w:p w14:paraId="7EFB9B57" w14:textId="569B7EF6" w:rsidR="009577F4" w:rsidRPr="004C5521" w:rsidRDefault="009577F4" w:rsidP="004C5521">
      <w:pPr>
        <w:rPr>
          <w:i/>
          <w:iCs/>
          <w:lang w:val="ar-SA" w:eastAsia="zh-TW" w:bidi="en-GB"/>
        </w:rPr>
      </w:pPr>
      <w:bookmarkStart w:id="73" w:name="lt_pId110"/>
      <w:r w:rsidRPr="004C5521">
        <w:rPr>
          <w:b/>
          <w:bCs/>
          <w:i/>
          <w:iCs/>
          <w:rtl/>
        </w:rPr>
        <w:t>الأسباب:</w:t>
      </w:r>
      <w:r w:rsidRPr="004C5521">
        <w:rPr>
          <w:i/>
          <w:iCs/>
          <w:rtl/>
        </w:rPr>
        <w:t xml:space="preserve"> أبلغ المكتب عن تطبيق الفقرة 17 ب) من القرار </w:t>
      </w:r>
      <w:r w:rsidR="004C5521" w:rsidRPr="004C5521">
        <w:rPr>
          <w:b/>
          <w:bCs/>
          <w:i/>
          <w:iCs/>
        </w:rPr>
        <w:t>35 (WRC-19)</w:t>
      </w:r>
      <w:r w:rsidRPr="004C5521">
        <w:rPr>
          <w:i/>
          <w:iCs/>
          <w:rtl/>
        </w:rPr>
        <w:t xml:space="preserve"> الصادر عن المؤتمر العالمي للاتصالات الراديوية (دبي، 2023).</w:t>
      </w:r>
      <w:r w:rsidRPr="004C5521">
        <w:rPr>
          <w:rtl/>
        </w:rPr>
        <w:t xml:space="preserve"> </w:t>
      </w:r>
      <w:r w:rsidRPr="004C5521">
        <w:rPr>
          <w:i/>
          <w:iCs/>
          <w:rtl/>
        </w:rPr>
        <w:t>وستضمن هذه القاعدة توثيق وشفافية الإجراء المطبق في هذه الحالة.</w:t>
      </w:r>
      <w:bookmarkStart w:id="74" w:name="lt_pId111"/>
      <w:bookmarkStart w:id="75" w:name="lt_pId112"/>
      <w:bookmarkEnd w:id="73"/>
      <w:bookmarkEnd w:id="74"/>
      <w:bookmarkEnd w:id="75"/>
    </w:p>
    <w:p w14:paraId="15836194" w14:textId="77777777" w:rsidR="009577F4" w:rsidRPr="004C5521" w:rsidRDefault="009577F4" w:rsidP="004C5521">
      <w:pPr>
        <w:rPr>
          <w:lang w:val="ar-SA" w:eastAsia="zh-TW" w:bidi="en-GB"/>
        </w:rPr>
      </w:pPr>
      <w:bookmarkStart w:id="76" w:name="lt_pId113"/>
      <w:bookmarkStart w:id="77" w:name="_Hlk169601193"/>
      <w:r w:rsidRPr="004C5521">
        <w:rPr>
          <w:i/>
          <w:iCs/>
          <w:rtl/>
        </w:rPr>
        <w:t>تاريخ سريان تطبيق هذه القاعدة: فور الموافقة عليها.</w:t>
      </w:r>
      <w:bookmarkStart w:id="78" w:name="lt_pId114"/>
      <w:bookmarkEnd w:id="76"/>
      <w:bookmarkEnd w:id="77"/>
      <w:bookmarkEnd w:id="78"/>
    </w:p>
    <w:p w14:paraId="6C431FBD" w14:textId="77777777" w:rsidR="009577F4" w:rsidRPr="00CD7972" w:rsidRDefault="009577F4" w:rsidP="003660BA">
      <w:pPr>
        <w:rPr>
          <w:lang w:val="en-GB"/>
        </w:rPr>
      </w:pPr>
    </w:p>
    <w:p w14:paraId="66257F9B" w14:textId="77777777" w:rsidR="009577F4" w:rsidRPr="00CD7972" w:rsidRDefault="009577F4" w:rsidP="003660BA">
      <w:pPr>
        <w:rPr>
          <w:lang w:val="en-GB"/>
        </w:rPr>
      </w:pPr>
      <w:r w:rsidRPr="00CD7972">
        <w:rPr>
          <w:lang w:val="en-GB"/>
        </w:rPr>
        <w:br w:type="page"/>
      </w:r>
    </w:p>
    <w:p w14:paraId="479D5784" w14:textId="63003BE1" w:rsidR="009577F4" w:rsidRPr="004C5521" w:rsidRDefault="009577F4" w:rsidP="004C5521">
      <w:pPr>
        <w:pStyle w:val="Annextitle"/>
        <w:rPr>
          <w:lang w:val="ar-SA" w:eastAsia="zh-TW" w:bidi="en-GB"/>
        </w:rPr>
      </w:pPr>
      <w:bookmarkStart w:id="79" w:name="lt_pId115"/>
      <w:r w:rsidRPr="004C5521">
        <w:rPr>
          <w:rtl/>
        </w:rPr>
        <w:lastRenderedPageBreak/>
        <w:t>الملحق 3</w:t>
      </w:r>
      <w:r w:rsidR="004C5521">
        <w:rPr>
          <w:rtl/>
        </w:rPr>
        <w:br/>
      </w:r>
      <w:r w:rsidR="004C5521">
        <w:rPr>
          <w:rtl/>
        </w:rPr>
        <w:br/>
      </w:r>
      <w:r w:rsidRPr="004C5521">
        <w:rPr>
          <w:rtl/>
        </w:rPr>
        <w:t xml:space="preserve">إضافة قواعد إجرائية جديدة بشأن معالجة تقارير التداخل غير المقبول </w:t>
      </w:r>
      <w:r w:rsidR="004C5521">
        <w:rPr>
          <w:rtl/>
        </w:rPr>
        <w:br/>
      </w:r>
      <w:r w:rsidRPr="004C5521">
        <w:rPr>
          <w:rtl/>
        </w:rPr>
        <w:t xml:space="preserve">بموجب القرارات </w:t>
      </w:r>
      <w:bookmarkStart w:id="80" w:name="lt_pId116"/>
      <w:bookmarkEnd w:id="79"/>
      <w:bookmarkEnd w:id="80"/>
      <w:r w:rsidR="004C5521" w:rsidRPr="004C5521">
        <w:rPr>
          <w:lang w:val="en-GB"/>
        </w:rPr>
        <w:t>121 (WRC</w:t>
      </w:r>
      <w:r w:rsidR="004C5521" w:rsidRPr="004C5521">
        <w:rPr>
          <w:lang w:val="en-GB"/>
        </w:rPr>
        <w:noBreakHyphen/>
        <w:t>23)</w:t>
      </w:r>
      <w:r w:rsidR="004C5521">
        <w:rPr>
          <w:rFonts w:hint="cs"/>
          <w:rtl/>
          <w:lang w:val="en-GB"/>
        </w:rPr>
        <w:t xml:space="preserve"> أو </w:t>
      </w:r>
      <w:r w:rsidR="004C5521" w:rsidRPr="004C5521">
        <w:rPr>
          <w:lang w:val="en-GB"/>
        </w:rPr>
        <w:t>123 (WRC</w:t>
      </w:r>
      <w:r w:rsidR="004C5521" w:rsidRPr="004C5521">
        <w:rPr>
          <w:lang w:val="en-GB"/>
        </w:rPr>
        <w:noBreakHyphen/>
        <w:t>23)</w:t>
      </w:r>
      <w:r w:rsidR="004C5521">
        <w:rPr>
          <w:rFonts w:hint="cs"/>
          <w:rtl/>
          <w:lang w:val="en-GB"/>
        </w:rPr>
        <w:t xml:space="preserve"> أو </w:t>
      </w:r>
      <w:r w:rsidR="004C5521" w:rsidRPr="004C5521">
        <w:rPr>
          <w:lang w:val="en-GB"/>
        </w:rPr>
        <w:t>679 (WRC</w:t>
      </w:r>
      <w:r w:rsidR="004C5521" w:rsidRPr="004C5521">
        <w:rPr>
          <w:lang w:val="en-GB"/>
        </w:rPr>
        <w:noBreakHyphen/>
        <w:t>23)</w:t>
      </w:r>
    </w:p>
    <w:p w14:paraId="7A33469B" w14:textId="77777777" w:rsidR="009577F4" w:rsidRPr="004C5521" w:rsidRDefault="009577F4" w:rsidP="004C5521">
      <w:pPr>
        <w:rPr>
          <w:b/>
          <w:bCs/>
          <w:lang w:val="ar-SA" w:eastAsia="zh-TW" w:bidi="en-GB"/>
        </w:rPr>
      </w:pPr>
      <w:bookmarkStart w:id="81" w:name="lt_pId117"/>
      <w:r w:rsidRPr="004C5521">
        <w:rPr>
          <w:b/>
          <w:bCs/>
        </w:rPr>
        <w:t>ADD</w:t>
      </w:r>
      <w:bookmarkEnd w:id="81"/>
    </w:p>
    <w:p w14:paraId="1C28987B" w14:textId="6CF0BD21" w:rsidR="009577F4" w:rsidRPr="004C5521" w:rsidRDefault="009577F4" w:rsidP="004C5521">
      <w:pPr>
        <w:pStyle w:val="Articletitle"/>
        <w:rPr>
          <w:lang w:val="ar-SA" w:eastAsia="zh-TW" w:bidi="en-GB"/>
        </w:rPr>
      </w:pPr>
      <w:bookmarkStart w:id="82" w:name="lt_pId118"/>
      <w:r w:rsidRPr="004C5521">
        <w:rPr>
          <w:rtl/>
        </w:rPr>
        <w:t>القواعد المتعلقة</w:t>
      </w:r>
      <w:r w:rsidR="004C5521">
        <w:rPr>
          <w:rtl/>
        </w:rPr>
        <w:br/>
      </w:r>
      <w:r w:rsidR="004C5521">
        <w:rPr>
          <w:rtl/>
        </w:rPr>
        <w:br/>
      </w:r>
      <w:r w:rsidRPr="004C5521">
        <w:rPr>
          <w:rtl/>
        </w:rPr>
        <w:t>بمعالجة مكتب الاتصالات الراديوية للتقارير المتعلقة بالتداخل غير المقبول بموجب القرارات</w:t>
      </w:r>
      <w:bookmarkStart w:id="83" w:name="_Hlk172620182"/>
      <w:bookmarkStart w:id="84" w:name="lt_pId119"/>
      <w:bookmarkEnd w:id="82"/>
      <w:bookmarkEnd w:id="83"/>
      <w:bookmarkEnd w:id="84"/>
      <w:r w:rsidR="004C5521">
        <w:rPr>
          <w:rFonts w:hint="cs"/>
          <w:rtl/>
        </w:rPr>
        <w:t> </w:t>
      </w:r>
      <w:r w:rsidR="004C5521" w:rsidRPr="004C5521">
        <w:rPr>
          <w:lang w:val="en-GB" w:bidi="ar-SA"/>
        </w:rPr>
        <w:t>121 (WRC</w:t>
      </w:r>
      <w:r w:rsidR="004C5521" w:rsidRPr="004C5521">
        <w:rPr>
          <w:lang w:val="en-GB" w:bidi="ar-SA"/>
        </w:rPr>
        <w:noBreakHyphen/>
        <w:t>23)</w:t>
      </w:r>
      <w:r w:rsidR="004C5521" w:rsidRPr="004C5521">
        <w:rPr>
          <w:rFonts w:hint="cs"/>
          <w:rtl/>
        </w:rPr>
        <w:t xml:space="preserve"> أو </w:t>
      </w:r>
      <w:bookmarkStart w:id="85" w:name="_Hlk173854660"/>
      <w:r w:rsidR="004C5521" w:rsidRPr="004C5521">
        <w:rPr>
          <w:lang w:val="en-GB" w:bidi="ar-SA"/>
        </w:rPr>
        <w:t>123 (WRC</w:t>
      </w:r>
      <w:r w:rsidR="004C5521" w:rsidRPr="004C5521">
        <w:rPr>
          <w:lang w:val="en-GB" w:bidi="ar-SA"/>
        </w:rPr>
        <w:noBreakHyphen/>
        <w:t>23)</w:t>
      </w:r>
      <w:bookmarkEnd w:id="85"/>
      <w:r w:rsidR="004C5521" w:rsidRPr="004C5521">
        <w:rPr>
          <w:rFonts w:hint="cs"/>
          <w:rtl/>
        </w:rPr>
        <w:t xml:space="preserve"> أو </w:t>
      </w:r>
      <w:r w:rsidR="004C5521" w:rsidRPr="004C5521">
        <w:rPr>
          <w:lang w:val="en-GB" w:bidi="ar-SA"/>
        </w:rPr>
        <w:t>679 (WRC</w:t>
      </w:r>
      <w:r w:rsidR="004C5521" w:rsidRPr="004C5521">
        <w:rPr>
          <w:lang w:val="en-GB" w:bidi="ar-SA"/>
        </w:rPr>
        <w:noBreakHyphen/>
        <w:t>23)</w:t>
      </w:r>
    </w:p>
    <w:p w14:paraId="5C6E5703" w14:textId="4C8C798E" w:rsidR="009577F4" w:rsidRPr="003660BA" w:rsidRDefault="009577F4" w:rsidP="003660BA">
      <w:pPr>
        <w:rPr>
          <w:lang w:val="ar-SA" w:eastAsia="zh-TW" w:bidi="en-GB"/>
        </w:rPr>
      </w:pPr>
      <w:bookmarkStart w:id="86" w:name="lt_pId120"/>
      <w:r w:rsidRPr="003660BA">
        <w:rPr>
          <w:rtl/>
        </w:rPr>
        <w:t xml:space="preserve">ولاحظت اللجنة أن الفقرة 2 من </w:t>
      </w:r>
      <w:r w:rsidR="004C5521" w:rsidRPr="003660BA">
        <w:rPr>
          <w:rFonts w:hint="cs"/>
          <w:rtl/>
        </w:rPr>
        <w:t>"</w:t>
      </w:r>
      <w:r w:rsidRPr="003660BA">
        <w:rPr>
          <w:i/>
          <w:iCs/>
          <w:rtl/>
        </w:rPr>
        <w:t xml:space="preserve">يقرر </w:t>
      </w:r>
      <w:r w:rsidR="004C5521" w:rsidRPr="003660BA">
        <w:rPr>
          <w:rFonts w:hint="cs"/>
          <w:i/>
          <w:iCs/>
          <w:rtl/>
        </w:rPr>
        <w:t>كذلك</w:t>
      </w:r>
      <w:r w:rsidR="004C5521" w:rsidRPr="003660BA">
        <w:rPr>
          <w:rFonts w:hint="cs"/>
          <w:rtl/>
        </w:rPr>
        <w:t>"</w:t>
      </w:r>
      <w:r w:rsidRPr="003660BA">
        <w:rPr>
          <w:rtl/>
        </w:rPr>
        <w:t xml:space="preserve"> في القرار </w:t>
      </w:r>
      <w:r w:rsidR="003660BA" w:rsidRPr="003660BA">
        <w:rPr>
          <w:b/>
          <w:bCs/>
          <w:lang w:val="en-GB"/>
        </w:rPr>
        <w:t>121 (WRC</w:t>
      </w:r>
      <w:r w:rsidR="003660BA" w:rsidRPr="003660BA">
        <w:rPr>
          <w:b/>
          <w:bCs/>
          <w:lang w:val="en-GB"/>
        </w:rPr>
        <w:noBreakHyphen/>
        <w:t>23)</w:t>
      </w:r>
      <w:r w:rsidRPr="003660BA">
        <w:rPr>
          <w:rtl/>
        </w:rPr>
        <w:t xml:space="preserve"> وفقرتي</w:t>
      </w:r>
      <w:r w:rsidR="003660BA" w:rsidRPr="003660BA">
        <w:rPr>
          <w:rFonts w:hint="cs"/>
          <w:rtl/>
        </w:rPr>
        <w:t xml:space="preserve"> </w:t>
      </w:r>
      <w:r w:rsidRPr="003660BA">
        <w:rPr>
          <w:rtl/>
        </w:rPr>
        <w:t>1 إلى 3 من</w:t>
      </w:r>
      <w:r w:rsidRPr="003660BA">
        <w:rPr>
          <w:i/>
          <w:iCs/>
          <w:rtl/>
        </w:rPr>
        <w:t xml:space="preserve"> </w:t>
      </w:r>
      <w:r w:rsidR="004C5521" w:rsidRPr="003660BA">
        <w:rPr>
          <w:rFonts w:hint="cs"/>
          <w:rtl/>
        </w:rPr>
        <w:t>"</w:t>
      </w:r>
      <w:r w:rsidRPr="003660BA">
        <w:rPr>
          <w:i/>
          <w:iCs/>
          <w:rtl/>
        </w:rPr>
        <w:t xml:space="preserve">يقرر </w:t>
      </w:r>
      <w:r w:rsidR="004C5521" w:rsidRPr="003660BA">
        <w:rPr>
          <w:rFonts w:hint="cs"/>
          <w:i/>
          <w:iCs/>
          <w:rtl/>
        </w:rPr>
        <w:t>كذلك</w:t>
      </w:r>
      <w:r w:rsidR="004C5521" w:rsidRPr="003660BA">
        <w:rPr>
          <w:rFonts w:hint="cs"/>
          <w:rtl/>
        </w:rPr>
        <w:t>"</w:t>
      </w:r>
      <w:r w:rsidRPr="003660BA">
        <w:rPr>
          <w:i/>
          <w:iCs/>
          <w:rtl/>
        </w:rPr>
        <w:t xml:space="preserve"> </w:t>
      </w:r>
      <w:r w:rsidRPr="003660BA">
        <w:rPr>
          <w:rtl/>
        </w:rPr>
        <w:t>في القرار</w:t>
      </w:r>
      <w:r w:rsidR="003660BA" w:rsidRPr="003660BA">
        <w:rPr>
          <w:rFonts w:hint="cs"/>
          <w:rtl/>
        </w:rPr>
        <w:t> </w:t>
      </w:r>
      <w:r w:rsidR="003660BA" w:rsidRPr="003660BA">
        <w:rPr>
          <w:b/>
          <w:bCs/>
          <w:lang w:val="en-GB"/>
        </w:rPr>
        <w:t>123 (WRC</w:t>
      </w:r>
      <w:r w:rsidR="003660BA" w:rsidRPr="003660BA">
        <w:rPr>
          <w:b/>
          <w:bCs/>
          <w:lang w:val="en-GB"/>
        </w:rPr>
        <w:noBreakHyphen/>
        <w:t>23)</w:t>
      </w:r>
      <w:r w:rsidRPr="003660BA">
        <w:rPr>
          <w:rStyle w:val="FootnoteReference"/>
          <w:position w:val="0"/>
          <w:sz w:val="22"/>
          <w:szCs w:val="22"/>
          <w:rtl/>
        </w:rPr>
        <w:footnoteReference w:id="1"/>
      </w:r>
      <w:r w:rsidRPr="003660BA">
        <w:rPr>
          <w:rtl/>
        </w:rPr>
        <w:t xml:space="preserve"> والفقرة 2 من</w:t>
      </w:r>
      <w:r w:rsidRPr="003660BA">
        <w:rPr>
          <w:i/>
          <w:iCs/>
          <w:rtl/>
        </w:rPr>
        <w:t xml:space="preserve"> </w:t>
      </w:r>
      <w:r w:rsidR="004C5521" w:rsidRPr="003660BA">
        <w:rPr>
          <w:rFonts w:hint="cs"/>
          <w:rtl/>
        </w:rPr>
        <w:t>"</w:t>
      </w:r>
      <w:r w:rsidRPr="003660BA">
        <w:rPr>
          <w:i/>
          <w:iCs/>
          <w:rtl/>
        </w:rPr>
        <w:t xml:space="preserve">يقرر </w:t>
      </w:r>
      <w:r w:rsidR="004C5521" w:rsidRPr="003660BA">
        <w:rPr>
          <w:rFonts w:hint="cs"/>
          <w:i/>
          <w:iCs/>
          <w:rtl/>
        </w:rPr>
        <w:t>كذلك</w:t>
      </w:r>
      <w:r w:rsidR="004C5521" w:rsidRPr="003660BA">
        <w:rPr>
          <w:rFonts w:hint="cs"/>
          <w:rtl/>
        </w:rPr>
        <w:t xml:space="preserve">" </w:t>
      </w:r>
      <w:r w:rsidRPr="003660BA">
        <w:rPr>
          <w:rtl/>
        </w:rPr>
        <w:t>في القرار 679 (WRC-23) تتضمن أحكاما</w:t>
      </w:r>
      <w:r w:rsidR="003660BA" w:rsidRPr="003660BA">
        <w:rPr>
          <w:rFonts w:hint="cs"/>
          <w:rtl/>
        </w:rPr>
        <w:t>ً</w:t>
      </w:r>
      <w:r w:rsidRPr="003660BA">
        <w:rPr>
          <w:rtl/>
        </w:rPr>
        <w:t xml:space="preserve"> تشير إلى أن المكتب، في حالة الإبلاغ عن تداخل غير مقبول وعدم اتخاذ الإدارة المبلِّغة أي إجراء لإزالة التداخل فورا</w:t>
      </w:r>
      <w:r w:rsidR="003660BA">
        <w:rPr>
          <w:rFonts w:hint="cs"/>
          <w:rtl/>
        </w:rPr>
        <w:t>ً</w:t>
      </w:r>
      <w:r w:rsidRPr="003660BA">
        <w:rPr>
          <w:rtl/>
        </w:rPr>
        <w:t xml:space="preserve"> أو تخفيضه إلى مستوى مقبول، سيرسل تذكيرا</w:t>
      </w:r>
      <w:r w:rsidR="003660BA">
        <w:rPr>
          <w:rFonts w:hint="cs"/>
          <w:rtl/>
        </w:rPr>
        <w:t>ً</w:t>
      </w:r>
      <w:r w:rsidRPr="003660BA">
        <w:rPr>
          <w:rtl/>
        </w:rPr>
        <w:t xml:space="preserve"> يطلب فيه من الإدارة المبلِّغة عن الشبكة الساتلية أو النظام المعني الالتزام بشرط إزالة التداخل فورا</w:t>
      </w:r>
      <w:r w:rsidR="003660BA">
        <w:rPr>
          <w:rFonts w:hint="cs"/>
          <w:rtl/>
        </w:rPr>
        <w:t>ً</w:t>
      </w:r>
      <w:r w:rsidRPr="003660BA">
        <w:rPr>
          <w:rtl/>
        </w:rPr>
        <w:t xml:space="preserve"> أو تخفيضه إلى مستوى مقبول. وفي حال استمرار التداخل لمدة 30 يوماً بعد تاريخ إرسال هذه الرسالة التذكيرية، يعرض المكتب الحالة على الاجتماع التالي للجنة لاستعراضها واتخاذ الإجراءات اللازمة (بما في ذلك إلغاء تخصيص التردد المعني)، حسب الاقتضاء؛</w:t>
      </w:r>
      <w:bookmarkStart w:id="88" w:name="lt_pId121"/>
      <w:bookmarkEnd w:id="86"/>
      <w:bookmarkEnd w:id="88"/>
    </w:p>
    <w:p w14:paraId="100CEE00" w14:textId="43354650" w:rsidR="009577F4" w:rsidRPr="004C5521" w:rsidRDefault="009577F4" w:rsidP="004C5521">
      <w:pPr>
        <w:rPr>
          <w:lang w:val="ar-SA" w:eastAsia="zh-TW" w:bidi="en-GB"/>
        </w:rPr>
      </w:pPr>
      <w:bookmarkStart w:id="89" w:name="lt_pId122"/>
      <w:r w:rsidRPr="004C5521">
        <w:rPr>
          <w:rtl/>
        </w:rPr>
        <w:t>ولضمان تصرف المكتب، عندما لا تتخذ الإدارة المبلِّغة أي إجراء، على النحو المنصوص عليه في أحكام القرارات الثلاثة المذكورة أعلاه، قررت اللجنة ألا يرسل المكتب رسالة تذكير</w:t>
      </w:r>
      <w:r w:rsidR="0006484C">
        <w:rPr>
          <w:rFonts w:hint="cs"/>
          <w:rtl/>
        </w:rPr>
        <w:t>ي</w:t>
      </w:r>
      <w:r w:rsidRPr="004C5521">
        <w:rPr>
          <w:rtl/>
        </w:rPr>
        <w:t>ة، إلا بعد تلقيه طلبا</w:t>
      </w:r>
      <w:r w:rsidR="003660BA">
        <w:rPr>
          <w:rFonts w:hint="cs"/>
          <w:rtl/>
        </w:rPr>
        <w:t>ً</w:t>
      </w:r>
      <w:r w:rsidRPr="004C5521">
        <w:rPr>
          <w:rtl/>
        </w:rPr>
        <w:t xml:space="preserve"> للمساعدة من الإدارة المتضررة بموجب الرقم </w:t>
      </w:r>
      <w:r w:rsidR="003660BA" w:rsidRPr="003660BA">
        <w:rPr>
          <w:rFonts w:hint="cs"/>
          <w:b/>
          <w:bCs/>
          <w:rtl/>
        </w:rPr>
        <w:t>2.13</w:t>
      </w:r>
      <w:r w:rsidRPr="004C5521">
        <w:rPr>
          <w:rtl/>
        </w:rPr>
        <w:t>، يطلب فيها إلى الإدارة المبلِّغة عن الشبكة الساتلية أو النظام المعني الالتزام بشرط إزالة التداخل أو خفضه فورا</w:t>
      </w:r>
      <w:r w:rsidR="003660BA">
        <w:rPr>
          <w:rFonts w:hint="cs"/>
          <w:rtl/>
        </w:rPr>
        <w:t>ً</w:t>
      </w:r>
      <w:r w:rsidRPr="004C5521">
        <w:rPr>
          <w:rtl/>
        </w:rPr>
        <w:t xml:space="preserve"> إلى مستوى مقبول.</w:t>
      </w:r>
      <w:bookmarkEnd w:id="89"/>
    </w:p>
    <w:p w14:paraId="5B133CA8" w14:textId="488237B0" w:rsidR="009577F4" w:rsidRPr="004C5521" w:rsidRDefault="009577F4" w:rsidP="004C5521">
      <w:pPr>
        <w:rPr>
          <w:lang w:val="ar-SA" w:eastAsia="zh-TW" w:bidi="en-GB"/>
        </w:rPr>
      </w:pPr>
      <w:bookmarkStart w:id="90" w:name="lt_pId123"/>
      <w:r w:rsidRPr="004C5521">
        <w:rPr>
          <w:rtl/>
        </w:rPr>
        <w:t>وقررت اللجنة أيضا</w:t>
      </w:r>
      <w:r w:rsidR="003660BA">
        <w:rPr>
          <w:rFonts w:hint="cs"/>
          <w:rtl/>
        </w:rPr>
        <w:t>ً</w:t>
      </w:r>
      <w:r w:rsidRPr="004C5521">
        <w:rPr>
          <w:rtl/>
        </w:rPr>
        <w:t xml:space="preserve"> أن يتصل المكتب، بعد 30 يوما</w:t>
      </w:r>
      <w:r w:rsidR="003660BA">
        <w:rPr>
          <w:rFonts w:hint="cs"/>
          <w:rtl/>
        </w:rPr>
        <w:t>ً</w:t>
      </w:r>
      <w:r w:rsidRPr="004C5521">
        <w:rPr>
          <w:rtl/>
        </w:rPr>
        <w:t xml:space="preserve"> من تاريخ إرسال الرسالة التذكيرية، بالإدارة المتضررة للتحقق مما إذا كان التداخل غير المقبول لا يزال قائما</w:t>
      </w:r>
      <w:r w:rsidR="003660BA">
        <w:rPr>
          <w:rFonts w:hint="cs"/>
          <w:rtl/>
        </w:rPr>
        <w:t>ً</w:t>
      </w:r>
      <w:r w:rsidRPr="004C5521">
        <w:rPr>
          <w:rtl/>
        </w:rPr>
        <w:t xml:space="preserve"> أو إذا كان يمكن اعتبار الحالة قد سويت. وإذا أبلغت الإدارة المتضررة المكتب بأن التداخل غير المقبول لا يزال قائما</w:t>
      </w:r>
      <w:r w:rsidR="003660BA">
        <w:rPr>
          <w:rFonts w:hint="cs"/>
          <w:rtl/>
        </w:rPr>
        <w:t>ً</w:t>
      </w:r>
      <w:r w:rsidRPr="004C5521">
        <w:rPr>
          <w:rtl/>
        </w:rPr>
        <w:t>، يعرض المكتب الحالة على الاجتماع اللاحق للجنة مشفوعة بتقرير يتضمن مشاريع توصيات لتنظر فيها.</w:t>
      </w:r>
      <w:bookmarkStart w:id="91" w:name="lt_pId124"/>
      <w:bookmarkEnd w:id="90"/>
      <w:bookmarkEnd w:id="91"/>
    </w:p>
    <w:p w14:paraId="0C0ADDE3" w14:textId="3A414510" w:rsidR="009577F4" w:rsidRPr="004C5521" w:rsidRDefault="009577F4" w:rsidP="004C5521">
      <w:pPr>
        <w:rPr>
          <w:lang w:val="ar-SA" w:eastAsia="zh-TW" w:bidi="en-GB"/>
        </w:rPr>
      </w:pPr>
      <w:bookmarkStart w:id="92" w:name="lt_pId125"/>
      <w:r w:rsidRPr="004C5521">
        <w:rPr>
          <w:rtl/>
        </w:rPr>
        <w:t xml:space="preserve">وفي حالات التداخل الضار، تنطبق أحكام الرقم </w:t>
      </w:r>
      <w:r w:rsidR="003660BA" w:rsidRPr="003660BA">
        <w:rPr>
          <w:rFonts w:hint="cs"/>
          <w:b/>
          <w:bCs/>
          <w:rtl/>
        </w:rPr>
        <w:t>2.13</w:t>
      </w:r>
      <w:r w:rsidRPr="004C5521">
        <w:rPr>
          <w:rtl/>
        </w:rPr>
        <w:t xml:space="preserve"> والمادة </w:t>
      </w:r>
      <w:r w:rsidRPr="003660BA">
        <w:rPr>
          <w:b/>
          <w:bCs/>
          <w:rtl/>
        </w:rPr>
        <w:t>15</w:t>
      </w:r>
      <w:r w:rsidRPr="004C5521">
        <w:rPr>
          <w:rtl/>
        </w:rPr>
        <w:t xml:space="preserve"> من لوائح الراديو.</w:t>
      </w:r>
      <w:bookmarkEnd w:id="92"/>
    </w:p>
    <w:p w14:paraId="17EF13AD" w14:textId="3E563654" w:rsidR="009577F4" w:rsidRPr="004C5521" w:rsidRDefault="009577F4" w:rsidP="004C5521">
      <w:pPr>
        <w:rPr>
          <w:i/>
          <w:iCs/>
          <w:lang w:val="ar-SA" w:eastAsia="zh-TW" w:bidi="en-GB"/>
        </w:rPr>
      </w:pPr>
      <w:bookmarkStart w:id="93" w:name="lt_pId126"/>
      <w:r w:rsidRPr="003660BA">
        <w:rPr>
          <w:b/>
          <w:bCs/>
          <w:i/>
          <w:iCs/>
          <w:rtl/>
        </w:rPr>
        <w:t>الأسباب:</w:t>
      </w:r>
      <w:r w:rsidRPr="004C5521">
        <w:rPr>
          <w:i/>
          <w:iCs/>
          <w:rtl/>
        </w:rPr>
        <w:t xml:space="preserve"> تقديم تفاصيل الإجراءات التي يتعين على المكتب اتباعها في حالة الإبلاغ عن تداخل غير مقبول بموجب </w:t>
      </w:r>
      <w:r w:rsidR="003660BA" w:rsidRPr="004C5521">
        <w:rPr>
          <w:rtl/>
        </w:rPr>
        <w:t>القرارات</w:t>
      </w:r>
      <w:r w:rsidR="003660BA">
        <w:rPr>
          <w:rFonts w:hint="cs"/>
          <w:rtl/>
        </w:rPr>
        <w:t> </w:t>
      </w:r>
      <w:r w:rsidR="003660BA" w:rsidRPr="003660BA">
        <w:rPr>
          <w:b/>
          <w:bCs/>
          <w:lang w:val="en-GB"/>
        </w:rPr>
        <w:t>121</w:t>
      </w:r>
      <w:r w:rsidR="003660BA">
        <w:rPr>
          <w:b/>
          <w:bCs/>
          <w:lang w:val="en-GB"/>
        </w:rPr>
        <w:t> </w:t>
      </w:r>
      <w:r w:rsidR="003660BA" w:rsidRPr="003660BA">
        <w:rPr>
          <w:b/>
          <w:bCs/>
          <w:lang w:val="en-GB"/>
        </w:rPr>
        <w:t>(WRC</w:t>
      </w:r>
      <w:r w:rsidR="003660BA" w:rsidRPr="003660BA">
        <w:rPr>
          <w:b/>
          <w:bCs/>
          <w:lang w:val="en-GB"/>
        </w:rPr>
        <w:noBreakHyphen/>
        <w:t>23)</w:t>
      </w:r>
      <w:r w:rsidR="003660BA" w:rsidRPr="003660BA">
        <w:rPr>
          <w:rFonts w:hint="cs"/>
          <w:b/>
          <w:bCs/>
          <w:rtl/>
        </w:rPr>
        <w:t xml:space="preserve"> أو </w:t>
      </w:r>
      <w:r w:rsidR="003660BA" w:rsidRPr="003660BA">
        <w:rPr>
          <w:b/>
          <w:bCs/>
          <w:lang w:val="en-GB"/>
        </w:rPr>
        <w:t>123 (WRC</w:t>
      </w:r>
      <w:r w:rsidR="003660BA" w:rsidRPr="003660BA">
        <w:rPr>
          <w:b/>
          <w:bCs/>
          <w:lang w:val="en-GB"/>
        </w:rPr>
        <w:noBreakHyphen/>
        <w:t>23)</w:t>
      </w:r>
      <w:r w:rsidR="003660BA" w:rsidRPr="003660BA">
        <w:rPr>
          <w:rFonts w:hint="cs"/>
          <w:b/>
          <w:bCs/>
          <w:rtl/>
        </w:rPr>
        <w:t xml:space="preserve"> أو </w:t>
      </w:r>
      <w:r w:rsidR="003660BA" w:rsidRPr="003660BA">
        <w:rPr>
          <w:b/>
          <w:bCs/>
          <w:lang w:val="en-GB"/>
        </w:rPr>
        <w:t>679 (WRC</w:t>
      </w:r>
      <w:r w:rsidR="003660BA" w:rsidRPr="003660BA">
        <w:rPr>
          <w:b/>
          <w:bCs/>
          <w:lang w:val="en-GB"/>
        </w:rPr>
        <w:noBreakHyphen/>
        <w:t>23)</w:t>
      </w:r>
      <w:r w:rsidRPr="004C5521">
        <w:rPr>
          <w:i/>
          <w:iCs/>
          <w:rtl/>
        </w:rPr>
        <w:t>.</w:t>
      </w:r>
      <w:bookmarkStart w:id="94" w:name="lt_pId127"/>
      <w:bookmarkEnd w:id="93"/>
      <w:bookmarkEnd w:id="94"/>
    </w:p>
    <w:p w14:paraId="49D28EE4" w14:textId="77777777" w:rsidR="009577F4" w:rsidRPr="004C5521" w:rsidRDefault="009577F4" w:rsidP="004C5521">
      <w:pPr>
        <w:rPr>
          <w:rFonts w:eastAsia="SimSun"/>
          <w:i/>
          <w:iCs/>
          <w:lang w:val="ar-SA" w:eastAsia="zh-TW" w:bidi="en-GB"/>
        </w:rPr>
      </w:pPr>
      <w:bookmarkStart w:id="95" w:name="lt_pId128"/>
      <w:r w:rsidRPr="004C5521">
        <w:rPr>
          <w:i/>
          <w:iCs/>
          <w:rtl/>
        </w:rPr>
        <w:t>تاريخ سريان تطبيق هذه القاعدة</w:t>
      </w:r>
      <w:r w:rsidRPr="004C5521">
        <w:rPr>
          <w:i/>
          <w:iCs/>
        </w:rPr>
        <w:t>:</w:t>
      </w:r>
      <w:r w:rsidRPr="004C5521">
        <w:rPr>
          <w:i/>
          <w:iCs/>
          <w:rtl/>
        </w:rPr>
        <w:t xml:space="preserve"> 1 يناير 2025.</w:t>
      </w:r>
      <w:bookmarkStart w:id="96" w:name="lt_pId129"/>
      <w:bookmarkEnd w:id="95"/>
      <w:bookmarkEnd w:id="96"/>
    </w:p>
    <w:p w14:paraId="706FF35D"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1E900" w14:textId="77777777" w:rsidR="009577F4" w:rsidRDefault="009577F4" w:rsidP="006C3242">
      <w:pPr>
        <w:spacing w:before="0" w:line="240" w:lineRule="auto"/>
      </w:pPr>
      <w:r>
        <w:separator/>
      </w:r>
    </w:p>
  </w:endnote>
  <w:endnote w:type="continuationSeparator" w:id="0">
    <w:p w14:paraId="6536BF1C" w14:textId="77777777" w:rsidR="009577F4" w:rsidRDefault="009577F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CEF5" w14:textId="77777777" w:rsidR="00A90827" w:rsidRDefault="00A90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ACAD" w14:textId="2411BC54" w:rsidR="006C3242" w:rsidRPr="00A90827" w:rsidRDefault="006C3242" w:rsidP="00A90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608F6" w14:textId="5EAC04CE"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002E3A5F">
        <w:rPr>
          <w:rFonts w:ascii="Calibri" w:eastAsia="Times New Roman" w:hAnsi="Calibri" w:cs="Calibri"/>
          <w:color w:val="0000FF"/>
          <w:sz w:val="19"/>
          <w:szCs w:val="19"/>
          <w:u w:val="single"/>
          <w:lang w:val="fr-CH" w:eastAsia="en-US"/>
        </w:rPr>
        <w:t>br</w:t>
      </w:r>
      <w:r w:rsidRPr="00FC09E8">
        <w:rPr>
          <w:rFonts w:ascii="Calibri" w:eastAsia="Times New Roman" w:hAnsi="Calibri" w:cs="Calibri"/>
          <w:color w:val="0000FF"/>
          <w:sz w:val="19"/>
          <w:szCs w:val="19"/>
          <w:u w:val="single"/>
          <w:lang w:val="fr-CH" w:eastAsia="en-US"/>
        </w:rPr>
        <w:t>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xml:space="preserve">• </w:t>
    </w:r>
    <w:hyperlink r:id="rId2" w:history="1">
      <w:r w:rsidR="00CD7972" w:rsidRPr="00886F9C">
        <w:rPr>
          <w:rStyle w:val="Hyperlink"/>
          <w:rFonts w:ascii="Calibri" w:eastAsia="Times New Roman" w:hAnsi="Calibri" w:cs="Calibri"/>
          <w:sz w:val="19"/>
          <w:szCs w:val="19"/>
          <w:lang w:val="fr-CH" w:eastAsia="en-US"/>
        </w:rPr>
        <w:t>www.itu.int</w:t>
      </w:r>
    </w:hyperlink>
    <w:r w:rsidR="00CD7972">
      <w:rPr>
        <w:rFonts w:ascii="Calibri" w:eastAsia="Times New Roman" w:hAnsi="Calibri" w:cs="Calibri"/>
        <w:color w:val="4F81BD"/>
        <w:sz w:val="19"/>
        <w:szCs w:val="19"/>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8398A" w14:textId="77777777" w:rsidR="009577F4" w:rsidRDefault="009577F4" w:rsidP="006C3242">
      <w:pPr>
        <w:spacing w:before="0" w:line="240" w:lineRule="auto"/>
      </w:pPr>
      <w:r>
        <w:separator/>
      </w:r>
    </w:p>
  </w:footnote>
  <w:footnote w:type="continuationSeparator" w:id="0">
    <w:p w14:paraId="165072AD" w14:textId="77777777" w:rsidR="009577F4" w:rsidRDefault="009577F4" w:rsidP="006C3242">
      <w:pPr>
        <w:spacing w:before="0" w:line="240" w:lineRule="auto"/>
      </w:pPr>
      <w:r>
        <w:continuationSeparator/>
      </w:r>
    </w:p>
  </w:footnote>
  <w:footnote w:id="1">
    <w:p w14:paraId="51BDDAFF" w14:textId="24A86573" w:rsidR="009577F4" w:rsidRPr="003660BA" w:rsidRDefault="009577F4" w:rsidP="003660BA">
      <w:pPr>
        <w:pStyle w:val="FootnoteText"/>
        <w:tabs>
          <w:tab w:val="clear" w:pos="794"/>
          <w:tab w:val="left" w:pos="425"/>
        </w:tabs>
        <w:rPr>
          <w:sz w:val="18"/>
          <w:szCs w:val="18"/>
        </w:rPr>
      </w:pPr>
      <w:r w:rsidRPr="003660BA">
        <w:rPr>
          <w:rStyle w:val="FootnoteReference"/>
          <w:rtl/>
        </w:rPr>
        <w:footnoteRef/>
      </w:r>
      <w:r w:rsidR="003660BA" w:rsidRPr="003660BA">
        <w:rPr>
          <w:sz w:val="18"/>
          <w:szCs w:val="18"/>
        </w:rPr>
        <w:tab/>
      </w:r>
      <w:r w:rsidRPr="003660BA">
        <w:rPr>
          <w:sz w:val="18"/>
          <w:szCs w:val="18"/>
          <w:rtl/>
        </w:rPr>
        <w:t>انظر أيض</w:t>
      </w:r>
      <w:r w:rsidR="003660BA" w:rsidRPr="003660BA">
        <w:rPr>
          <w:rFonts w:hint="cs"/>
          <w:sz w:val="18"/>
          <w:szCs w:val="18"/>
          <w:rtl/>
        </w:rPr>
        <w:t>اً</w:t>
      </w:r>
      <w:r w:rsidRPr="003660BA">
        <w:rPr>
          <w:sz w:val="18"/>
          <w:szCs w:val="18"/>
          <w:rtl/>
        </w:rPr>
        <w:t xml:space="preserve"> الفقرة 4 من يكلف مدير مكتب الاتصالات الراديوية في القرار 123 (WRC-23).</w:t>
      </w:r>
      <w:bookmarkStart w:id="87" w:name="lt_pId131"/>
      <w:bookmarkEnd w:id="8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D9A9" w14:textId="77777777" w:rsidR="00A90827" w:rsidRDefault="00A90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60396" w14:textId="71996056"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A837DA" w14:paraId="781E8E90" w14:textId="77777777" w:rsidTr="00A837DA">
      <w:trPr>
        <w:jc w:val="center"/>
      </w:trPr>
      <w:tc>
        <w:tcPr>
          <w:tcW w:w="4814" w:type="dxa"/>
        </w:tcPr>
        <w:p w14:paraId="49A91F32" w14:textId="77777777" w:rsidR="00A837DA" w:rsidRDefault="00A837DA" w:rsidP="00A837DA">
          <w:pPr>
            <w:pStyle w:val="Header"/>
            <w:jc w:val="center"/>
            <w:rPr>
              <w:rtl/>
            </w:rPr>
          </w:pPr>
          <w:r>
            <w:rPr>
              <w:noProof/>
              <w:lang w:val="en-GB" w:eastAsia="en-GB"/>
            </w:rPr>
            <w:drawing>
              <wp:inline distT="0" distB="0" distL="0" distR="0" wp14:anchorId="48D161B4" wp14:editId="239E124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7501C81"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F4"/>
    <w:rsid w:val="0006468A"/>
    <w:rsid w:val="0006484C"/>
    <w:rsid w:val="00090574"/>
    <w:rsid w:val="000C1C0E"/>
    <w:rsid w:val="000C548A"/>
    <w:rsid w:val="000C6DEE"/>
    <w:rsid w:val="000F7BBE"/>
    <w:rsid w:val="00101648"/>
    <w:rsid w:val="00150DB9"/>
    <w:rsid w:val="001A351B"/>
    <w:rsid w:val="001C0169"/>
    <w:rsid w:val="001D1D50"/>
    <w:rsid w:val="001D6745"/>
    <w:rsid w:val="001E1688"/>
    <w:rsid w:val="001E446E"/>
    <w:rsid w:val="002154EE"/>
    <w:rsid w:val="002276D2"/>
    <w:rsid w:val="0023283D"/>
    <w:rsid w:val="0026373E"/>
    <w:rsid w:val="00271C43"/>
    <w:rsid w:val="00290728"/>
    <w:rsid w:val="002978F4"/>
    <w:rsid w:val="002B028D"/>
    <w:rsid w:val="002E3A5F"/>
    <w:rsid w:val="002E6541"/>
    <w:rsid w:val="00334924"/>
    <w:rsid w:val="003409BC"/>
    <w:rsid w:val="00357185"/>
    <w:rsid w:val="003660BA"/>
    <w:rsid w:val="003704CA"/>
    <w:rsid w:val="00383829"/>
    <w:rsid w:val="003B5733"/>
    <w:rsid w:val="003F4B29"/>
    <w:rsid w:val="004111FB"/>
    <w:rsid w:val="0042686F"/>
    <w:rsid w:val="004317D8"/>
    <w:rsid w:val="00434183"/>
    <w:rsid w:val="00443869"/>
    <w:rsid w:val="00447F32"/>
    <w:rsid w:val="004563AF"/>
    <w:rsid w:val="004C39C6"/>
    <w:rsid w:val="004C5521"/>
    <w:rsid w:val="004E11DC"/>
    <w:rsid w:val="00525DDD"/>
    <w:rsid w:val="005409AC"/>
    <w:rsid w:val="0055516A"/>
    <w:rsid w:val="0058491B"/>
    <w:rsid w:val="00592EA5"/>
    <w:rsid w:val="005A3170"/>
    <w:rsid w:val="00677396"/>
    <w:rsid w:val="0069200F"/>
    <w:rsid w:val="006A65CB"/>
    <w:rsid w:val="006C3242"/>
    <w:rsid w:val="006C7CC0"/>
    <w:rsid w:val="006E5F73"/>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577F4"/>
    <w:rsid w:val="00982B28"/>
    <w:rsid w:val="009D313F"/>
    <w:rsid w:val="009F250C"/>
    <w:rsid w:val="00A47A5A"/>
    <w:rsid w:val="00A6683B"/>
    <w:rsid w:val="00A837DA"/>
    <w:rsid w:val="00A90827"/>
    <w:rsid w:val="00A93BE0"/>
    <w:rsid w:val="00A97F94"/>
    <w:rsid w:val="00AA7EA2"/>
    <w:rsid w:val="00B03099"/>
    <w:rsid w:val="00B05BC8"/>
    <w:rsid w:val="00B1143A"/>
    <w:rsid w:val="00B64B47"/>
    <w:rsid w:val="00B74B14"/>
    <w:rsid w:val="00C002DE"/>
    <w:rsid w:val="00C502CD"/>
    <w:rsid w:val="00C53BF8"/>
    <w:rsid w:val="00C66157"/>
    <w:rsid w:val="00C674FE"/>
    <w:rsid w:val="00C67501"/>
    <w:rsid w:val="00C75633"/>
    <w:rsid w:val="00CD7972"/>
    <w:rsid w:val="00CD7F87"/>
    <w:rsid w:val="00CE2EE1"/>
    <w:rsid w:val="00CE3349"/>
    <w:rsid w:val="00CE36E5"/>
    <w:rsid w:val="00CF27F5"/>
    <w:rsid w:val="00CF3FFD"/>
    <w:rsid w:val="00D10CCF"/>
    <w:rsid w:val="00D64CC2"/>
    <w:rsid w:val="00D77D0F"/>
    <w:rsid w:val="00DA1CF0"/>
    <w:rsid w:val="00DC1E02"/>
    <w:rsid w:val="00DC24B4"/>
    <w:rsid w:val="00DC5FB0"/>
    <w:rsid w:val="00DF16DC"/>
    <w:rsid w:val="00E35348"/>
    <w:rsid w:val="00E45211"/>
    <w:rsid w:val="00E473C5"/>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D053E"/>
  <w15:chartTrackingRefBased/>
  <w15:docId w15:val="{DD8F7EE3-DFFB-4DF4-B4D7-AC6CEF64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LTS FOOTNOTE,DNV-FT,Footnote Text Char Char1,Footnote Text Char Char1 Char1 Char Char,Footnote Text Char1 Char1 Char1 Char,Footnote Text Char1 Char1 Char1 Char Char Char1,Footnote Text Char4 Char Char,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LTS FOOTNOTE Char,DNV-FT Char,Footnote Text Char Char1 Char,Footnote Text Char Char1 Char1 Char Char Char,Footnote Text Char1 Char1 Char1 Char Char,Footnote Text Char1 Char1 Char1 Char Char Char1 Char,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9577F4"/>
    <w:rPr>
      <w:color w:val="605E5C"/>
      <w:shd w:val="clear" w:color="auto" w:fill="E1DFDD"/>
    </w:rPr>
  </w:style>
  <w:style w:type="paragraph" w:customStyle="1" w:styleId="enumlev10">
    <w:name w:val="enumlev1"/>
    <w:basedOn w:val="Normal"/>
    <w:link w:val="enumlev1Char"/>
    <w:qFormat/>
    <w:rsid w:val="009577F4"/>
    <w:pPr>
      <w:tabs>
        <w:tab w:val="left" w:pos="1191"/>
        <w:tab w:val="left" w:pos="1588"/>
        <w:tab w:val="left" w:pos="1985"/>
      </w:tabs>
      <w:overflowPunct w:val="0"/>
      <w:autoSpaceDE w:val="0"/>
      <w:autoSpaceDN w:val="0"/>
      <w:bidi w:val="0"/>
      <w:adjustRightInd w:val="0"/>
      <w:spacing w:before="80" w:line="280" w:lineRule="exact"/>
      <w:ind w:left="794" w:hanging="794"/>
      <w:textAlignment w:val="baseline"/>
    </w:pPr>
    <w:rPr>
      <w:rFonts w:ascii="Times New Roman" w:eastAsia="Times New Roman" w:hAnsi="Calibri" w:cs="Simplified Arabic"/>
      <w:sz w:val="24"/>
      <w:szCs w:val="30"/>
      <w:lang w:val="fr-CH"/>
    </w:rPr>
  </w:style>
  <w:style w:type="paragraph" w:customStyle="1" w:styleId="Normalaftertitle0">
    <w:name w:val="Normal_after_title"/>
    <w:basedOn w:val="Normal"/>
    <w:next w:val="Normal"/>
    <w:rsid w:val="009577F4"/>
    <w:pPr>
      <w:tabs>
        <w:tab w:val="left" w:pos="1191"/>
        <w:tab w:val="left" w:pos="1588"/>
        <w:tab w:val="left" w:pos="1985"/>
      </w:tabs>
      <w:overflowPunct w:val="0"/>
      <w:autoSpaceDE w:val="0"/>
      <w:autoSpaceDN w:val="0"/>
      <w:bidi w:val="0"/>
      <w:adjustRightInd w:val="0"/>
      <w:spacing w:before="400" w:line="280" w:lineRule="exact"/>
      <w:textAlignment w:val="baseline"/>
    </w:pPr>
    <w:rPr>
      <w:rFonts w:ascii="Times New Roman" w:eastAsia="Times New Roman" w:hAnsi="Calibri" w:cs="Simplified Arabic" w:hint="cs"/>
      <w:sz w:val="24"/>
      <w:szCs w:val="30"/>
      <w:lang w:val="fr-CH"/>
    </w:rPr>
  </w:style>
  <w:style w:type="paragraph" w:customStyle="1" w:styleId="AnnexNoTitle">
    <w:name w:val="Annex_NoTitle"/>
    <w:basedOn w:val="Normal"/>
    <w:next w:val="Normalaftertitle0"/>
    <w:rsid w:val="009577F4"/>
    <w:pPr>
      <w:keepNext/>
      <w:keepLines/>
      <w:tabs>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Times New Roman" w:eastAsia="Times New Roman" w:hAnsi="Calibri" w:cs="Simplified Arabic" w:hint="cs"/>
      <w:b/>
      <w:sz w:val="24"/>
      <w:szCs w:val="30"/>
      <w:lang w:val="fr-CH"/>
    </w:rPr>
  </w:style>
  <w:style w:type="paragraph" w:customStyle="1" w:styleId="Headingb0">
    <w:name w:val="Heading_b"/>
    <w:basedOn w:val="Normal"/>
    <w:next w:val="Normal"/>
    <w:rsid w:val="009577F4"/>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Times New Roman" w:eastAsia="Times New Roman" w:hAnsi="Calibri" w:cs="Simplified Arabic" w:hint="cs"/>
      <w:b/>
      <w:sz w:val="24"/>
      <w:szCs w:val="30"/>
      <w:lang w:val="fr-CH"/>
    </w:rPr>
  </w:style>
  <w:style w:type="paragraph" w:customStyle="1" w:styleId="Title4">
    <w:name w:val="Title 4"/>
    <w:basedOn w:val="Title3"/>
    <w:next w:val="Heading1"/>
    <w:rsid w:val="009577F4"/>
    <w:pPr>
      <w:keepNext w:val="0"/>
      <w:tabs>
        <w:tab w:val="clear" w:pos="794"/>
        <w:tab w:val="left" w:pos="567"/>
        <w:tab w:val="left" w:pos="1134"/>
        <w:tab w:val="left" w:pos="1701"/>
        <w:tab w:val="left" w:pos="2268"/>
        <w:tab w:val="left" w:pos="2835"/>
      </w:tabs>
      <w:overflowPunct w:val="0"/>
      <w:autoSpaceDE w:val="0"/>
      <w:autoSpaceDN w:val="0"/>
      <w:bidi w:val="0"/>
      <w:adjustRightInd w:val="0"/>
      <w:spacing w:line="280" w:lineRule="exact"/>
      <w:textAlignment w:val="baseline"/>
    </w:pPr>
    <w:rPr>
      <w:rFonts w:ascii="Times New Roman" w:eastAsia="Times New Roman" w:hAnsi="Calibri" w:cs="Simplified Arabic" w:hint="cs"/>
      <w:b/>
      <w:sz w:val="28"/>
      <w:szCs w:val="30"/>
      <w:lang w:val="fr-CH"/>
    </w:rPr>
  </w:style>
  <w:style w:type="character" w:customStyle="1" w:styleId="enumlev1Char">
    <w:name w:val="enumlev1 Char"/>
    <w:link w:val="enumlev10"/>
    <w:locked/>
    <w:rsid w:val="009577F4"/>
    <w:rPr>
      <w:rFonts w:ascii="Times New Roman" w:eastAsia="Times New Roman" w:hAnsi="Calibri" w:cs="Simplified Arabic"/>
      <w:sz w:val="24"/>
      <w:szCs w:val="3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2</TotalTime>
  <Pages>5</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Gozal, Karine</cp:lastModifiedBy>
  <cp:revision>5</cp:revision>
  <dcterms:created xsi:type="dcterms:W3CDTF">2024-08-07T06:49:00Z</dcterms:created>
  <dcterms:modified xsi:type="dcterms:W3CDTF">2024-08-09T07:55:00Z</dcterms:modified>
</cp:coreProperties>
</file>