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BB" w:rsidRPr="008C3ECA" w:rsidRDefault="009E6EBB" w:rsidP="003469E8">
      <w:pPr>
        <w:tabs>
          <w:tab w:val="clear" w:pos="794"/>
          <w:tab w:val="clear" w:pos="1191"/>
          <w:tab w:val="clear" w:pos="1588"/>
          <w:tab w:val="clear" w:pos="1985"/>
        </w:tabs>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rsidTr="00AC05B1">
        <w:tc>
          <w:tcPr>
            <w:tcW w:w="6912" w:type="dxa"/>
            <w:gridSpan w:val="2"/>
            <w:shd w:val="clear" w:color="auto" w:fill="auto"/>
          </w:tcPr>
          <w:p w:rsidR="009E6EBB" w:rsidRPr="008C3ECA" w:rsidRDefault="009E6EBB" w:rsidP="00DE6E1E">
            <w:pPr>
              <w:spacing w:before="0"/>
              <w:ind w:left="-109"/>
              <w:jc w:val="left"/>
              <w:rPr>
                <w:szCs w:val="24"/>
                <w:lang w:val="en-GB"/>
              </w:rPr>
            </w:pPr>
            <w:r w:rsidRPr="008C3ECA">
              <w:rPr>
                <w:szCs w:val="24"/>
                <w:lang w:val="en-GB"/>
              </w:rPr>
              <w:t>Circular Letter</w:t>
            </w:r>
          </w:p>
          <w:p w:rsidR="009E6EBB" w:rsidRPr="00295CF8" w:rsidRDefault="009E6EBB" w:rsidP="00667AD2">
            <w:pPr>
              <w:spacing w:before="0"/>
              <w:ind w:left="-109"/>
              <w:jc w:val="left"/>
              <w:rPr>
                <w:b/>
                <w:bCs/>
                <w:szCs w:val="24"/>
                <w:lang w:val="en-GB"/>
              </w:rPr>
            </w:pPr>
            <w:r w:rsidRPr="008C3ECA">
              <w:rPr>
                <w:b/>
                <w:bCs/>
                <w:szCs w:val="24"/>
                <w:lang w:val="en-GB"/>
              </w:rPr>
              <w:t>C</w:t>
            </w:r>
            <w:r w:rsidR="00A508B1">
              <w:rPr>
                <w:b/>
                <w:bCs/>
                <w:szCs w:val="24"/>
                <w:lang w:val="en-GB"/>
              </w:rPr>
              <w:t>CR</w:t>
            </w:r>
            <w:r w:rsidRPr="008C3ECA">
              <w:rPr>
                <w:b/>
                <w:bCs/>
                <w:szCs w:val="24"/>
                <w:lang w:val="en-GB"/>
              </w:rPr>
              <w:t>R/</w:t>
            </w:r>
            <w:r w:rsidR="0012375C" w:rsidRPr="008E77DA">
              <w:rPr>
                <w:b/>
                <w:bCs/>
                <w:szCs w:val="24"/>
                <w:lang w:val="en-GB"/>
              </w:rPr>
              <w:t>6</w:t>
            </w:r>
            <w:r w:rsidR="00667AD2">
              <w:rPr>
                <w:b/>
                <w:bCs/>
                <w:szCs w:val="24"/>
                <w:lang w:val="en-GB"/>
              </w:rPr>
              <w:t>4</w:t>
            </w:r>
          </w:p>
        </w:tc>
        <w:tc>
          <w:tcPr>
            <w:tcW w:w="2977" w:type="dxa"/>
            <w:shd w:val="clear" w:color="auto" w:fill="auto"/>
          </w:tcPr>
          <w:p w:rsidR="009E6EBB" w:rsidRPr="00295CF8" w:rsidRDefault="00193A88" w:rsidP="007A3ABE">
            <w:pPr>
              <w:spacing w:before="0"/>
              <w:jc w:val="right"/>
              <w:rPr>
                <w:szCs w:val="24"/>
                <w:lang w:val="en-GB"/>
              </w:rPr>
            </w:pPr>
            <w:r>
              <w:rPr>
                <w:szCs w:val="24"/>
                <w:lang w:val="en-GB"/>
              </w:rPr>
              <w:t>1</w:t>
            </w:r>
            <w:r w:rsidR="007A3ABE">
              <w:rPr>
                <w:szCs w:val="24"/>
                <w:lang w:val="en-GB"/>
              </w:rPr>
              <w:t>7</w:t>
            </w:r>
            <w:r>
              <w:rPr>
                <w:szCs w:val="24"/>
                <w:lang w:val="en-GB"/>
              </w:rPr>
              <w:t xml:space="preserve"> </w:t>
            </w:r>
            <w:r w:rsidR="00667AD2">
              <w:rPr>
                <w:szCs w:val="24"/>
                <w:lang w:val="en-GB"/>
              </w:rPr>
              <w:t>December</w:t>
            </w:r>
            <w:r w:rsidR="00DF56B8">
              <w:rPr>
                <w:szCs w:val="24"/>
                <w:lang w:val="en-GB"/>
              </w:rPr>
              <w:t xml:space="preserve"> 2019</w:t>
            </w:r>
          </w:p>
        </w:tc>
      </w:tr>
      <w:tr w:rsidR="009E6EBB" w:rsidRPr="000D79FA" w:rsidTr="00AC05B1">
        <w:tc>
          <w:tcPr>
            <w:tcW w:w="9889" w:type="dxa"/>
            <w:gridSpan w:val="3"/>
            <w:shd w:val="clear" w:color="auto" w:fill="auto"/>
          </w:tcPr>
          <w:p w:rsidR="009E6EBB" w:rsidRPr="000D79FA" w:rsidRDefault="009E6EBB" w:rsidP="00DE6E1E">
            <w:pPr>
              <w:tabs>
                <w:tab w:val="left" w:pos="4428"/>
              </w:tabs>
              <w:spacing w:before="0"/>
              <w:ind w:left="-109"/>
              <w:jc w:val="left"/>
              <w:rPr>
                <w:rFonts w:cs="Arial"/>
                <w:sz w:val="24"/>
                <w:szCs w:val="24"/>
                <w:lang w:val="en-GB"/>
              </w:rPr>
            </w:pP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sz w:val="24"/>
                <w:szCs w:val="24"/>
                <w:lang w:val="en-GB"/>
              </w:rPr>
            </w:pP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b/>
                <w:bCs/>
                <w:sz w:val="24"/>
                <w:szCs w:val="24"/>
                <w:lang w:val="en-GB"/>
              </w:rPr>
            </w:pPr>
            <w:r w:rsidRPr="000D79FA">
              <w:rPr>
                <w:b/>
                <w:bCs/>
                <w:sz w:val="24"/>
                <w:szCs w:val="24"/>
                <w:lang w:val="en-GB"/>
              </w:rPr>
              <w:t>To Administrations of Member States of the ITU</w:t>
            </w: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sz w:val="24"/>
                <w:szCs w:val="24"/>
                <w:lang w:val="en-GB"/>
              </w:rPr>
            </w:pPr>
          </w:p>
        </w:tc>
      </w:tr>
      <w:tr w:rsidR="009E6EBB" w:rsidRPr="000D79FA" w:rsidTr="00AC05B1">
        <w:tc>
          <w:tcPr>
            <w:tcW w:w="9889" w:type="dxa"/>
            <w:gridSpan w:val="3"/>
            <w:shd w:val="clear" w:color="auto" w:fill="auto"/>
          </w:tcPr>
          <w:p w:rsidR="009E6EBB" w:rsidRPr="000D79FA" w:rsidRDefault="009E6EBB" w:rsidP="00DE6E1E">
            <w:pPr>
              <w:spacing w:before="0"/>
              <w:ind w:left="-109"/>
              <w:jc w:val="left"/>
              <w:rPr>
                <w:sz w:val="24"/>
                <w:szCs w:val="24"/>
                <w:lang w:val="en-GB"/>
              </w:rPr>
            </w:pPr>
          </w:p>
        </w:tc>
      </w:tr>
      <w:tr w:rsidR="009E6EBB" w:rsidRPr="000D79FA" w:rsidTr="00AC05B1">
        <w:tc>
          <w:tcPr>
            <w:tcW w:w="1526" w:type="dxa"/>
            <w:shd w:val="clear" w:color="auto" w:fill="auto"/>
          </w:tcPr>
          <w:p w:rsidR="009E6EBB" w:rsidRPr="000D79FA" w:rsidRDefault="009E6EBB" w:rsidP="00DE6E1E">
            <w:pPr>
              <w:spacing w:before="0"/>
              <w:ind w:left="-109"/>
              <w:jc w:val="left"/>
              <w:rPr>
                <w:sz w:val="24"/>
                <w:szCs w:val="24"/>
                <w:lang w:val="en-GB"/>
              </w:rPr>
            </w:pPr>
            <w:r w:rsidRPr="000D79FA">
              <w:rPr>
                <w:sz w:val="24"/>
                <w:szCs w:val="24"/>
                <w:lang w:val="en-GB"/>
              </w:rPr>
              <w:t>Subject:</w:t>
            </w:r>
          </w:p>
        </w:tc>
        <w:tc>
          <w:tcPr>
            <w:tcW w:w="8363" w:type="dxa"/>
            <w:gridSpan w:val="2"/>
            <w:vMerge w:val="restart"/>
            <w:shd w:val="clear" w:color="auto" w:fill="auto"/>
          </w:tcPr>
          <w:p w:rsidR="009E6EBB" w:rsidRPr="00EE1264" w:rsidRDefault="00A87760" w:rsidP="00C101DF">
            <w:pPr>
              <w:spacing w:before="0" w:after="240"/>
              <w:rPr>
                <w:b/>
                <w:bCs/>
                <w:sz w:val="24"/>
                <w:szCs w:val="24"/>
                <w:lang w:val="en-GB"/>
              </w:rPr>
            </w:pPr>
            <w:r>
              <w:rPr>
                <w:rFonts w:eastAsia="Times New Roman"/>
                <w:b/>
                <w:bCs/>
                <w:sz w:val="24"/>
                <w:szCs w:val="24"/>
              </w:rPr>
              <w:t>Draft Rule</w:t>
            </w:r>
            <w:r w:rsidR="00C101DF">
              <w:rPr>
                <w:rFonts w:eastAsia="Times New Roman"/>
                <w:b/>
                <w:bCs/>
                <w:sz w:val="24"/>
                <w:szCs w:val="24"/>
              </w:rPr>
              <w:t>s</w:t>
            </w:r>
            <w:r w:rsidR="000D5019" w:rsidRPr="00843494">
              <w:rPr>
                <w:rFonts w:eastAsia="Times New Roman"/>
                <w:b/>
                <w:bCs/>
                <w:sz w:val="24"/>
                <w:szCs w:val="24"/>
              </w:rPr>
              <w:t xml:space="preserve"> of Procedure </w:t>
            </w:r>
            <w:bookmarkStart w:id="0" w:name="_GoBack"/>
            <w:bookmarkEnd w:id="0"/>
            <w:r w:rsidR="00C101DF" w:rsidRPr="00C101DF">
              <w:rPr>
                <w:rFonts w:eastAsia="Times New Roman"/>
                <w:b/>
                <w:bCs/>
                <w:sz w:val="24"/>
                <w:szCs w:val="24"/>
              </w:rPr>
              <w:t>related to satellite systems submitted by an administration acting on behalf of a group of named administrations</w:t>
            </w:r>
            <w:r w:rsidR="000D5019" w:rsidRPr="00843494">
              <w:rPr>
                <w:rFonts w:eastAsia="Times New Roman"/>
                <w:b/>
                <w:bCs/>
                <w:sz w:val="24"/>
                <w:szCs w:val="24"/>
              </w:rPr>
              <w:t xml:space="preserve"> </w:t>
            </w:r>
          </w:p>
        </w:tc>
      </w:tr>
      <w:tr w:rsidR="009E6EBB" w:rsidRPr="000D79FA" w:rsidTr="00AC05B1">
        <w:tc>
          <w:tcPr>
            <w:tcW w:w="1526" w:type="dxa"/>
            <w:shd w:val="clear" w:color="auto" w:fill="auto"/>
          </w:tcPr>
          <w:p w:rsidR="009E6EBB" w:rsidRPr="000D79FA" w:rsidRDefault="009E6EBB" w:rsidP="00DE6E1E">
            <w:pPr>
              <w:spacing w:before="0"/>
              <w:ind w:left="-109"/>
              <w:jc w:val="left"/>
              <w:rPr>
                <w:b/>
                <w:bCs/>
                <w:sz w:val="24"/>
                <w:szCs w:val="24"/>
                <w:lang w:val="en-GB"/>
              </w:rPr>
            </w:pPr>
          </w:p>
        </w:tc>
        <w:tc>
          <w:tcPr>
            <w:tcW w:w="8363" w:type="dxa"/>
            <w:gridSpan w:val="2"/>
            <w:vMerge/>
            <w:shd w:val="clear" w:color="auto" w:fill="auto"/>
          </w:tcPr>
          <w:p w:rsidR="009E6EBB" w:rsidRPr="000D79FA" w:rsidRDefault="009E6EBB" w:rsidP="00DE6E1E">
            <w:pPr>
              <w:spacing w:before="0"/>
              <w:ind w:left="-109"/>
              <w:rPr>
                <w:b/>
                <w:bCs/>
                <w:sz w:val="24"/>
                <w:szCs w:val="24"/>
                <w:lang w:val="en-GB"/>
              </w:rPr>
            </w:pPr>
          </w:p>
        </w:tc>
      </w:tr>
      <w:tr w:rsidR="009E6EBB" w:rsidRPr="000D79FA" w:rsidTr="00AC05B1">
        <w:tc>
          <w:tcPr>
            <w:tcW w:w="1526" w:type="dxa"/>
            <w:shd w:val="clear" w:color="auto" w:fill="auto"/>
          </w:tcPr>
          <w:p w:rsidR="009E6EBB" w:rsidRPr="000D79FA" w:rsidRDefault="009E6EBB" w:rsidP="00DE6E1E">
            <w:pPr>
              <w:spacing w:before="0"/>
              <w:ind w:left="-109"/>
              <w:jc w:val="left"/>
              <w:rPr>
                <w:b/>
                <w:bCs/>
                <w:sz w:val="24"/>
                <w:szCs w:val="24"/>
                <w:lang w:val="en-GB"/>
              </w:rPr>
            </w:pPr>
          </w:p>
        </w:tc>
        <w:tc>
          <w:tcPr>
            <w:tcW w:w="8363" w:type="dxa"/>
            <w:gridSpan w:val="2"/>
            <w:vMerge/>
            <w:shd w:val="clear" w:color="auto" w:fill="auto"/>
          </w:tcPr>
          <w:p w:rsidR="009E6EBB" w:rsidRPr="000D79FA" w:rsidRDefault="009E6EBB" w:rsidP="00DE6E1E">
            <w:pPr>
              <w:spacing w:before="0"/>
              <w:ind w:left="-109"/>
              <w:rPr>
                <w:b/>
                <w:bCs/>
                <w:sz w:val="24"/>
                <w:szCs w:val="24"/>
                <w:lang w:val="en-GB"/>
              </w:rPr>
            </w:pPr>
          </w:p>
        </w:tc>
      </w:tr>
    </w:tbl>
    <w:p w:rsidR="000D5019" w:rsidRPr="008B4AB7" w:rsidRDefault="000D5019" w:rsidP="00193A88">
      <w:pPr>
        <w:spacing w:before="600" w:line="276" w:lineRule="auto"/>
        <w:rPr>
          <w:sz w:val="24"/>
          <w:szCs w:val="24"/>
          <w:lang w:val="en-GB" w:eastAsia="zh-CN"/>
        </w:rPr>
      </w:pPr>
      <w:r w:rsidRPr="008B4AB7">
        <w:rPr>
          <w:sz w:val="24"/>
          <w:szCs w:val="24"/>
          <w:lang w:val="en-GB" w:eastAsia="zh-CN"/>
        </w:rPr>
        <w:t xml:space="preserve">At its </w:t>
      </w:r>
      <w:r w:rsidR="00062550">
        <w:rPr>
          <w:sz w:val="24"/>
          <w:szCs w:val="24"/>
          <w:lang w:val="en-GB" w:eastAsia="zh-CN"/>
        </w:rPr>
        <w:t>8</w:t>
      </w:r>
      <w:r w:rsidR="00667AD2">
        <w:rPr>
          <w:sz w:val="24"/>
          <w:szCs w:val="24"/>
          <w:lang w:val="en-GB" w:eastAsia="zh-CN"/>
        </w:rPr>
        <w:t>2</w:t>
      </w:r>
      <w:r w:rsidR="00667AD2" w:rsidRPr="005613AE">
        <w:rPr>
          <w:sz w:val="24"/>
          <w:szCs w:val="24"/>
          <w:vertAlign w:val="superscript"/>
          <w:lang w:val="en-GB" w:eastAsia="zh-CN"/>
        </w:rPr>
        <w:t>nd</w:t>
      </w:r>
      <w:r w:rsidR="00667AD2">
        <w:rPr>
          <w:sz w:val="24"/>
          <w:szCs w:val="24"/>
          <w:lang w:val="en-GB" w:eastAsia="zh-CN"/>
        </w:rPr>
        <w:t xml:space="preserve"> </w:t>
      </w:r>
      <w:r w:rsidRPr="008B4AB7">
        <w:rPr>
          <w:sz w:val="24"/>
          <w:szCs w:val="24"/>
          <w:lang w:val="en-GB" w:eastAsia="zh-CN"/>
        </w:rPr>
        <w:t>meeting (</w:t>
      </w:r>
      <w:r w:rsidR="00667AD2">
        <w:rPr>
          <w:sz w:val="24"/>
          <w:szCs w:val="24"/>
          <w:lang w:val="en-GB" w:eastAsia="zh-CN"/>
        </w:rPr>
        <w:t>14-17 October</w:t>
      </w:r>
      <w:r w:rsidR="00062550">
        <w:rPr>
          <w:sz w:val="24"/>
          <w:szCs w:val="24"/>
          <w:lang w:val="en-GB" w:eastAsia="zh-CN"/>
        </w:rPr>
        <w:t xml:space="preserve"> </w:t>
      </w:r>
      <w:r>
        <w:rPr>
          <w:sz w:val="24"/>
          <w:szCs w:val="24"/>
          <w:lang w:val="en-GB" w:eastAsia="zh-CN"/>
        </w:rPr>
        <w:t>2019)</w:t>
      </w:r>
      <w:r w:rsidRPr="008B4AB7">
        <w:rPr>
          <w:sz w:val="24"/>
          <w:szCs w:val="24"/>
          <w:lang w:val="en-GB" w:eastAsia="zh-CN"/>
        </w:rPr>
        <w:t xml:space="preserve">, the Radio Regulations </w:t>
      </w:r>
      <w:r w:rsidR="00843494">
        <w:rPr>
          <w:sz w:val="24"/>
          <w:szCs w:val="24"/>
          <w:lang w:val="en-GB" w:eastAsia="zh-CN"/>
        </w:rPr>
        <w:t xml:space="preserve">Board </w:t>
      </w:r>
      <w:r w:rsidRPr="008B4AB7">
        <w:rPr>
          <w:sz w:val="24"/>
          <w:szCs w:val="24"/>
          <w:lang w:val="en-GB" w:eastAsia="zh-CN"/>
        </w:rPr>
        <w:t xml:space="preserve">agreed on the </w:t>
      </w:r>
      <w:r>
        <w:rPr>
          <w:sz w:val="24"/>
          <w:szCs w:val="24"/>
          <w:lang w:val="en-GB" w:eastAsia="zh-CN"/>
        </w:rPr>
        <w:t xml:space="preserve">need to </w:t>
      </w:r>
      <w:r w:rsidR="00062550">
        <w:rPr>
          <w:sz w:val="24"/>
          <w:szCs w:val="24"/>
          <w:lang w:val="en-GB" w:eastAsia="zh-CN"/>
        </w:rPr>
        <w:t xml:space="preserve">develop a </w:t>
      </w:r>
      <w:r>
        <w:rPr>
          <w:sz w:val="24"/>
          <w:szCs w:val="24"/>
          <w:lang w:val="en-GB" w:eastAsia="zh-CN"/>
        </w:rPr>
        <w:t xml:space="preserve">rule of procedure </w:t>
      </w:r>
      <w:r w:rsidR="00C101DF" w:rsidRPr="00C101DF">
        <w:rPr>
          <w:sz w:val="24"/>
          <w:szCs w:val="24"/>
          <w:lang w:val="en-GB" w:eastAsia="zh-CN"/>
        </w:rPr>
        <w:t>related to satellite systems submitted by an administration acting on behalf of a group of named administrations</w:t>
      </w:r>
      <w:r w:rsidR="00C101DF">
        <w:rPr>
          <w:sz w:val="24"/>
          <w:szCs w:val="24"/>
          <w:lang w:val="en-GB" w:eastAsia="zh-CN"/>
        </w:rPr>
        <w:t xml:space="preserve"> (see </w:t>
      </w:r>
      <w:r w:rsidR="00F15659">
        <w:rPr>
          <w:sz w:val="24"/>
          <w:szCs w:val="24"/>
          <w:lang w:val="en-GB" w:eastAsia="zh-CN"/>
        </w:rPr>
        <w:t>items A.1.f</w:t>
      </w:r>
      <w:r w:rsidR="00C101DF">
        <w:rPr>
          <w:sz w:val="24"/>
          <w:szCs w:val="24"/>
          <w:lang w:val="en-GB" w:eastAsia="zh-CN"/>
        </w:rPr>
        <w:t>.</w:t>
      </w:r>
      <w:r w:rsidR="00F15659">
        <w:rPr>
          <w:sz w:val="24"/>
          <w:szCs w:val="24"/>
          <w:lang w:val="en-GB" w:eastAsia="zh-CN"/>
        </w:rPr>
        <w:t>2 and A.1.f.3</w:t>
      </w:r>
      <w:r w:rsidR="00D22426">
        <w:rPr>
          <w:sz w:val="24"/>
          <w:szCs w:val="24"/>
          <w:lang w:val="en-GB" w:eastAsia="zh-CN"/>
        </w:rPr>
        <w:t xml:space="preserve"> of Annex 2 to Appendix </w:t>
      </w:r>
      <w:r w:rsidR="00D22426" w:rsidRPr="005613AE">
        <w:rPr>
          <w:b/>
          <w:bCs/>
          <w:sz w:val="24"/>
          <w:szCs w:val="24"/>
          <w:lang w:val="en-GB" w:eastAsia="zh-CN"/>
        </w:rPr>
        <w:t>4</w:t>
      </w:r>
      <w:r w:rsidR="00C101DF">
        <w:rPr>
          <w:b/>
          <w:bCs/>
          <w:sz w:val="24"/>
          <w:szCs w:val="24"/>
          <w:lang w:val="en-GB" w:eastAsia="zh-CN"/>
        </w:rPr>
        <w:t xml:space="preserve"> (Rev. WRC-19)</w:t>
      </w:r>
      <w:r w:rsidR="00C101DF" w:rsidRPr="00C101DF">
        <w:rPr>
          <w:sz w:val="24"/>
          <w:szCs w:val="24"/>
          <w:lang w:val="en-GB" w:eastAsia="zh-CN"/>
        </w:rPr>
        <w:t>)</w:t>
      </w:r>
      <w:r>
        <w:rPr>
          <w:sz w:val="24"/>
          <w:szCs w:val="24"/>
          <w:lang w:val="en-GB" w:eastAsia="zh-CN"/>
        </w:rPr>
        <w:t xml:space="preserve">. </w:t>
      </w:r>
      <w:r w:rsidR="00934636">
        <w:rPr>
          <w:sz w:val="24"/>
          <w:szCs w:val="24"/>
          <w:lang w:val="en-GB" w:eastAsia="zh-CN"/>
        </w:rPr>
        <w:t>This draft rule of procedure is contained in Annex 1.</w:t>
      </w:r>
    </w:p>
    <w:p w:rsidR="00597E71" w:rsidRDefault="009F2FCD" w:rsidP="005613AE">
      <w:pPr>
        <w:tabs>
          <w:tab w:val="clear" w:pos="794"/>
          <w:tab w:val="clear" w:pos="1191"/>
          <w:tab w:val="clear" w:pos="1588"/>
          <w:tab w:val="clear" w:pos="1985"/>
        </w:tabs>
        <w:spacing w:before="120" w:after="120" w:line="276" w:lineRule="auto"/>
        <w:ind w:right="-142"/>
        <w:rPr>
          <w:sz w:val="24"/>
          <w:szCs w:val="24"/>
          <w:lang w:val="en-GB"/>
        </w:rPr>
      </w:pPr>
      <w:r w:rsidRPr="00CE7562">
        <w:rPr>
          <w:sz w:val="24"/>
          <w:szCs w:val="24"/>
          <w:lang w:val="en-GB"/>
        </w:rPr>
        <w:t xml:space="preserve">In accordance with No. </w:t>
      </w:r>
      <w:r w:rsidRPr="00CE7562">
        <w:rPr>
          <w:b/>
          <w:bCs/>
          <w:sz w:val="24"/>
          <w:szCs w:val="24"/>
          <w:lang w:val="en-GB"/>
        </w:rPr>
        <w:t>13.17</w:t>
      </w:r>
      <w:r w:rsidRPr="00CE7562">
        <w:rPr>
          <w:sz w:val="24"/>
          <w:szCs w:val="24"/>
          <w:lang w:val="en-GB"/>
        </w:rPr>
        <w:t xml:space="preserve"> of the Radio Regulations, the draft Rules of Procedure are made available to administrations for comments before being submitted to the RRB pursuant to No. </w:t>
      </w:r>
      <w:r w:rsidRPr="00CE7562">
        <w:rPr>
          <w:b/>
          <w:bCs/>
          <w:sz w:val="24"/>
          <w:szCs w:val="24"/>
          <w:lang w:val="en-GB"/>
        </w:rPr>
        <w:t>13.14</w:t>
      </w:r>
      <w:r w:rsidRPr="00CE7562">
        <w:rPr>
          <w:sz w:val="24"/>
          <w:szCs w:val="24"/>
          <w:lang w:val="en-GB"/>
        </w:rPr>
        <w:t xml:space="preserve">. As indicated in No. </w:t>
      </w:r>
      <w:r w:rsidRPr="00CE7562">
        <w:rPr>
          <w:b/>
          <w:bCs/>
          <w:sz w:val="24"/>
          <w:szCs w:val="24"/>
          <w:lang w:val="en-GB"/>
        </w:rPr>
        <w:t>13.12A</w:t>
      </w:r>
      <w:r w:rsidRPr="00CE7562">
        <w:rPr>
          <w:sz w:val="24"/>
          <w:szCs w:val="24"/>
          <w:lang w:val="en-GB"/>
        </w:rPr>
        <w:t xml:space="preserve"> </w:t>
      </w:r>
      <w:r w:rsidRPr="00CE7562">
        <w:rPr>
          <w:i/>
          <w:iCs/>
          <w:sz w:val="24"/>
          <w:szCs w:val="24"/>
          <w:lang w:val="en-GB"/>
        </w:rPr>
        <w:t>d)</w:t>
      </w:r>
      <w:r w:rsidRPr="00CE7562">
        <w:rPr>
          <w:sz w:val="24"/>
          <w:szCs w:val="24"/>
          <w:lang w:val="en-GB"/>
        </w:rPr>
        <w:t xml:space="preserve"> of the Radio Regulations, any comments that you may wish to submit should reach the Bureau not later </w:t>
      </w:r>
      <w:r w:rsidRPr="006C792A">
        <w:rPr>
          <w:rFonts w:asciiTheme="minorHAnsi" w:hAnsiTheme="minorHAnsi" w:cstheme="minorHAnsi"/>
          <w:sz w:val="24"/>
          <w:szCs w:val="24"/>
          <w:lang w:val="en-GB"/>
        </w:rPr>
        <w:t>than</w:t>
      </w:r>
      <w:r w:rsidR="00482C80" w:rsidRPr="006C792A">
        <w:rPr>
          <w:rStyle w:val="Strong"/>
          <w:rFonts w:asciiTheme="minorHAnsi" w:hAnsiTheme="minorHAnsi" w:cstheme="minorHAnsi"/>
          <w:color w:val="444444"/>
          <w:sz w:val="24"/>
          <w:szCs w:val="24"/>
          <w:bdr w:val="none" w:sz="0" w:space="0" w:color="auto" w:frame="1"/>
        </w:rPr>
        <w:t> </w:t>
      </w:r>
      <w:r w:rsidR="00F15659">
        <w:rPr>
          <w:rStyle w:val="Strong"/>
          <w:rFonts w:asciiTheme="minorHAnsi" w:hAnsiTheme="minorHAnsi" w:cstheme="minorHAnsi"/>
          <w:sz w:val="24"/>
          <w:szCs w:val="24"/>
          <w:bdr w:val="none" w:sz="0" w:space="0" w:color="auto" w:frame="1"/>
        </w:rPr>
        <w:t>24 February</w:t>
      </w:r>
      <w:r w:rsidR="00482C80" w:rsidRPr="006C792A">
        <w:rPr>
          <w:rStyle w:val="Strong"/>
          <w:rFonts w:asciiTheme="minorHAnsi" w:hAnsiTheme="minorHAnsi" w:cstheme="minorHAnsi"/>
          <w:sz w:val="24"/>
          <w:szCs w:val="24"/>
          <w:bdr w:val="none" w:sz="0" w:space="0" w:color="auto" w:frame="1"/>
        </w:rPr>
        <w:t xml:space="preserve"> 20</w:t>
      </w:r>
      <w:r w:rsidR="00F15659">
        <w:rPr>
          <w:rStyle w:val="Strong"/>
          <w:rFonts w:asciiTheme="minorHAnsi" w:hAnsiTheme="minorHAnsi" w:cstheme="minorHAnsi"/>
          <w:sz w:val="24"/>
          <w:szCs w:val="24"/>
          <w:bdr w:val="none" w:sz="0" w:space="0" w:color="auto" w:frame="1"/>
        </w:rPr>
        <w:t>20</w:t>
      </w:r>
      <w:r w:rsidRPr="006C792A">
        <w:rPr>
          <w:rFonts w:asciiTheme="minorHAnsi" w:hAnsiTheme="minorHAnsi" w:cstheme="minorHAnsi"/>
          <w:sz w:val="24"/>
          <w:szCs w:val="24"/>
          <w:lang w:val="en-GB"/>
        </w:rPr>
        <w:t xml:space="preserve">, in order to be considered at the </w:t>
      </w:r>
      <w:r w:rsidR="00F15659" w:rsidRPr="006C792A">
        <w:rPr>
          <w:rFonts w:asciiTheme="minorHAnsi" w:hAnsiTheme="minorHAnsi" w:cstheme="minorHAnsi"/>
          <w:sz w:val="24"/>
          <w:szCs w:val="24"/>
          <w:lang w:val="en-GB"/>
        </w:rPr>
        <w:t>8</w:t>
      </w:r>
      <w:r w:rsidR="00F15659">
        <w:rPr>
          <w:rFonts w:asciiTheme="minorHAnsi" w:hAnsiTheme="minorHAnsi" w:cstheme="minorHAnsi"/>
          <w:sz w:val="24"/>
          <w:szCs w:val="24"/>
          <w:lang w:val="en-GB"/>
        </w:rPr>
        <w:t>3</w:t>
      </w:r>
      <w:r w:rsidR="00F15659" w:rsidRPr="005613AE">
        <w:rPr>
          <w:rFonts w:asciiTheme="minorHAnsi" w:hAnsiTheme="minorHAnsi" w:cstheme="minorHAnsi"/>
          <w:sz w:val="24"/>
          <w:szCs w:val="24"/>
          <w:vertAlign w:val="superscript"/>
          <w:lang w:val="en-GB"/>
        </w:rPr>
        <w:t>rd</w:t>
      </w:r>
      <w:r w:rsidR="00F15659">
        <w:rPr>
          <w:rFonts w:asciiTheme="minorHAnsi" w:hAnsiTheme="minorHAnsi" w:cstheme="minorHAnsi"/>
          <w:sz w:val="24"/>
          <w:szCs w:val="24"/>
          <w:vertAlign w:val="superscript"/>
          <w:lang w:val="en-GB"/>
        </w:rPr>
        <w:t> </w:t>
      </w:r>
      <w:r w:rsidRPr="006C792A">
        <w:rPr>
          <w:rFonts w:asciiTheme="minorHAnsi" w:hAnsiTheme="minorHAnsi" w:cstheme="minorHAnsi"/>
          <w:sz w:val="24"/>
          <w:szCs w:val="24"/>
          <w:lang w:val="en-GB"/>
        </w:rPr>
        <w:t xml:space="preserve">meeting of the RRB, scheduled for </w:t>
      </w:r>
      <w:r w:rsidR="00F15659">
        <w:rPr>
          <w:rStyle w:val="Strong"/>
          <w:rFonts w:asciiTheme="minorHAnsi" w:hAnsiTheme="minorHAnsi" w:cstheme="minorHAnsi"/>
          <w:b w:val="0"/>
          <w:sz w:val="24"/>
          <w:szCs w:val="24"/>
          <w:bdr w:val="none" w:sz="0" w:space="0" w:color="auto" w:frame="1"/>
        </w:rPr>
        <w:t>23 – 27 March 2020</w:t>
      </w:r>
      <w:r w:rsidRPr="006C792A">
        <w:rPr>
          <w:rFonts w:asciiTheme="minorHAnsi" w:hAnsiTheme="minorHAnsi" w:cstheme="minorHAnsi"/>
          <w:sz w:val="24"/>
          <w:szCs w:val="24"/>
          <w:lang w:val="en-GB"/>
        </w:rPr>
        <w:t>.</w:t>
      </w:r>
      <w:r w:rsidRPr="003F5D64">
        <w:rPr>
          <w:rFonts w:asciiTheme="minorHAnsi" w:hAnsiTheme="minorHAnsi" w:cstheme="minorHAnsi"/>
          <w:lang w:val="en-GB"/>
        </w:rPr>
        <w:t xml:space="preserve"> </w:t>
      </w:r>
      <w:r w:rsidRPr="00CE7562">
        <w:rPr>
          <w:sz w:val="24"/>
          <w:szCs w:val="24"/>
          <w:lang w:val="en-GB"/>
        </w:rPr>
        <w:t xml:space="preserve">Comments should be sent either by telefax to +41 22 730 5785 or by email to </w:t>
      </w:r>
      <w:hyperlink r:id="rId8" w:history="1">
        <w:r w:rsidRPr="00CE7562">
          <w:rPr>
            <w:color w:val="0000FF"/>
            <w:sz w:val="24"/>
            <w:szCs w:val="24"/>
            <w:u w:val="single"/>
            <w:lang w:val="en-GB"/>
          </w:rPr>
          <w:t>brmail@itu.int</w:t>
        </w:r>
      </w:hyperlink>
      <w:r w:rsidRPr="00CE7562">
        <w:rPr>
          <w:sz w:val="24"/>
          <w:szCs w:val="24"/>
          <w:lang w:val="en-GB"/>
        </w:rPr>
        <w:t>.</w:t>
      </w:r>
    </w:p>
    <w:p w:rsidR="00D627AD" w:rsidRPr="00597E71" w:rsidRDefault="00D627AD" w:rsidP="00560569">
      <w:pPr>
        <w:tabs>
          <w:tab w:val="clear" w:pos="794"/>
          <w:tab w:val="clear" w:pos="1191"/>
          <w:tab w:val="clear" w:pos="1588"/>
          <w:tab w:val="clear" w:pos="1985"/>
        </w:tabs>
        <w:spacing w:before="120" w:after="120"/>
        <w:ind w:right="-142"/>
        <w:rPr>
          <w:rFonts w:eastAsia="Times New Roman"/>
          <w:sz w:val="24"/>
          <w:szCs w:val="24"/>
          <w:lang w:val="en-GB" w:eastAsia="zh-CN"/>
        </w:rPr>
      </w:pPr>
    </w:p>
    <w:p w:rsidR="006A5B9A" w:rsidRDefault="006A5B9A" w:rsidP="00DE6E1E">
      <w:pPr>
        <w:spacing w:before="120" w:after="120"/>
        <w:ind w:right="-284"/>
        <w:rPr>
          <w:rFonts w:eastAsia="Times New Roman"/>
          <w:sz w:val="24"/>
          <w:szCs w:val="24"/>
          <w:lang w:val="en-GB"/>
        </w:rPr>
      </w:pPr>
    </w:p>
    <w:p w:rsidR="009C6769" w:rsidRPr="006A5B9A" w:rsidRDefault="009C6769" w:rsidP="00DE6E1E">
      <w:pPr>
        <w:spacing w:before="0" w:line="240" w:lineRule="auto"/>
        <w:jc w:val="left"/>
        <w:rPr>
          <w:rFonts w:asciiTheme="minorHAnsi" w:hAnsiTheme="minorHAnsi" w:cstheme="minorHAnsi"/>
          <w:sz w:val="24"/>
          <w:szCs w:val="24"/>
          <w:lang w:val="en-GB"/>
        </w:rPr>
      </w:pPr>
    </w:p>
    <w:p w:rsidR="009C6769" w:rsidRDefault="009C6769" w:rsidP="00DE6E1E">
      <w:pPr>
        <w:spacing w:before="0" w:line="240" w:lineRule="auto"/>
        <w:jc w:val="left"/>
        <w:rPr>
          <w:rFonts w:asciiTheme="minorHAnsi" w:hAnsiTheme="minorHAnsi" w:cstheme="minorHAnsi"/>
          <w:sz w:val="24"/>
          <w:szCs w:val="24"/>
        </w:rPr>
      </w:pPr>
    </w:p>
    <w:p w:rsidR="009E6EBB" w:rsidRPr="00814544" w:rsidRDefault="00DF56B8" w:rsidP="00DE6E1E">
      <w:pPr>
        <w:spacing w:before="0" w:line="240" w:lineRule="auto"/>
        <w:jc w:val="left"/>
        <w:rPr>
          <w:rFonts w:asciiTheme="minorHAnsi" w:hAnsiTheme="minorHAnsi" w:cstheme="minorHAnsi"/>
          <w:sz w:val="24"/>
          <w:szCs w:val="24"/>
          <w:lang w:val="en-GB"/>
        </w:rPr>
      </w:pPr>
      <w:r w:rsidRPr="00814544">
        <w:rPr>
          <w:rFonts w:asciiTheme="minorHAnsi" w:hAnsiTheme="minorHAnsi" w:cstheme="minorHAnsi"/>
          <w:sz w:val="24"/>
          <w:szCs w:val="24"/>
          <w:lang w:val="en-GB"/>
        </w:rPr>
        <w:t>M</w:t>
      </w:r>
      <w:r>
        <w:rPr>
          <w:rFonts w:asciiTheme="minorHAnsi" w:hAnsiTheme="minorHAnsi" w:cstheme="minorHAnsi"/>
          <w:sz w:val="24"/>
          <w:szCs w:val="24"/>
          <w:lang w:val="en-GB"/>
        </w:rPr>
        <w:t>ario Maniewicz</w:t>
      </w:r>
    </w:p>
    <w:p w:rsidR="009E6EBB" w:rsidRPr="00814544" w:rsidRDefault="009E6EBB" w:rsidP="00DE6E1E">
      <w:pPr>
        <w:spacing w:before="0" w:line="240" w:lineRule="auto"/>
        <w:jc w:val="left"/>
        <w:rPr>
          <w:rFonts w:asciiTheme="minorHAnsi" w:hAnsiTheme="minorHAnsi" w:cstheme="minorHAnsi"/>
          <w:sz w:val="24"/>
          <w:szCs w:val="24"/>
          <w:lang w:val="en-GB"/>
        </w:rPr>
      </w:pPr>
      <w:r w:rsidRPr="00814544">
        <w:rPr>
          <w:rFonts w:asciiTheme="minorHAnsi" w:hAnsiTheme="minorHAnsi" w:cstheme="minorHAnsi"/>
          <w:sz w:val="24"/>
          <w:szCs w:val="24"/>
          <w:lang w:val="en-GB"/>
        </w:rPr>
        <w:t>Director</w:t>
      </w:r>
    </w:p>
    <w:p w:rsidR="009E6EBB" w:rsidRPr="00814544" w:rsidRDefault="009E6EBB" w:rsidP="00DE6E1E">
      <w:pPr>
        <w:spacing w:before="0" w:line="240" w:lineRule="auto"/>
        <w:jc w:val="left"/>
        <w:rPr>
          <w:rFonts w:asciiTheme="minorHAnsi" w:hAnsiTheme="minorHAnsi" w:cstheme="minorHAnsi"/>
          <w:sz w:val="24"/>
          <w:szCs w:val="24"/>
          <w:lang w:val="en-GB"/>
        </w:rPr>
      </w:pPr>
    </w:p>
    <w:p w:rsidR="00EE3CDE" w:rsidRPr="00814544" w:rsidRDefault="00EE3CDE" w:rsidP="009973BC">
      <w:pPr>
        <w:pStyle w:val="ListParagraph"/>
        <w:tabs>
          <w:tab w:val="clear" w:pos="794"/>
          <w:tab w:val="clear" w:pos="1191"/>
          <w:tab w:val="clear" w:pos="1588"/>
          <w:tab w:val="clear" w:pos="1985"/>
        </w:tabs>
        <w:spacing w:line="276" w:lineRule="auto"/>
        <w:ind w:left="0"/>
        <w:rPr>
          <w:lang w:val="en-GB"/>
        </w:rPr>
      </w:pPr>
      <w:r w:rsidRPr="00814544">
        <w:rPr>
          <w:b/>
          <w:bCs/>
          <w:sz w:val="24"/>
          <w:szCs w:val="24"/>
          <w:lang w:val="en-GB"/>
        </w:rPr>
        <w:t>Annex</w:t>
      </w:r>
      <w:r w:rsidR="003B4354" w:rsidRPr="00814544">
        <w:rPr>
          <w:b/>
          <w:bCs/>
          <w:sz w:val="24"/>
          <w:szCs w:val="24"/>
          <w:lang w:val="en-GB"/>
        </w:rPr>
        <w:t>:</w:t>
      </w:r>
      <w:r w:rsidR="004969F2" w:rsidRPr="00814544">
        <w:rPr>
          <w:b/>
          <w:bCs/>
          <w:sz w:val="24"/>
          <w:szCs w:val="24"/>
          <w:lang w:val="en-GB"/>
        </w:rPr>
        <w:t xml:space="preserve"> </w:t>
      </w:r>
      <w:r w:rsidR="009973BC">
        <w:rPr>
          <w:bCs/>
          <w:sz w:val="24"/>
          <w:szCs w:val="24"/>
          <w:lang w:val="en-GB"/>
        </w:rPr>
        <w:t>1</w:t>
      </w:r>
      <w:r w:rsidR="004969F2" w:rsidRPr="00814544">
        <w:rPr>
          <w:sz w:val="24"/>
          <w:szCs w:val="24"/>
          <w:lang w:val="en-GB"/>
        </w:rPr>
        <w:t xml:space="preserve"> </w:t>
      </w:r>
    </w:p>
    <w:p w:rsidR="00EE3CDE" w:rsidRPr="00814544" w:rsidRDefault="00EE3CDE" w:rsidP="00DE6E1E">
      <w:pPr>
        <w:pStyle w:val="toc0"/>
        <w:tabs>
          <w:tab w:val="left" w:pos="794"/>
          <w:tab w:val="left" w:pos="1191"/>
          <w:tab w:val="left" w:pos="1588"/>
          <w:tab w:val="left" w:pos="1985"/>
        </w:tabs>
        <w:spacing w:before="480"/>
        <w:jc w:val="both"/>
        <w:rPr>
          <w:bCs/>
          <w:sz w:val="18"/>
          <w:szCs w:val="18"/>
          <w:u w:val="single"/>
          <w:lang w:val="en-GB"/>
        </w:rPr>
      </w:pPr>
      <w:bookmarkStart w:id="1" w:name="ddistribution"/>
      <w:bookmarkEnd w:id="1"/>
      <w:r w:rsidRPr="00814544">
        <w:rPr>
          <w:bCs/>
          <w:sz w:val="18"/>
          <w:szCs w:val="18"/>
          <w:u w:val="single"/>
          <w:lang w:val="en-GB"/>
        </w:rPr>
        <w:t>Distribution:</w:t>
      </w:r>
    </w:p>
    <w:p w:rsidR="00EE3CDE" w:rsidRPr="00AB4694" w:rsidRDefault="00EE3CDE" w:rsidP="00DE6E1E">
      <w:pPr>
        <w:pStyle w:val="enumlev1"/>
        <w:tabs>
          <w:tab w:val="clear" w:pos="794"/>
          <w:tab w:val="left" w:pos="284"/>
        </w:tabs>
        <w:ind w:firstLine="0"/>
        <w:rPr>
          <w:sz w:val="16"/>
          <w:szCs w:val="16"/>
        </w:rPr>
      </w:pPr>
      <w:r w:rsidRPr="00AB4694">
        <w:rPr>
          <w:sz w:val="16"/>
          <w:szCs w:val="16"/>
        </w:rPr>
        <w:t>–</w:t>
      </w:r>
      <w:r w:rsidRPr="00AB4694">
        <w:rPr>
          <w:sz w:val="16"/>
          <w:szCs w:val="16"/>
        </w:rPr>
        <w:tab/>
        <w:t>Administrations of Member States of ITU</w:t>
      </w:r>
    </w:p>
    <w:p w:rsidR="00EE3CDE" w:rsidRPr="00AB4694" w:rsidRDefault="00EE3CDE" w:rsidP="00DE6E1E">
      <w:pPr>
        <w:pStyle w:val="enumlev1"/>
        <w:tabs>
          <w:tab w:val="clear" w:pos="794"/>
          <w:tab w:val="left" w:pos="284"/>
        </w:tabs>
        <w:spacing w:before="0"/>
        <w:ind w:firstLine="0"/>
        <w:rPr>
          <w:sz w:val="16"/>
          <w:szCs w:val="16"/>
        </w:rPr>
      </w:pPr>
      <w:r w:rsidRPr="00AB4694">
        <w:rPr>
          <w:sz w:val="16"/>
          <w:szCs w:val="16"/>
        </w:rPr>
        <w:t>–</w:t>
      </w:r>
      <w:r w:rsidRPr="00AB4694">
        <w:rPr>
          <w:sz w:val="16"/>
          <w:szCs w:val="16"/>
        </w:rPr>
        <w:tab/>
        <w:t>Members of the Radio Regulations Board</w:t>
      </w:r>
    </w:p>
    <w:p w:rsidR="00F15659" w:rsidRDefault="00F15659">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b/>
          <w:bCs/>
          <w:lang w:val="en-GB"/>
        </w:rPr>
        <w:sectPr w:rsidR="00F15659" w:rsidSect="00655C3A">
          <w:headerReference w:type="even" r:id="rId9"/>
          <w:headerReference w:type="default" r:id="rId10"/>
          <w:headerReference w:type="first" r:id="rId11"/>
          <w:footerReference w:type="first" r:id="rId12"/>
          <w:pgSz w:w="11907" w:h="16834" w:code="9"/>
          <w:pgMar w:top="1134" w:right="1134" w:bottom="992" w:left="1134" w:header="567" w:footer="214" w:gutter="0"/>
          <w:cols w:space="720"/>
          <w:titlePg/>
        </w:sectPr>
      </w:pPr>
    </w:p>
    <w:p w:rsidR="005613AE" w:rsidRDefault="005613AE">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b/>
          <w:bCs/>
          <w:lang w:val="en-GB"/>
        </w:rPr>
      </w:pPr>
      <w:r>
        <w:rPr>
          <w:rFonts w:eastAsia="Times New Roman"/>
          <w:b/>
          <w:bCs/>
          <w:lang w:val="en-GB"/>
        </w:rPr>
        <w:br w:type="page"/>
      </w:r>
    </w:p>
    <w:p w:rsidR="00FA2B72" w:rsidRDefault="00FA2B72" w:rsidP="00FA2B72">
      <w:pPr>
        <w:jc w:val="center"/>
        <w:rPr>
          <w:rFonts w:eastAsia="Times New Roman"/>
          <w:b/>
          <w:bCs/>
          <w:lang w:val="en-GB"/>
        </w:rPr>
      </w:pPr>
      <w:r>
        <w:rPr>
          <w:rFonts w:eastAsia="Times New Roman"/>
          <w:b/>
          <w:bCs/>
          <w:lang w:val="en-GB"/>
        </w:rPr>
        <w:lastRenderedPageBreak/>
        <w:t>ANNEX 1</w:t>
      </w:r>
    </w:p>
    <w:p w:rsidR="00F15659" w:rsidRDefault="00C101DF" w:rsidP="00F15659">
      <w:pPr>
        <w:pStyle w:val="Heading1"/>
        <w:spacing w:before="300"/>
        <w:ind w:left="0" w:firstLine="0"/>
      </w:pPr>
      <w:r>
        <w:t>AD</w:t>
      </w:r>
      <w:r w:rsidR="00F15659">
        <w:t>D</w:t>
      </w:r>
    </w:p>
    <w:p w:rsidR="00C101DF" w:rsidRPr="00AE5443" w:rsidRDefault="00C101DF" w:rsidP="00C101DF">
      <w:pPr>
        <w:pStyle w:val="Heading1"/>
        <w:spacing w:before="300"/>
        <w:ind w:left="0" w:firstLine="0"/>
        <w:jc w:val="center"/>
      </w:pPr>
      <w:r w:rsidRPr="00AE5443">
        <w:t xml:space="preserve">Rules </w:t>
      </w:r>
      <w:r w:rsidRPr="000E7114">
        <w:t xml:space="preserve">related to satellite </w:t>
      </w:r>
      <w:r>
        <w:t>systems</w:t>
      </w:r>
      <w:r w:rsidRPr="000E7114">
        <w:t xml:space="preserve"> </w:t>
      </w:r>
      <w:r>
        <w:br/>
      </w:r>
      <w:r w:rsidRPr="000E7114">
        <w:t>submitted by an administration acting on behalf of a group of named administrations</w:t>
      </w:r>
    </w:p>
    <w:p w:rsidR="00C101DF" w:rsidRPr="00933276" w:rsidRDefault="00C101DF" w:rsidP="00C101DF"/>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C101DF" w:rsidRPr="00933276" w:rsidTr="00445233">
        <w:tc>
          <w:tcPr>
            <w:tcW w:w="9609" w:type="dxa"/>
          </w:tcPr>
          <w:p w:rsidR="00C101DF" w:rsidRPr="00933276" w:rsidRDefault="00C101DF" w:rsidP="00445233">
            <w:pPr>
              <w:spacing w:before="0"/>
              <w:rPr>
                <w:b/>
                <w:bCs/>
                <w:szCs w:val="24"/>
              </w:rPr>
            </w:pPr>
            <w:r w:rsidRPr="00933276">
              <w:rPr>
                <w:b/>
                <w:bCs/>
                <w:szCs w:val="24"/>
              </w:rPr>
              <w:t>9.1</w:t>
            </w:r>
            <w:r>
              <w:rPr>
                <w:b/>
                <w:bCs/>
                <w:szCs w:val="24"/>
              </w:rPr>
              <w:t>.1</w:t>
            </w:r>
            <w:r w:rsidRPr="00933276">
              <w:rPr>
                <w:b/>
                <w:bCs/>
                <w:szCs w:val="24"/>
              </w:rPr>
              <w:t xml:space="preserve">, 9.6.1, 11.15.1, </w:t>
            </w:r>
            <w:r>
              <w:rPr>
                <w:b/>
                <w:bCs/>
                <w:szCs w:val="24"/>
              </w:rPr>
              <w:t xml:space="preserve">AP4 Annex 2 items A.1.f.2 and A.1.f.3, </w:t>
            </w:r>
            <w:r w:rsidRPr="00933276">
              <w:rPr>
                <w:b/>
                <w:bCs/>
                <w:szCs w:val="24"/>
              </w:rPr>
              <w:t>AP30 (4.1.3, 4.1.25, 4.2.6, 5.1.1), AP30A (4.1.3, 4.1.25,</w:t>
            </w:r>
            <w:r>
              <w:rPr>
                <w:b/>
                <w:bCs/>
                <w:szCs w:val="24"/>
              </w:rPr>
              <w:t xml:space="preserve"> </w:t>
            </w:r>
            <w:r w:rsidRPr="00933276">
              <w:rPr>
                <w:b/>
                <w:bCs/>
                <w:szCs w:val="24"/>
              </w:rPr>
              <w:t>4.2.6,5.1.2), AP30B (2.6, 6.1)</w:t>
            </w:r>
          </w:p>
        </w:tc>
      </w:tr>
    </w:tbl>
    <w:p w:rsidR="00C101DF" w:rsidRDefault="00C101DF" w:rsidP="00C101DF">
      <w:r w:rsidRPr="00B01450">
        <w:t xml:space="preserve">Certain provisions of the Radio Regulations (Nos. </w:t>
      </w:r>
      <w:r w:rsidRPr="00583F28">
        <w:rPr>
          <w:b/>
          <w:bCs/>
        </w:rPr>
        <w:t>9.1</w:t>
      </w:r>
      <w:r>
        <w:rPr>
          <w:b/>
          <w:bCs/>
        </w:rPr>
        <w:t>.1</w:t>
      </w:r>
      <w:r w:rsidRPr="00B01450">
        <w:t xml:space="preserve">, </w:t>
      </w:r>
      <w:r w:rsidRPr="00583F28">
        <w:rPr>
          <w:b/>
          <w:bCs/>
        </w:rPr>
        <w:t>9.6.1</w:t>
      </w:r>
      <w:r w:rsidRPr="00B01450">
        <w:t xml:space="preserve">, </w:t>
      </w:r>
      <w:r w:rsidRPr="00583F28">
        <w:rPr>
          <w:b/>
          <w:bCs/>
        </w:rPr>
        <w:t>11.15.1</w:t>
      </w:r>
      <w:r w:rsidRPr="00B01450">
        <w:t xml:space="preserve">, Appendix </w:t>
      </w:r>
      <w:r w:rsidRPr="00583F28">
        <w:rPr>
          <w:b/>
          <w:bCs/>
        </w:rPr>
        <w:t>30</w:t>
      </w:r>
      <w:r w:rsidRPr="00B01450">
        <w:t xml:space="preserve"> (§§</w:t>
      </w:r>
      <w:r>
        <w:t xml:space="preserve"> </w:t>
      </w:r>
      <w:r w:rsidRPr="00B01450">
        <w:t>4.1.3, 4.2.6 and 5.1.1</w:t>
      </w:r>
      <w:r>
        <w:t xml:space="preserve">, see also </w:t>
      </w:r>
      <w:r w:rsidRPr="00B01450">
        <w:t xml:space="preserve">§ 4.1.25), Appendix </w:t>
      </w:r>
      <w:r w:rsidRPr="00583F28">
        <w:rPr>
          <w:b/>
          <w:bCs/>
        </w:rPr>
        <w:t>30A</w:t>
      </w:r>
      <w:r w:rsidRPr="00B01450">
        <w:t xml:space="preserve"> (§§</w:t>
      </w:r>
      <w:r>
        <w:t xml:space="preserve"> </w:t>
      </w:r>
      <w:r w:rsidRPr="00B01450">
        <w:t>4.1.3</w:t>
      </w:r>
      <w:r>
        <w:t>, 4.2.6</w:t>
      </w:r>
      <w:r w:rsidRPr="00B01450">
        <w:t xml:space="preserve"> and 5.1.2</w:t>
      </w:r>
      <w:r>
        <w:t xml:space="preserve">, see also </w:t>
      </w:r>
      <w:r w:rsidRPr="00B01450">
        <w:t>§</w:t>
      </w:r>
      <w:r>
        <w:t xml:space="preserve"> 4.1.25</w:t>
      </w:r>
      <w:r w:rsidRPr="00B01450">
        <w:t xml:space="preserve">), Appendix </w:t>
      </w:r>
      <w:r w:rsidRPr="00583F28">
        <w:rPr>
          <w:b/>
          <w:bCs/>
        </w:rPr>
        <w:t>30B</w:t>
      </w:r>
      <w:r w:rsidRPr="00B01450">
        <w:t xml:space="preserve"> (§§ 2.6 and 6.1)) allow for an administration to act on behalf of a group of named administrations for the pu</w:t>
      </w:r>
      <w:r>
        <w:t>rpose of notifying the Bureau of frequency assignments to satellite systems.</w:t>
      </w:r>
      <w:r w:rsidRPr="00B01450">
        <w:t xml:space="preserve"> In such cases, the adm</w:t>
      </w:r>
      <w:r>
        <w:t>inistration acting on behalf of</w:t>
      </w:r>
      <w:r w:rsidRPr="00B01450">
        <w:t xml:space="preserve"> th</w:t>
      </w:r>
      <w:r>
        <w:t>e group is designated as the notifying administration for</w:t>
      </w:r>
      <w:r w:rsidRPr="00B01450">
        <w:t xml:space="preserve"> the group</w:t>
      </w:r>
      <w:r>
        <w:t xml:space="preserve"> within the meaning of the</w:t>
      </w:r>
      <w:r w:rsidRPr="00B01450">
        <w:t xml:space="preserve"> Radio Regulations.</w:t>
      </w:r>
      <w:r>
        <w:t xml:space="preserve"> These provisions share the common feature (albeit expressed in different manners) that, whenever an administration acts on behalf of a group of named administrations, all members of the group retain the right to respond in respect of their own services which could affect or be affected by the proposed assignment.</w:t>
      </w:r>
    </w:p>
    <w:p w:rsidR="00C101DF" w:rsidRDefault="00C101DF" w:rsidP="00C101DF">
      <w:r>
        <w:t>For the implementation of these provisions, symbols of “</w:t>
      </w:r>
      <w:r w:rsidRPr="003A3D41">
        <w:t>Intergovernmental satellite organizations</w:t>
      </w:r>
      <w:r>
        <w:t xml:space="preserve">” (see Table 2 of the Preface to the BR IFIC for Space Services), irrespective of the legal status of the group of administrations forming the entity, shall be created. Such symbols shall be submitted to the Bureau under item A.1.f.3 of Annex 2 to Appendix </w:t>
      </w:r>
      <w:r w:rsidRPr="003A3D41">
        <w:rPr>
          <w:b/>
          <w:bCs/>
        </w:rPr>
        <w:t>4</w:t>
      </w:r>
      <w:r>
        <w:t xml:space="preserve"> (“</w:t>
      </w:r>
      <w:r w:rsidRPr="00B01450">
        <w:t>if the notice is submitted on behalf of an intergovernmental satellite organization, the symbol of that organization (see the Preface)</w:t>
      </w:r>
      <w:r>
        <w:t>”). Satellite filings bearing such a symbol shall be treated separately from filings submitted by the notifying administration on its own behalf: the special sections of such satellite filings show the notifying administration labelled as ADM/ORG, where ADM is the symbol of the notifying administration and ORG the symbol of the i</w:t>
      </w:r>
      <w:r w:rsidRPr="003A3D41">
        <w:t>ntergove</w:t>
      </w:r>
      <w:r>
        <w:t xml:space="preserve">rnmental satellite organization (instead of being simply labelled ADM). Moreover, the satellite systems of ADM shall be listed in the coordination requirements of the satellite system of ADM/ORG if the relevant coordination thresholds are exceeded. This method ensures the appropriate implementation of the right of “all members of the group (…) to respond in respect of their own services”. </w:t>
      </w:r>
    </w:p>
    <w:p w:rsidR="00C101DF" w:rsidRPr="000202DB" w:rsidRDefault="00C101DF" w:rsidP="00DD1275">
      <w:r>
        <w:t xml:space="preserve">In parallel, the Bureau can list several administrations under item A.1.f.2 of Annex 2 to Appendix </w:t>
      </w:r>
      <w:r>
        <w:rPr>
          <w:b/>
          <w:bCs/>
        </w:rPr>
        <w:t xml:space="preserve">4 </w:t>
      </w:r>
      <w:r w:rsidRPr="00BD4B86">
        <w:t>(</w:t>
      </w:r>
      <w:r>
        <w:t>“</w:t>
      </w:r>
      <w:r w:rsidRPr="00BD4B86">
        <w:rPr>
          <w:i/>
          <w:iCs/>
        </w:rPr>
        <w:t>if the notice is submitted by the notifying administration in association with other administrations, the symbols of each of the administrations (see the Preface)</w:t>
      </w:r>
      <w:r>
        <w:t>”</w:t>
      </w:r>
      <w:r w:rsidRPr="00BD4B86">
        <w:t>)</w:t>
      </w:r>
      <w:r>
        <w:t xml:space="preserve"> without the creation of “</w:t>
      </w:r>
      <w:r w:rsidRPr="003A3D41">
        <w:t>Intergovernmental satellite organizations</w:t>
      </w:r>
      <w:r>
        <w:t xml:space="preserve">”. In these cases, the notifying administration shall be labelled ADM and no coordination requirements with other satellite systems of that notifying administration shall be considered. In other terms, the right of the notifying administration of the group to respond in respect of its own services is not applied to these cases (other administrations of the group </w:t>
      </w:r>
      <w:r w:rsidR="00DD1275">
        <w:t>do</w:t>
      </w:r>
      <w:r>
        <w:t xml:space="preserve"> however retain this right). </w:t>
      </w:r>
    </w:p>
    <w:p w:rsidR="00C101DF" w:rsidRDefault="00C101DF" w:rsidP="00C101DF">
      <w:r>
        <w:t xml:space="preserve">The following table shall apply for treatment of notices submitted by </w:t>
      </w:r>
      <w:r w:rsidRPr="00B01450">
        <w:t>an administration act</w:t>
      </w:r>
      <w:r>
        <w:t>ing</w:t>
      </w:r>
      <w:r w:rsidRPr="00B01450">
        <w:t xml:space="preserve"> on behalf of a group of named administrations</w:t>
      </w:r>
      <w:r>
        <w:t xml:space="preserve"> depending on whether the group is submitted through item A.1.f.2 or A.1.f.3 of Annex 2 to Appendix </w:t>
      </w:r>
      <w:r>
        <w:rPr>
          <w:b/>
          <w:bCs/>
        </w:rPr>
        <w:t>4</w:t>
      </w:r>
      <w:r>
        <w:t>.</w:t>
      </w:r>
    </w:p>
    <w:p w:rsidR="00C101DF" w:rsidRPr="00695055" w:rsidRDefault="00C101DF" w:rsidP="00C101DF">
      <w:r>
        <w:t>Note: some intergovernmental satellite organizations have more than one notifying administration. In such a case, the following table is applicable separately for each notifying administration in respect of the satellite system for which it acts as the notifying administration on behalf of the group of named administrations.</w:t>
      </w:r>
    </w:p>
    <w:p w:rsidR="00C101DF" w:rsidRDefault="00C101DF" w:rsidP="00C101DF">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C101DF" w:rsidRDefault="00C101DF" w:rsidP="00C101DF"/>
    <w:tbl>
      <w:tblPr>
        <w:tblStyle w:val="TableGrid"/>
        <w:tblW w:w="10349" w:type="dxa"/>
        <w:tblInd w:w="-431" w:type="dxa"/>
        <w:tblLook w:val="04A0" w:firstRow="1" w:lastRow="0" w:firstColumn="1" w:lastColumn="0" w:noHBand="0" w:noVBand="1"/>
      </w:tblPr>
      <w:tblGrid>
        <w:gridCol w:w="2411"/>
        <w:gridCol w:w="3827"/>
        <w:gridCol w:w="4111"/>
      </w:tblGrid>
      <w:tr w:rsidR="00C101DF" w:rsidRPr="00FA1634" w:rsidTr="00445233">
        <w:trPr>
          <w:tblHeader/>
        </w:trPr>
        <w:tc>
          <w:tcPr>
            <w:tcW w:w="2411" w:type="dxa"/>
          </w:tcPr>
          <w:p w:rsidR="00C101DF" w:rsidRPr="00FA1634" w:rsidRDefault="00C101DF" w:rsidP="00445233">
            <w:pPr>
              <w:rPr>
                <w:szCs w:val="18"/>
              </w:rPr>
            </w:pPr>
          </w:p>
        </w:tc>
        <w:tc>
          <w:tcPr>
            <w:tcW w:w="3827" w:type="dxa"/>
          </w:tcPr>
          <w:p w:rsidR="00C101DF" w:rsidRPr="00FA1634" w:rsidRDefault="00C101DF" w:rsidP="00445233">
            <w:pPr>
              <w:spacing w:after="120"/>
              <w:jc w:val="center"/>
              <w:rPr>
                <w:b/>
                <w:bCs/>
                <w:szCs w:val="18"/>
              </w:rPr>
            </w:pPr>
            <w:r w:rsidRPr="00FA1634">
              <w:rPr>
                <w:b/>
                <w:bCs/>
                <w:szCs w:val="18"/>
              </w:rPr>
              <w:t>Group of named administrations submitted through item A.1.f.2 (list of administrations)</w:t>
            </w:r>
          </w:p>
        </w:tc>
        <w:tc>
          <w:tcPr>
            <w:tcW w:w="4111" w:type="dxa"/>
          </w:tcPr>
          <w:p w:rsidR="00C101DF" w:rsidRPr="00FA1634" w:rsidRDefault="00C101DF" w:rsidP="00445233">
            <w:pPr>
              <w:jc w:val="center"/>
              <w:rPr>
                <w:b/>
                <w:bCs/>
                <w:szCs w:val="18"/>
              </w:rPr>
            </w:pPr>
            <w:r w:rsidRPr="00FA1634">
              <w:rPr>
                <w:b/>
                <w:bCs/>
                <w:szCs w:val="18"/>
              </w:rPr>
              <w:t>Group of named administrations s</w:t>
            </w:r>
            <w:r>
              <w:rPr>
                <w:b/>
                <w:bCs/>
                <w:szCs w:val="18"/>
              </w:rPr>
              <w:t>ubmitted through item A.1.f.3 (</w:t>
            </w:r>
            <w:r w:rsidRPr="00FA1634">
              <w:rPr>
                <w:b/>
                <w:bCs/>
                <w:szCs w:val="18"/>
              </w:rPr>
              <w:t>intergovernmental satellite organization)</w:t>
            </w:r>
          </w:p>
        </w:tc>
      </w:tr>
      <w:tr w:rsidR="00C101DF" w:rsidRPr="00FA1634" w:rsidTr="00445233">
        <w:tc>
          <w:tcPr>
            <w:tcW w:w="10349" w:type="dxa"/>
            <w:gridSpan w:val="3"/>
          </w:tcPr>
          <w:p w:rsidR="00C101DF" w:rsidRPr="00FA1634" w:rsidRDefault="00C101DF" w:rsidP="00445233">
            <w:pPr>
              <w:spacing w:after="120"/>
              <w:rPr>
                <w:b/>
                <w:bCs/>
                <w:szCs w:val="18"/>
              </w:rPr>
            </w:pPr>
            <w:r>
              <w:rPr>
                <w:b/>
                <w:bCs/>
                <w:szCs w:val="18"/>
              </w:rPr>
              <w:t>1. C</w:t>
            </w:r>
            <w:r w:rsidRPr="00FA1634">
              <w:rPr>
                <w:b/>
                <w:bCs/>
                <w:szCs w:val="18"/>
              </w:rPr>
              <w:t>reation of the group of named administrations</w:t>
            </w:r>
          </w:p>
        </w:tc>
      </w:tr>
      <w:tr w:rsidR="00C101DF" w:rsidRPr="00FA1634" w:rsidTr="00445233">
        <w:tc>
          <w:tcPr>
            <w:tcW w:w="2411" w:type="dxa"/>
            <w:tcBorders>
              <w:bottom w:val="single" w:sz="4" w:space="0" w:color="auto"/>
            </w:tcBorders>
          </w:tcPr>
          <w:p w:rsidR="00C101DF" w:rsidRPr="00FA1634" w:rsidRDefault="00C101DF" w:rsidP="00445233">
            <w:pPr>
              <w:rPr>
                <w:szCs w:val="18"/>
              </w:rPr>
            </w:pPr>
            <w:r w:rsidRPr="00CB388F">
              <w:rPr>
                <w:szCs w:val="18"/>
                <w:u w:val="single"/>
              </w:rPr>
              <w:t xml:space="preserve">Case </w:t>
            </w:r>
            <w:r>
              <w:rPr>
                <w:szCs w:val="18"/>
                <w:u w:val="single"/>
              </w:rPr>
              <w:t>1-</w:t>
            </w:r>
            <w:r w:rsidRPr="00CB388F">
              <w:rPr>
                <w:szCs w:val="18"/>
                <w:u w:val="single"/>
              </w:rPr>
              <w:t>1</w:t>
            </w:r>
            <w:r>
              <w:rPr>
                <w:szCs w:val="18"/>
              </w:rPr>
              <w:t xml:space="preserve">: the group is created when administration ADM submits a satellite system on behalf of administrations ADM, ADM_1, ADM_2, etc. </w:t>
            </w:r>
          </w:p>
        </w:tc>
        <w:tc>
          <w:tcPr>
            <w:tcW w:w="3827" w:type="dxa"/>
            <w:tcBorders>
              <w:bottom w:val="single" w:sz="4" w:space="0" w:color="auto"/>
            </w:tcBorders>
          </w:tcPr>
          <w:p w:rsidR="00C101DF" w:rsidRDefault="00C101DF" w:rsidP="00445233">
            <w:pPr>
              <w:rPr>
                <w:szCs w:val="18"/>
              </w:rPr>
            </w:pPr>
            <w:r>
              <w:rPr>
                <w:szCs w:val="18"/>
              </w:rPr>
              <w:t xml:space="preserve">A special section is published with ADM as the notifying administration and administrations ADM_1, ADM_2, etc. listed under item A.1.f.2. </w:t>
            </w:r>
          </w:p>
          <w:p w:rsidR="00C101DF" w:rsidRPr="00FA1634" w:rsidRDefault="00C101DF" w:rsidP="00445233">
            <w:pPr>
              <w:rPr>
                <w:szCs w:val="18"/>
              </w:rPr>
            </w:pPr>
            <w:r>
              <w:rPr>
                <w:szCs w:val="18"/>
              </w:rPr>
              <w:t xml:space="preserve">In special sections where coordination requirements are listed, coordination may be required with regards to administrations ADM_1, ADM_2, etc. but not with regards to administration ADM. </w:t>
            </w:r>
          </w:p>
        </w:tc>
        <w:tc>
          <w:tcPr>
            <w:tcW w:w="4111" w:type="dxa"/>
            <w:tcBorders>
              <w:bottom w:val="single" w:sz="4" w:space="0" w:color="auto"/>
            </w:tcBorders>
          </w:tcPr>
          <w:p w:rsidR="00C101DF" w:rsidRDefault="00C101DF" w:rsidP="00445233">
            <w:pPr>
              <w:rPr>
                <w:szCs w:val="18"/>
              </w:rPr>
            </w:pPr>
            <w:r>
              <w:rPr>
                <w:szCs w:val="18"/>
              </w:rPr>
              <w:t xml:space="preserve">A code ORG for the group of administrations ADM, ADM_1, ADM_2, etc. is created and inserted in Table 2 of the Preface. </w:t>
            </w:r>
          </w:p>
          <w:p w:rsidR="00C101DF" w:rsidRDefault="00C101DF" w:rsidP="00445233">
            <w:pPr>
              <w:rPr>
                <w:szCs w:val="18"/>
              </w:rPr>
            </w:pPr>
            <w:r>
              <w:rPr>
                <w:szCs w:val="18"/>
              </w:rPr>
              <w:t xml:space="preserve">A special section is published with ADM/ORG as the notifying administration. Administrations ADM, ADM_1, ADM_2, etc. may or may not be listed in item A.1.f.2, at the request of the notifying administration. </w:t>
            </w:r>
          </w:p>
          <w:p w:rsidR="00C101DF" w:rsidRPr="00FA1634" w:rsidRDefault="00C101DF" w:rsidP="00445233">
            <w:pPr>
              <w:spacing w:after="120"/>
              <w:rPr>
                <w:szCs w:val="18"/>
              </w:rPr>
            </w:pPr>
            <w:r>
              <w:rPr>
                <w:szCs w:val="18"/>
              </w:rPr>
              <w:t>In special sections where coordination requirements are listed, coordination may be required with regards to administrations ADM, ADM_1, ADM_2, etc. but not with regards to ADM/ORG.</w:t>
            </w:r>
          </w:p>
        </w:tc>
      </w:tr>
      <w:tr w:rsidR="00C101DF" w:rsidRPr="00FA1634" w:rsidTr="00445233">
        <w:tc>
          <w:tcPr>
            <w:tcW w:w="2411" w:type="dxa"/>
            <w:tcBorders>
              <w:bottom w:val="single" w:sz="4" w:space="0" w:color="auto"/>
            </w:tcBorders>
          </w:tcPr>
          <w:p w:rsidR="00C101DF" w:rsidRDefault="00C101DF" w:rsidP="00445233">
            <w:pPr>
              <w:rPr>
                <w:szCs w:val="18"/>
              </w:rPr>
            </w:pPr>
            <w:r w:rsidRPr="00CB388F">
              <w:rPr>
                <w:szCs w:val="18"/>
                <w:u w:val="single"/>
              </w:rPr>
              <w:t xml:space="preserve">Case </w:t>
            </w:r>
            <w:r>
              <w:rPr>
                <w:szCs w:val="18"/>
                <w:u w:val="single"/>
              </w:rPr>
              <w:t>1-</w:t>
            </w:r>
            <w:r w:rsidRPr="00CB388F">
              <w:rPr>
                <w:szCs w:val="18"/>
                <w:u w:val="single"/>
              </w:rPr>
              <w:t>2</w:t>
            </w:r>
            <w:r>
              <w:rPr>
                <w:szCs w:val="18"/>
              </w:rPr>
              <w:t>: the group is created when notifying administration ADM, on behalf of administrations ADM, ADM_1, ADM_2, etc., requests to do so on an existing ADM satellite system.</w:t>
            </w:r>
          </w:p>
        </w:tc>
        <w:tc>
          <w:tcPr>
            <w:tcW w:w="3827" w:type="dxa"/>
            <w:tcBorders>
              <w:bottom w:val="single" w:sz="4" w:space="0" w:color="auto"/>
            </w:tcBorders>
          </w:tcPr>
          <w:p w:rsidR="00C101DF" w:rsidRDefault="00C101DF" w:rsidP="00445233">
            <w:pPr>
              <w:rPr>
                <w:szCs w:val="18"/>
              </w:rPr>
            </w:pPr>
            <w:r>
              <w:rPr>
                <w:szCs w:val="18"/>
              </w:rPr>
              <w:t xml:space="preserve">A modification to the last special section of the existing satellite system is published with ADM as the notifying administration and administrations ADM_1, ADM_2, etc. listed under item A.1.f.2. </w:t>
            </w:r>
          </w:p>
          <w:p w:rsidR="00C101DF" w:rsidRPr="00FA1634" w:rsidRDefault="00C101DF" w:rsidP="00445233">
            <w:pPr>
              <w:rPr>
                <w:szCs w:val="18"/>
              </w:rPr>
            </w:pPr>
            <w:r>
              <w:rPr>
                <w:szCs w:val="18"/>
              </w:rPr>
              <w:t xml:space="preserve">The list of coordination requirements is unchanged. </w:t>
            </w:r>
          </w:p>
        </w:tc>
        <w:tc>
          <w:tcPr>
            <w:tcW w:w="4111" w:type="dxa"/>
            <w:tcBorders>
              <w:bottom w:val="single" w:sz="4" w:space="0" w:color="auto"/>
            </w:tcBorders>
          </w:tcPr>
          <w:p w:rsidR="00C101DF" w:rsidRDefault="00C101DF" w:rsidP="00445233">
            <w:pPr>
              <w:rPr>
                <w:szCs w:val="18"/>
              </w:rPr>
            </w:pPr>
            <w:r>
              <w:rPr>
                <w:szCs w:val="18"/>
              </w:rPr>
              <w:t xml:space="preserve">A code ORG for the group of administrations ADM, ADM_1, ADM_2, etc. is created and inserted in Table 2 of the Preface. </w:t>
            </w:r>
          </w:p>
          <w:p w:rsidR="00C101DF" w:rsidRDefault="00C101DF" w:rsidP="00445233">
            <w:pPr>
              <w:rPr>
                <w:szCs w:val="18"/>
              </w:rPr>
            </w:pPr>
            <w:r>
              <w:rPr>
                <w:szCs w:val="18"/>
              </w:rPr>
              <w:t xml:space="preserve">Modifications to all the special sections of the existing satellite system are published with ADM/ORG as the notifying administration. Administrations ADM, ADM_1, ADM_2, etc. may or may not be listed in item A.1.f.2, at the request of the notifying administration. </w:t>
            </w:r>
          </w:p>
          <w:p w:rsidR="00C101DF" w:rsidRPr="00FA1634" w:rsidRDefault="00C101DF" w:rsidP="00445233">
            <w:pPr>
              <w:spacing w:after="120"/>
              <w:rPr>
                <w:szCs w:val="18"/>
              </w:rPr>
            </w:pPr>
            <w:r>
              <w:rPr>
                <w:szCs w:val="18"/>
              </w:rPr>
              <w:t xml:space="preserve">Notifying administration ADM has to clarify in its request the coordination status of its other satellite systems with regards to the satellite system for which the change is requested. Depending on the information provided by administration ADM, the list of coordination requirements of the existing satellite system may have to be revised. </w:t>
            </w:r>
          </w:p>
        </w:tc>
      </w:tr>
      <w:tr w:rsidR="00C101DF" w:rsidRPr="00FA1634" w:rsidTr="00445233">
        <w:tc>
          <w:tcPr>
            <w:tcW w:w="10349" w:type="dxa"/>
            <w:gridSpan w:val="3"/>
          </w:tcPr>
          <w:p w:rsidR="00C101DF" w:rsidRPr="00FA1634" w:rsidRDefault="00C101DF" w:rsidP="00445233">
            <w:pPr>
              <w:spacing w:after="120"/>
              <w:rPr>
                <w:b/>
                <w:bCs/>
                <w:szCs w:val="18"/>
              </w:rPr>
            </w:pPr>
            <w:r>
              <w:rPr>
                <w:b/>
                <w:bCs/>
                <w:szCs w:val="18"/>
              </w:rPr>
              <w:t xml:space="preserve">2. </w:t>
            </w:r>
            <w:r w:rsidRPr="00FA1634">
              <w:rPr>
                <w:b/>
                <w:bCs/>
                <w:szCs w:val="18"/>
              </w:rPr>
              <w:t>Modification (including closure) of the group of named administrations</w:t>
            </w:r>
          </w:p>
        </w:tc>
      </w:tr>
      <w:tr w:rsidR="00C101DF" w:rsidRPr="00FA1634" w:rsidTr="00445233">
        <w:tc>
          <w:tcPr>
            <w:tcW w:w="2411" w:type="dxa"/>
          </w:tcPr>
          <w:p w:rsidR="00C101DF" w:rsidRPr="00FA1634" w:rsidRDefault="00C101DF" w:rsidP="00445233">
            <w:pPr>
              <w:rPr>
                <w:szCs w:val="18"/>
              </w:rPr>
            </w:pPr>
            <w:r w:rsidRPr="00467385">
              <w:rPr>
                <w:szCs w:val="18"/>
                <w:u w:val="single"/>
              </w:rPr>
              <w:t>Case 2-1</w:t>
            </w:r>
            <w:r>
              <w:rPr>
                <w:szCs w:val="18"/>
              </w:rPr>
              <w:t>: Administration ADM_3 joins the group</w:t>
            </w:r>
          </w:p>
        </w:tc>
        <w:tc>
          <w:tcPr>
            <w:tcW w:w="3827" w:type="dxa"/>
          </w:tcPr>
          <w:p w:rsidR="00C101DF" w:rsidRDefault="00C101DF" w:rsidP="00445233">
            <w:pPr>
              <w:rPr>
                <w:szCs w:val="18"/>
              </w:rPr>
            </w:pPr>
            <w:r>
              <w:rPr>
                <w:szCs w:val="18"/>
              </w:rPr>
              <w:t xml:space="preserve">A modification to the last special section of the existing satellite system(s) is published with ADM as the notifying administration and administrations </w:t>
            </w:r>
            <w:r>
              <w:rPr>
                <w:szCs w:val="18"/>
              </w:rPr>
              <w:lastRenderedPageBreak/>
              <w:t xml:space="preserve">ADM_1, ADM_2, ADM_3, etc. listed under item A.1.f.2. </w:t>
            </w:r>
          </w:p>
          <w:p w:rsidR="00C101DF" w:rsidRPr="00FA1634" w:rsidRDefault="00C101DF" w:rsidP="00445233">
            <w:pPr>
              <w:rPr>
                <w:szCs w:val="18"/>
              </w:rPr>
            </w:pPr>
            <w:r>
              <w:rPr>
                <w:szCs w:val="18"/>
              </w:rPr>
              <w:t>The list of coordination requirements is unchanged.</w:t>
            </w:r>
          </w:p>
        </w:tc>
        <w:tc>
          <w:tcPr>
            <w:tcW w:w="4111" w:type="dxa"/>
          </w:tcPr>
          <w:p w:rsidR="00C101DF" w:rsidRDefault="00C101DF" w:rsidP="00445233">
            <w:pPr>
              <w:rPr>
                <w:szCs w:val="18"/>
              </w:rPr>
            </w:pPr>
            <w:r>
              <w:rPr>
                <w:szCs w:val="18"/>
              </w:rPr>
              <w:lastRenderedPageBreak/>
              <w:t>The list of administrations for the organization ORG is updated in Table 2 of the Preface by including administration ADM_3.</w:t>
            </w:r>
          </w:p>
          <w:p w:rsidR="00C101DF" w:rsidRDefault="00C101DF" w:rsidP="00445233">
            <w:pPr>
              <w:rPr>
                <w:szCs w:val="18"/>
              </w:rPr>
            </w:pPr>
            <w:r>
              <w:rPr>
                <w:szCs w:val="18"/>
              </w:rPr>
              <w:lastRenderedPageBreak/>
              <w:t>A modification to the last special section is necessary if a group of administrations ADM, ADM_1, ADM_2, etc. has also been listed in item A.1.f.2, at the request of the notifying administration.</w:t>
            </w:r>
          </w:p>
          <w:p w:rsidR="00C101DF" w:rsidRPr="00FA1634" w:rsidRDefault="00C101DF" w:rsidP="00445233">
            <w:pPr>
              <w:spacing w:after="120"/>
              <w:rPr>
                <w:szCs w:val="18"/>
              </w:rPr>
            </w:pPr>
            <w:r>
              <w:rPr>
                <w:szCs w:val="18"/>
              </w:rPr>
              <w:t>The list of coordination requirements is unchanged.</w:t>
            </w:r>
          </w:p>
        </w:tc>
      </w:tr>
      <w:tr w:rsidR="00C101DF" w:rsidRPr="00FA1634" w:rsidTr="00445233">
        <w:tc>
          <w:tcPr>
            <w:tcW w:w="2411" w:type="dxa"/>
          </w:tcPr>
          <w:p w:rsidR="00C101DF" w:rsidRDefault="00C101DF" w:rsidP="00445233">
            <w:pPr>
              <w:rPr>
                <w:szCs w:val="18"/>
              </w:rPr>
            </w:pPr>
            <w:r w:rsidRPr="00467385">
              <w:rPr>
                <w:szCs w:val="18"/>
                <w:u w:val="single"/>
              </w:rPr>
              <w:lastRenderedPageBreak/>
              <w:t>Case 2-2</w:t>
            </w:r>
            <w:r>
              <w:rPr>
                <w:szCs w:val="18"/>
              </w:rPr>
              <w:t>: Administration ADM_1 leaves the group</w:t>
            </w:r>
          </w:p>
          <w:p w:rsidR="00C101DF" w:rsidRPr="00FA1634" w:rsidRDefault="00C101DF" w:rsidP="00445233">
            <w:pPr>
              <w:rPr>
                <w:szCs w:val="18"/>
              </w:rPr>
            </w:pPr>
          </w:p>
        </w:tc>
        <w:tc>
          <w:tcPr>
            <w:tcW w:w="3827" w:type="dxa"/>
          </w:tcPr>
          <w:p w:rsidR="00C101DF" w:rsidRDefault="00C101DF" w:rsidP="00445233">
            <w:pPr>
              <w:rPr>
                <w:szCs w:val="18"/>
              </w:rPr>
            </w:pPr>
            <w:r>
              <w:rPr>
                <w:szCs w:val="18"/>
              </w:rPr>
              <w:t>A modification to the last special section of the existing satellite system(s) is published with ADM as the notifying administration and administration ADM_1 removed from the list published under item A.1.f.2.</w:t>
            </w:r>
          </w:p>
          <w:p w:rsidR="00C101DF" w:rsidRDefault="00C101DF" w:rsidP="00445233">
            <w:pPr>
              <w:rPr>
                <w:szCs w:val="18"/>
              </w:rPr>
            </w:pPr>
            <w:r w:rsidRPr="00E97409">
              <w:rPr>
                <w:szCs w:val="18"/>
              </w:rPr>
              <w:t xml:space="preserve">Administration </w:t>
            </w:r>
            <w:r>
              <w:rPr>
                <w:szCs w:val="18"/>
              </w:rPr>
              <w:t>ADM</w:t>
            </w:r>
            <w:r w:rsidRPr="00E97409">
              <w:rPr>
                <w:szCs w:val="18"/>
              </w:rPr>
              <w:t xml:space="preserve"> annexes a copy of the letter of consent from administration </w:t>
            </w:r>
            <w:r>
              <w:rPr>
                <w:szCs w:val="18"/>
              </w:rPr>
              <w:t>ADM_1</w:t>
            </w:r>
            <w:r w:rsidRPr="00E97409">
              <w:rPr>
                <w:szCs w:val="18"/>
              </w:rPr>
              <w:t xml:space="preserve"> to </w:t>
            </w:r>
            <w:r>
              <w:rPr>
                <w:szCs w:val="18"/>
              </w:rPr>
              <w:t xml:space="preserve">leave </w:t>
            </w:r>
            <w:r w:rsidRPr="00E97409">
              <w:rPr>
                <w:szCs w:val="18"/>
              </w:rPr>
              <w:t xml:space="preserve">the </w:t>
            </w:r>
            <w:r>
              <w:rPr>
                <w:szCs w:val="18"/>
              </w:rPr>
              <w:t>group</w:t>
            </w:r>
            <w:r w:rsidRPr="00E97409">
              <w:rPr>
                <w:szCs w:val="18"/>
              </w:rPr>
              <w:t>.</w:t>
            </w:r>
          </w:p>
          <w:p w:rsidR="00C101DF" w:rsidRPr="00FA1634" w:rsidRDefault="00C101DF" w:rsidP="00193A88">
            <w:pPr>
              <w:spacing w:after="120"/>
              <w:rPr>
                <w:szCs w:val="18"/>
              </w:rPr>
            </w:pPr>
            <w:r>
              <w:rPr>
                <w:szCs w:val="18"/>
              </w:rPr>
              <w:t>The list of coordination requirements is unchanged.</w:t>
            </w:r>
          </w:p>
        </w:tc>
        <w:tc>
          <w:tcPr>
            <w:tcW w:w="4111" w:type="dxa"/>
          </w:tcPr>
          <w:p w:rsidR="00C101DF" w:rsidRDefault="00C101DF" w:rsidP="00445233">
            <w:pPr>
              <w:rPr>
                <w:szCs w:val="18"/>
              </w:rPr>
            </w:pPr>
            <w:r>
              <w:rPr>
                <w:szCs w:val="18"/>
              </w:rPr>
              <w:t>The list of administrations for the organization ORG is updated in Table 2 of the Preface by removing administration ADM_1.</w:t>
            </w:r>
          </w:p>
          <w:p w:rsidR="00C101DF" w:rsidRDefault="00C101DF" w:rsidP="00445233">
            <w:pPr>
              <w:rPr>
                <w:szCs w:val="18"/>
              </w:rPr>
            </w:pPr>
            <w:r>
              <w:rPr>
                <w:szCs w:val="18"/>
              </w:rPr>
              <w:t xml:space="preserve">A modification to the last special section is necessary if a group of administrations ADM, ADM_1, ADM_2, etc. has been listed in item A.1.f.2, at the request of the notifying administration. </w:t>
            </w:r>
          </w:p>
          <w:p w:rsidR="00C101DF" w:rsidRPr="00FA1634" w:rsidRDefault="00C101DF" w:rsidP="00445233">
            <w:pPr>
              <w:spacing w:after="120"/>
              <w:rPr>
                <w:szCs w:val="18"/>
              </w:rPr>
            </w:pPr>
            <w:r>
              <w:rPr>
                <w:szCs w:val="18"/>
              </w:rPr>
              <w:t>The list of coordination requirements is unchanged.</w:t>
            </w:r>
          </w:p>
        </w:tc>
      </w:tr>
      <w:tr w:rsidR="00C101DF" w:rsidRPr="00FA1634" w:rsidTr="00445233">
        <w:tc>
          <w:tcPr>
            <w:tcW w:w="2411" w:type="dxa"/>
          </w:tcPr>
          <w:p w:rsidR="00C101DF" w:rsidRDefault="00C101DF" w:rsidP="00445233">
            <w:pPr>
              <w:rPr>
                <w:szCs w:val="18"/>
              </w:rPr>
            </w:pPr>
            <w:r w:rsidRPr="00467385">
              <w:rPr>
                <w:szCs w:val="18"/>
                <w:u w:val="single"/>
              </w:rPr>
              <w:t>Case 2-</w:t>
            </w:r>
            <w:r>
              <w:rPr>
                <w:szCs w:val="18"/>
                <w:u w:val="single"/>
              </w:rPr>
              <w:t>3</w:t>
            </w:r>
            <w:r>
              <w:rPr>
                <w:szCs w:val="18"/>
              </w:rPr>
              <w:t>: Notifying administration ADM leaves the group</w:t>
            </w:r>
          </w:p>
          <w:p w:rsidR="00C101DF" w:rsidRPr="00467385" w:rsidRDefault="00C101DF" w:rsidP="00445233">
            <w:pPr>
              <w:rPr>
                <w:szCs w:val="18"/>
                <w:u w:val="single"/>
              </w:rPr>
            </w:pPr>
          </w:p>
        </w:tc>
        <w:tc>
          <w:tcPr>
            <w:tcW w:w="3827" w:type="dxa"/>
          </w:tcPr>
          <w:p w:rsidR="00C101DF" w:rsidRPr="00486F63" w:rsidRDefault="00C101DF" w:rsidP="00445233">
            <w:pPr>
              <w:rPr>
                <w:szCs w:val="18"/>
              </w:rPr>
            </w:pPr>
            <w:r w:rsidRPr="00486F63">
              <w:rPr>
                <w:szCs w:val="18"/>
              </w:rPr>
              <w:t xml:space="preserve">Notifying administration </w:t>
            </w:r>
            <w:r>
              <w:rPr>
                <w:szCs w:val="18"/>
              </w:rPr>
              <w:t>ADM</w:t>
            </w:r>
            <w:r w:rsidRPr="00486F63">
              <w:rPr>
                <w:szCs w:val="18"/>
              </w:rPr>
              <w:t xml:space="preserve"> cannot leave the group without suppressing the satellite </w:t>
            </w:r>
            <w:r>
              <w:rPr>
                <w:szCs w:val="18"/>
              </w:rPr>
              <w:t>system</w:t>
            </w:r>
            <w:r w:rsidRPr="00486F63">
              <w:rPr>
                <w:szCs w:val="18"/>
              </w:rPr>
              <w:t xml:space="preserve">. </w:t>
            </w:r>
          </w:p>
        </w:tc>
        <w:tc>
          <w:tcPr>
            <w:tcW w:w="4111" w:type="dxa"/>
          </w:tcPr>
          <w:p w:rsidR="00C101DF" w:rsidRPr="00FA1634" w:rsidRDefault="00C101DF" w:rsidP="00445233">
            <w:pPr>
              <w:spacing w:after="120"/>
              <w:rPr>
                <w:szCs w:val="18"/>
              </w:rPr>
            </w:pPr>
            <w:r>
              <w:rPr>
                <w:szCs w:val="18"/>
              </w:rPr>
              <w:t>Notifying administration ADM</w:t>
            </w:r>
            <w:r w:rsidRPr="00FA1634">
              <w:rPr>
                <w:szCs w:val="18"/>
              </w:rPr>
              <w:t xml:space="preserve"> cannot leave</w:t>
            </w:r>
            <w:r>
              <w:rPr>
                <w:szCs w:val="18"/>
              </w:rPr>
              <w:t xml:space="preserve"> the group </w:t>
            </w:r>
            <w:r w:rsidRPr="00FA1634">
              <w:rPr>
                <w:szCs w:val="18"/>
              </w:rPr>
              <w:t xml:space="preserve">without requesting the </w:t>
            </w:r>
            <w:r>
              <w:rPr>
                <w:szCs w:val="18"/>
              </w:rPr>
              <w:t xml:space="preserve">BR, or </w:t>
            </w:r>
            <w:r w:rsidRPr="00FA1634">
              <w:rPr>
                <w:szCs w:val="18"/>
              </w:rPr>
              <w:t>RRB</w:t>
            </w:r>
            <w:r>
              <w:rPr>
                <w:szCs w:val="18"/>
              </w:rPr>
              <w:t>,</w:t>
            </w:r>
            <w:r w:rsidRPr="00FA1634">
              <w:rPr>
                <w:szCs w:val="18"/>
              </w:rPr>
              <w:t xml:space="preserve"> to change the notifying administration</w:t>
            </w:r>
            <w:r>
              <w:rPr>
                <w:szCs w:val="18"/>
              </w:rPr>
              <w:t xml:space="preserve"> (see Case 2-4 below).</w:t>
            </w:r>
          </w:p>
        </w:tc>
      </w:tr>
      <w:tr w:rsidR="00C101DF" w:rsidRPr="00FA1634" w:rsidTr="00445233">
        <w:tc>
          <w:tcPr>
            <w:tcW w:w="2411" w:type="dxa"/>
          </w:tcPr>
          <w:p w:rsidR="00C101DF" w:rsidRPr="009C35E3" w:rsidRDefault="00C101DF" w:rsidP="00445233">
            <w:pPr>
              <w:rPr>
                <w:szCs w:val="18"/>
              </w:rPr>
            </w:pPr>
            <w:r>
              <w:rPr>
                <w:szCs w:val="18"/>
                <w:u w:val="single"/>
              </w:rPr>
              <w:t>Case 2-4</w:t>
            </w:r>
            <w:r>
              <w:rPr>
                <w:szCs w:val="18"/>
              </w:rPr>
              <w:t>: The group decides to change its notifying administration</w:t>
            </w:r>
          </w:p>
        </w:tc>
        <w:tc>
          <w:tcPr>
            <w:tcW w:w="3827" w:type="dxa"/>
          </w:tcPr>
          <w:p w:rsidR="00C101DF" w:rsidRPr="00695055" w:rsidRDefault="00C101DF" w:rsidP="00BC72A7">
            <w:pPr>
              <w:rPr>
                <w:szCs w:val="18"/>
              </w:rPr>
            </w:pPr>
            <w:r>
              <w:rPr>
                <w:bCs/>
              </w:rPr>
              <w:t xml:space="preserve">WRC-19 decided that the Board shall deny such requests </w:t>
            </w:r>
            <w:r w:rsidR="00BC72A7">
              <w:rPr>
                <w:szCs w:val="18"/>
              </w:rPr>
              <w:t>(see S</w:t>
            </w:r>
            <w:r>
              <w:rPr>
                <w:szCs w:val="18"/>
              </w:rPr>
              <w:t xml:space="preserve">ection </w:t>
            </w:r>
            <w:r w:rsidR="00BC72A7">
              <w:rPr>
                <w:szCs w:val="18"/>
              </w:rPr>
              <w:t>3</w:t>
            </w:r>
            <w:r>
              <w:rPr>
                <w:szCs w:val="18"/>
              </w:rPr>
              <w:t xml:space="preserve"> of </w:t>
            </w:r>
            <w:r w:rsidR="00BC72A7">
              <w:rPr>
                <w:szCs w:val="18"/>
              </w:rPr>
              <w:t>D</w:t>
            </w:r>
            <w:r>
              <w:rPr>
                <w:szCs w:val="18"/>
              </w:rPr>
              <w:t>ocument</w:t>
            </w:r>
            <w:r w:rsidR="00BC72A7">
              <w:rPr>
                <w:szCs w:val="18"/>
              </w:rPr>
              <w:t xml:space="preserve"> </w:t>
            </w:r>
            <w:hyperlink r:id="rId13" w:history="1">
              <w:r w:rsidR="00BC72A7" w:rsidRPr="00A21096">
                <w:rPr>
                  <w:rStyle w:val="Hyperlink"/>
                  <w:szCs w:val="18"/>
                </w:rPr>
                <w:t>CMR19/569</w:t>
              </w:r>
            </w:hyperlink>
            <w:r w:rsidR="00193A88">
              <w:rPr>
                <w:szCs w:val="18"/>
              </w:rPr>
              <w:t>)</w:t>
            </w:r>
            <w:r>
              <w:rPr>
                <w:szCs w:val="18"/>
              </w:rPr>
              <w:t>.</w:t>
            </w:r>
          </w:p>
        </w:tc>
        <w:tc>
          <w:tcPr>
            <w:tcW w:w="4111" w:type="dxa"/>
          </w:tcPr>
          <w:p w:rsidR="00C101DF" w:rsidRDefault="00C101DF" w:rsidP="00445233">
            <w:pPr>
              <w:spacing w:after="120"/>
              <w:rPr>
                <w:szCs w:val="18"/>
              </w:rPr>
            </w:pPr>
            <w:r>
              <w:rPr>
                <w:szCs w:val="18"/>
              </w:rPr>
              <w:t xml:space="preserve">Possible based on the Rules of Procedure </w:t>
            </w:r>
            <w:r w:rsidRPr="00EB085B">
              <w:rPr>
                <w:szCs w:val="18"/>
              </w:rPr>
              <w:t>concerning the treatment of</w:t>
            </w:r>
            <w:r>
              <w:rPr>
                <w:szCs w:val="18"/>
              </w:rPr>
              <w:t xml:space="preserve"> </w:t>
            </w:r>
            <w:r w:rsidRPr="00EB085B">
              <w:rPr>
                <w:szCs w:val="18"/>
              </w:rPr>
              <w:t>change of notifying administration</w:t>
            </w:r>
            <w:r>
              <w:rPr>
                <w:szCs w:val="18"/>
              </w:rPr>
              <w:t xml:space="preserve"> </w:t>
            </w:r>
            <w:r w:rsidRPr="00EB085B">
              <w:rPr>
                <w:szCs w:val="18"/>
              </w:rPr>
              <w:t xml:space="preserve">which acts as the notifying administration of a satellite </w:t>
            </w:r>
            <w:r>
              <w:rPr>
                <w:szCs w:val="18"/>
              </w:rPr>
              <w:t xml:space="preserve">system </w:t>
            </w:r>
            <w:r w:rsidRPr="00EB085B">
              <w:rPr>
                <w:szCs w:val="18"/>
              </w:rPr>
              <w:t>on behalf of a group of named administrations</w:t>
            </w:r>
            <w:r>
              <w:rPr>
                <w:szCs w:val="18"/>
              </w:rPr>
              <w:t xml:space="preserve">. </w:t>
            </w:r>
          </w:p>
          <w:p w:rsidR="00C101DF" w:rsidRPr="00FA1634" w:rsidRDefault="00C101DF" w:rsidP="00445233">
            <w:pPr>
              <w:spacing w:after="120"/>
              <w:rPr>
                <w:szCs w:val="18"/>
              </w:rPr>
            </w:pPr>
            <w:r>
              <w:rPr>
                <w:szCs w:val="18"/>
              </w:rPr>
              <w:t>RRB to consider the matter on a case-by-case basis if the Rules are not applicable.</w:t>
            </w:r>
          </w:p>
        </w:tc>
      </w:tr>
      <w:tr w:rsidR="00C101DF" w:rsidRPr="00FA1634" w:rsidTr="00445233">
        <w:tc>
          <w:tcPr>
            <w:tcW w:w="2411" w:type="dxa"/>
          </w:tcPr>
          <w:p w:rsidR="00C101DF" w:rsidRPr="009C35E3" w:rsidRDefault="00C101DF" w:rsidP="00445233">
            <w:pPr>
              <w:rPr>
                <w:szCs w:val="18"/>
              </w:rPr>
            </w:pPr>
            <w:r>
              <w:rPr>
                <w:szCs w:val="18"/>
                <w:u w:val="single"/>
              </w:rPr>
              <w:t>Case 2-5</w:t>
            </w:r>
            <w:r>
              <w:rPr>
                <w:szCs w:val="18"/>
              </w:rPr>
              <w:t>: The group decides to transfer the satellite system to one of its members, acting independently of the group</w:t>
            </w:r>
          </w:p>
        </w:tc>
        <w:tc>
          <w:tcPr>
            <w:tcW w:w="3827" w:type="dxa"/>
          </w:tcPr>
          <w:p w:rsidR="00C101DF" w:rsidRPr="002829D3" w:rsidRDefault="00C101DF" w:rsidP="00445233">
            <w:pPr>
              <w:spacing w:after="120"/>
            </w:pPr>
            <w:r>
              <w:t>The satellite system shall not be transferred to another notifying administration.</w:t>
            </w:r>
          </w:p>
        </w:tc>
        <w:tc>
          <w:tcPr>
            <w:tcW w:w="4111" w:type="dxa"/>
          </w:tcPr>
          <w:p w:rsidR="00C101DF" w:rsidRDefault="00C101DF" w:rsidP="00445233">
            <w:pPr>
              <w:rPr>
                <w:szCs w:val="18"/>
              </w:rPr>
            </w:pPr>
            <w:r>
              <w:rPr>
                <w:szCs w:val="18"/>
              </w:rPr>
              <w:t xml:space="preserve">RRB to consider the matter on a case-by-case basis. </w:t>
            </w:r>
          </w:p>
          <w:p w:rsidR="00C101DF" w:rsidRPr="00FA1634" w:rsidRDefault="00C101DF" w:rsidP="00193A88">
            <w:pPr>
              <w:rPr>
                <w:szCs w:val="18"/>
              </w:rPr>
            </w:pPr>
            <w:r>
              <w:rPr>
                <w:bCs/>
              </w:rPr>
              <w:t xml:space="preserve">WRC-19 confirmed the approach so far used by the Board for treating such cases and further decided that a letter from an appropriate responsible authority of this intergovernmental satellite organization is required to confirm their agreement with </w:t>
            </w:r>
            <w:r>
              <w:rPr>
                <w:bCs/>
              </w:rPr>
              <w:lastRenderedPageBreak/>
              <w:t xml:space="preserve">the change of notifying administration </w:t>
            </w:r>
            <w:r w:rsidR="00193A88">
              <w:rPr>
                <w:szCs w:val="18"/>
              </w:rPr>
              <w:t xml:space="preserve">(see Section 3 of Document </w:t>
            </w:r>
            <w:hyperlink r:id="rId14" w:history="1">
              <w:r w:rsidR="00193A88" w:rsidRPr="00A21096">
                <w:rPr>
                  <w:rStyle w:val="Hyperlink"/>
                  <w:szCs w:val="18"/>
                </w:rPr>
                <w:t>CMR19/569</w:t>
              </w:r>
            </w:hyperlink>
            <w:r w:rsidR="00193A88">
              <w:rPr>
                <w:szCs w:val="18"/>
              </w:rPr>
              <w:t>).</w:t>
            </w:r>
          </w:p>
        </w:tc>
      </w:tr>
      <w:tr w:rsidR="00C101DF" w:rsidRPr="00FA1634" w:rsidTr="00445233">
        <w:tc>
          <w:tcPr>
            <w:tcW w:w="2411" w:type="dxa"/>
          </w:tcPr>
          <w:p w:rsidR="00C101DF" w:rsidRDefault="00C101DF" w:rsidP="00445233">
            <w:pPr>
              <w:rPr>
                <w:szCs w:val="18"/>
                <w:u w:val="single"/>
              </w:rPr>
            </w:pPr>
            <w:r>
              <w:rPr>
                <w:szCs w:val="18"/>
                <w:u w:val="single"/>
              </w:rPr>
              <w:lastRenderedPageBreak/>
              <w:t>Case 2-6</w:t>
            </w:r>
            <w:r>
              <w:rPr>
                <w:szCs w:val="18"/>
              </w:rPr>
              <w:t>: The group decides to transfer the satellite system to an administration, which is not a member of the group</w:t>
            </w:r>
          </w:p>
        </w:tc>
        <w:tc>
          <w:tcPr>
            <w:tcW w:w="3827" w:type="dxa"/>
          </w:tcPr>
          <w:p w:rsidR="00C101DF" w:rsidRPr="002829D3" w:rsidRDefault="00C101DF" w:rsidP="00445233">
            <w:pPr>
              <w:spacing w:after="120"/>
            </w:pPr>
            <w:r>
              <w:t>The satellite system shall not be transferred to another notifying administration.</w:t>
            </w:r>
          </w:p>
        </w:tc>
        <w:tc>
          <w:tcPr>
            <w:tcW w:w="4111" w:type="dxa"/>
          </w:tcPr>
          <w:p w:rsidR="00C101DF" w:rsidRDefault="00C101DF" w:rsidP="00445233">
            <w:r>
              <w:t>The satellite system shall not be transferred to another notifying administration.</w:t>
            </w:r>
          </w:p>
          <w:p w:rsidR="00C101DF" w:rsidRPr="00695055" w:rsidRDefault="00C101DF" w:rsidP="00445233">
            <w:r>
              <w:rPr>
                <w:bCs/>
              </w:rPr>
              <w:t xml:space="preserve">WRC-19 decided that the Board shall deny such requests </w:t>
            </w:r>
            <w:r w:rsidR="00193A88">
              <w:rPr>
                <w:szCs w:val="18"/>
              </w:rPr>
              <w:t xml:space="preserve">(see Section 3 of Document </w:t>
            </w:r>
            <w:hyperlink r:id="rId15" w:history="1">
              <w:r w:rsidR="00193A88" w:rsidRPr="00A21096">
                <w:rPr>
                  <w:rStyle w:val="Hyperlink"/>
                  <w:szCs w:val="18"/>
                </w:rPr>
                <w:t>CMR19/569</w:t>
              </w:r>
            </w:hyperlink>
            <w:r w:rsidR="00193A88">
              <w:rPr>
                <w:szCs w:val="18"/>
              </w:rPr>
              <w:t>).</w:t>
            </w:r>
          </w:p>
        </w:tc>
      </w:tr>
      <w:tr w:rsidR="00C101DF" w:rsidRPr="00FA1634" w:rsidTr="00445233">
        <w:tc>
          <w:tcPr>
            <w:tcW w:w="2411" w:type="dxa"/>
          </w:tcPr>
          <w:p w:rsidR="00C101DF" w:rsidRDefault="00C101DF" w:rsidP="00445233">
            <w:pPr>
              <w:rPr>
                <w:szCs w:val="18"/>
              </w:rPr>
            </w:pPr>
            <w:r w:rsidRPr="00467385">
              <w:rPr>
                <w:szCs w:val="18"/>
                <w:u w:val="single"/>
              </w:rPr>
              <w:t>Case 2-</w:t>
            </w:r>
            <w:r>
              <w:rPr>
                <w:szCs w:val="18"/>
                <w:u w:val="single"/>
              </w:rPr>
              <w:t>7</w:t>
            </w:r>
            <w:r>
              <w:rPr>
                <w:szCs w:val="18"/>
              </w:rPr>
              <w:t>: The group is discontinued</w:t>
            </w:r>
          </w:p>
        </w:tc>
        <w:tc>
          <w:tcPr>
            <w:tcW w:w="3827" w:type="dxa"/>
          </w:tcPr>
          <w:p w:rsidR="00C101DF" w:rsidRDefault="00C101DF" w:rsidP="00445233">
            <w:pPr>
              <w:rPr>
                <w:szCs w:val="18"/>
              </w:rPr>
            </w:pPr>
            <w:r>
              <w:rPr>
                <w:szCs w:val="18"/>
              </w:rPr>
              <w:t xml:space="preserve">If the notifying administration ADM does not request the suppression of the satellite system(s), a modification to the last special section of the existing satellite system(s) is published with ADM as the notifying administration and all administrations removed from the list published under item A.1.f.2. </w:t>
            </w:r>
          </w:p>
          <w:p w:rsidR="00C101DF" w:rsidRPr="00FA1634" w:rsidRDefault="00C101DF" w:rsidP="00445233">
            <w:pPr>
              <w:spacing w:after="120"/>
              <w:rPr>
                <w:szCs w:val="18"/>
              </w:rPr>
            </w:pPr>
            <w:r>
              <w:rPr>
                <w:szCs w:val="18"/>
              </w:rPr>
              <w:t>The list of coordination requirements is unchanged.</w:t>
            </w:r>
          </w:p>
        </w:tc>
        <w:tc>
          <w:tcPr>
            <w:tcW w:w="4111" w:type="dxa"/>
          </w:tcPr>
          <w:p w:rsidR="00C101DF" w:rsidRPr="00FA1634" w:rsidRDefault="00C101DF" w:rsidP="00445233">
            <w:pPr>
              <w:rPr>
                <w:szCs w:val="18"/>
              </w:rPr>
            </w:pPr>
            <w:r>
              <w:rPr>
                <w:szCs w:val="18"/>
              </w:rPr>
              <w:t xml:space="preserve">Unless for situations addressed under Case 2-5, the existing satellite systems are suppressed. </w:t>
            </w:r>
          </w:p>
        </w:tc>
      </w:tr>
      <w:tr w:rsidR="00C101DF" w:rsidRPr="00FA1634" w:rsidTr="00445233">
        <w:tc>
          <w:tcPr>
            <w:tcW w:w="10349" w:type="dxa"/>
            <w:gridSpan w:val="3"/>
          </w:tcPr>
          <w:p w:rsidR="00C101DF" w:rsidRDefault="00C101DF" w:rsidP="00445233">
            <w:pPr>
              <w:rPr>
                <w:b/>
                <w:bCs/>
                <w:szCs w:val="18"/>
              </w:rPr>
            </w:pPr>
            <w:r>
              <w:rPr>
                <w:b/>
                <w:bCs/>
                <w:szCs w:val="18"/>
              </w:rPr>
              <w:t xml:space="preserve">3. </w:t>
            </w:r>
            <w:r w:rsidRPr="00FA1634">
              <w:rPr>
                <w:b/>
                <w:bCs/>
                <w:szCs w:val="18"/>
              </w:rPr>
              <w:t xml:space="preserve">Issues </w:t>
            </w:r>
            <w:r>
              <w:rPr>
                <w:b/>
                <w:bCs/>
                <w:szCs w:val="18"/>
              </w:rPr>
              <w:t>concerning the correspondence and regulatory actions related to a satellite system submitted on behalf of a g</w:t>
            </w:r>
            <w:r w:rsidRPr="00FA1634">
              <w:rPr>
                <w:b/>
                <w:bCs/>
                <w:szCs w:val="18"/>
              </w:rPr>
              <w:t>roup of named administrations</w:t>
            </w:r>
          </w:p>
          <w:p w:rsidR="00C101DF" w:rsidRPr="00BD42FC" w:rsidRDefault="00C101DF" w:rsidP="00445233">
            <w:pPr>
              <w:spacing w:after="120"/>
              <w:rPr>
                <w:szCs w:val="18"/>
              </w:rPr>
            </w:pPr>
            <w:r w:rsidRPr="00BD42FC">
              <w:rPr>
                <w:szCs w:val="18"/>
              </w:rPr>
              <w:t>Note</w:t>
            </w:r>
            <w:r>
              <w:rPr>
                <w:szCs w:val="18"/>
              </w:rPr>
              <w:t xml:space="preserve"> – in treating regulatory actions affecting satellite systems submitted on behalf of an intergovernmental satellite organization, the Bureau shall exercise additional care in order to ensure that such regulatory actions, in particular partial or total suppressions, are requested on behalf of the group of named administrations. </w:t>
            </w:r>
          </w:p>
        </w:tc>
      </w:tr>
      <w:tr w:rsidR="00C101DF" w:rsidRPr="00FA1634" w:rsidTr="00445233">
        <w:tc>
          <w:tcPr>
            <w:tcW w:w="2411" w:type="dxa"/>
          </w:tcPr>
          <w:p w:rsidR="00C101DF" w:rsidRPr="00FA1634" w:rsidRDefault="00C101DF" w:rsidP="00445233">
            <w:pPr>
              <w:spacing w:after="120"/>
              <w:rPr>
                <w:szCs w:val="18"/>
              </w:rPr>
            </w:pPr>
            <w:r>
              <w:rPr>
                <w:szCs w:val="18"/>
              </w:rPr>
              <w:t xml:space="preserve">Which administration can request regulatory actions (ADD, MOD, SUP) on the satellite system? </w:t>
            </w:r>
          </w:p>
        </w:tc>
        <w:tc>
          <w:tcPr>
            <w:tcW w:w="3827" w:type="dxa"/>
          </w:tcPr>
          <w:p w:rsidR="00C101DF" w:rsidRPr="00FA1634" w:rsidRDefault="00C101DF" w:rsidP="00445233">
            <w:pPr>
              <w:rPr>
                <w:szCs w:val="18"/>
              </w:rPr>
            </w:pPr>
            <w:r>
              <w:rPr>
                <w:szCs w:val="18"/>
              </w:rPr>
              <w:t>Only the notifying administration ADM</w:t>
            </w:r>
          </w:p>
        </w:tc>
        <w:tc>
          <w:tcPr>
            <w:tcW w:w="4111" w:type="dxa"/>
          </w:tcPr>
          <w:p w:rsidR="00C101DF" w:rsidRPr="00FA1634" w:rsidRDefault="00C101DF" w:rsidP="00445233">
            <w:pPr>
              <w:rPr>
                <w:szCs w:val="18"/>
              </w:rPr>
            </w:pPr>
            <w:r>
              <w:rPr>
                <w:szCs w:val="18"/>
              </w:rPr>
              <w:t>Only the notifying administration ADM/ORG on behalf of the group</w:t>
            </w:r>
          </w:p>
        </w:tc>
      </w:tr>
      <w:tr w:rsidR="00C101DF" w:rsidRPr="00FA1634" w:rsidTr="00445233">
        <w:tc>
          <w:tcPr>
            <w:tcW w:w="2411" w:type="dxa"/>
          </w:tcPr>
          <w:p w:rsidR="00C101DF" w:rsidRPr="00FA1634" w:rsidRDefault="00C101DF" w:rsidP="00445233">
            <w:pPr>
              <w:spacing w:after="120"/>
              <w:rPr>
                <w:szCs w:val="18"/>
              </w:rPr>
            </w:pPr>
            <w:r>
              <w:rPr>
                <w:szCs w:val="18"/>
              </w:rPr>
              <w:t xml:space="preserve">Which administration exchanges correspondence on the satellite system with the Radiocommunication Bureau? </w:t>
            </w:r>
          </w:p>
        </w:tc>
        <w:tc>
          <w:tcPr>
            <w:tcW w:w="3827" w:type="dxa"/>
          </w:tcPr>
          <w:p w:rsidR="00C101DF" w:rsidRPr="00FA1634" w:rsidRDefault="00C101DF" w:rsidP="00445233">
            <w:pPr>
              <w:rPr>
                <w:szCs w:val="18"/>
              </w:rPr>
            </w:pPr>
            <w:r>
              <w:rPr>
                <w:szCs w:val="18"/>
              </w:rPr>
              <w:t>Only the notifying administration ADM</w:t>
            </w:r>
          </w:p>
        </w:tc>
        <w:tc>
          <w:tcPr>
            <w:tcW w:w="4111" w:type="dxa"/>
          </w:tcPr>
          <w:p w:rsidR="00C101DF" w:rsidRPr="00FA1634" w:rsidRDefault="00C101DF" w:rsidP="00445233">
            <w:pPr>
              <w:rPr>
                <w:szCs w:val="18"/>
              </w:rPr>
            </w:pPr>
            <w:r>
              <w:rPr>
                <w:szCs w:val="18"/>
              </w:rPr>
              <w:t>Only the notifying administration ADM/ORG on behalf of the group</w:t>
            </w:r>
          </w:p>
        </w:tc>
      </w:tr>
      <w:tr w:rsidR="00C101DF" w:rsidRPr="00FA1634" w:rsidTr="00445233">
        <w:tc>
          <w:tcPr>
            <w:tcW w:w="10349" w:type="dxa"/>
            <w:gridSpan w:val="3"/>
          </w:tcPr>
          <w:p w:rsidR="00C101DF" w:rsidRPr="00FA1634" w:rsidRDefault="00C101DF" w:rsidP="00445233">
            <w:pPr>
              <w:rPr>
                <w:b/>
                <w:bCs/>
                <w:szCs w:val="18"/>
              </w:rPr>
            </w:pPr>
            <w:r>
              <w:rPr>
                <w:b/>
                <w:bCs/>
                <w:szCs w:val="18"/>
              </w:rPr>
              <w:t xml:space="preserve">4. </w:t>
            </w:r>
            <w:r w:rsidRPr="00FA1634">
              <w:rPr>
                <w:b/>
                <w:bCs/>
                <w:szCs w:val="18"/>
              </w:rPr>
              <w:t>Issues related to cost recovery</w:t>
            </w:r>
          </w:p>
        </w:tc>
      </w:tr>
      <w:tr w:rsidR="00C101DF" w:rsidRPr="00FA1634" w:rsidTr="00445233">
        <w:tc>
          <w:tcPr>
            <w:tcW w:w="2411" w:type="dxa"/>
          </w:tcPr>
          <w:p w:rsidR="00C101DF" w:rsidRPr="00FA1634" w:rsidRDefault="00C101DF" w:rsidP="00445233">
            <w:pPr>
              <w:rPr>
                <w:szCs w:val="18"/>
              </w:rPr>
            </w:pPr>
            <w:r>
              <w:rPr>
                <w:szCs w:val="18"/>
              </w:rPr>
              <w:t xml:space="preserve">Is a notice submitted on behalf of a group of named administrations </w:t>
            </w:r>
            <w:r>
              <w:rPr>
                <w:szCs w:val="18"/>
              </w:rPr>
              <w:lastRenderedPageBreak/>
              <w:t xml:space="preserve">subject to free entitlement? </w:t>
            </w:r>
          </w:p>
        </w:tc>
        <w:tc>
          <w:tcPr>
            <w:tcW w:w="3827" w:type="dxa"/>
          </w:tcPr>
          <w:p w:rsidR="00C101DF" w:rsidRDefault="00C101DF" w:rsidP="00445233">
            <w:pPr>
              <w:spacing w:after="120"/>
              <w:rPr>
                <w:szCs w:val="18"/>
              </w:rPr>
            </w:pPr>
            <w:r>
              <w:rPr>
                <w:szCs w:val="18"/>
              </w:rPr>
              <w:lastRenderedPageBreak/>
              <w:t xml:space="preserve">Yes, but only the annual free entitlement from the notifying administration can be used. </w:t>
            </w:r>
          </w:p>
          <w:p w:rsidR="00C101DF" w:rsidRPr="00FA1634" w:rsidRDefault="00C101DF" w:rsidP="00445233">
            <w:pPr>
              <w:spacing w:after="120"/>
              <w:rPr>
                <w:szCs w:val="18"/>
              </w:rPr>
            </w:pPr>
            <w:r>
              <w:rPr>
                <w:szCs w:val="18"/>
              </w:rPr>
              <w:lastRenderedPageBreak/>
              <w:t>Note: if the notifying administration uses a free entitlement for the group, the notifying administration cannot use the free entitlement for one of its own submissions.</w:t>
            </w:r>
          </w:p>
        </w:tc>
        <w:tc>
          <w:tcPr>
            <w:tcW w:w="4111" w:type="dxa"/>
          </w:tcPr>
          <w:p w:rsidR="00C101DF" w:rsidRDefault="00C101DF" w:rsidP="00445233">
            <w:pPr>
              <w:rPr>
                <w:szCs w:val="18"/>
              </w:rPr>
            </w:pPr>
            <w:r>
              <w:rPr>
                <w:szCs w:val="18"/>
              </w:rPr>
              <w:lastRenderedPageBreak/>
              <w:t xml:space="preserve">Yes, but only the annual free entitlement from the notifying administration can be used. </w:t>
            </w:r>
          </w:p>
          <w:p w:rsidR="00C101DF" w:rsidRPr="00FA1634" w:rsidRDefault="00C101DF" w:rsidP="00445233">
            <w:pPr>
              <w:rPr>
                <w:szCs w:val="18"/>
              </w:rPr>
            </w:pPr>
            <w:r>
              <w:rPr>
                <w:szCs w:val="18"/>
              </w:rPr>
              <w:lastRenderedPageBreak/>
              <w:t>Note: if the notifying administration uses the free entitlement for the group, the notifying administration cannot use the free entitlement for one of its own submissions.</w:t>
            </w:r>
          </w:p>
        </w:tc>
      </w:tr>
      <w:tr w:rsidR="00C101DF" w:rsidRPr="00FA1634" w:rsidTr="00445233">
        <w:tc>
          <w:tcPr>
            <w:tcW w:w="2411" w:type="dxa"/>
          </w:tcPr>
          <w:p w:rsidR="00C101DF" w:rsidRPr="00FA1634" w:rsidRDefault="00C101DF" w:rsidP="00445233">
            <w:pPr>
              <w:spacing w:after="120"/>
              <w:rPr>
                <w:szCs w:val="18"/>
              </w:rPr>
            </w:pPr>
            <w:r w:rsidRPr="00FA1634">
              <w:rPr>
                <w:szCs w:val="18"/>
              </w:rPr>
              <w:lastRenderedPageBreak/>
              <w:t xml:space="preserve">Is there any cost recovery fee </w:t>
            </w:r>
            <w:r>
              <w:rPr>
                <w:szCs w:val="18"/>
              </w:rPr>
              <w:t>specifically related to the creation, modification or closure of a group of named administrations</w:t>
            </w:r>
            <w:r w:rsidRPr="00FA1634">
              <w:rPr>
                <w:szCs w:val="18"/>
              </w:rPr>
              <w:t>?</w:t>
            </w:r>
          </w:p>
        </w:tc>
        <w:tc>
          <w:tcPr>
            <w:tcW w:w="3827" w:type="dxa"/>
          </w:tcPr>
          <w:p w:rsidR="00C101DF" w:rsidRPr="00FA1634" w:rsidRDefault="00C101DF" w:rsidP="00445233">
            <w:pPr>
              <w:rPr>
                <w:szCs w:val="18"/>
              </w:rPr>
            </w:pPr>
            <w:r>
              <w:rPr>
                <w:szCs w:val="18"/>
              </w:rPr>
              <w:t xml:space="preserve">Such requests are </w:t>
            </w:r>
            <w:r w:rsidRPr="00FA1634">
              <w:rPr>
                <w:szCs w:val="18"/>
              </w:rPr>
              <w:t xml:space="preserve">currently free of charge, because it does not involve a detailed technical examination by the </w:t>
            </w:r>
            <w:r>
              <w:rPr>
                <w:szCs w:val="18"/>
              </w:rPr>
              <w:t>Bureau</w:t>
            </w:r>
            <w:r w:rsidRPr="00FA1634">
              <w:rPr>
                <w:szCs w:val="18"/>
              </w:rPr>
              <w:t xml:space="preserve">. </w:t>
            </w:r>
          </w:p>
        </w:tc>
        <w:tc>
          <w:tcPr>
            <w:tcW w:w="4111" w:type="dxa"/>
          </w:tcPr>
          <w:p w:rsidR="00C101DF" w:rsidRPr="00FA1634" w:rsidRDefault="00C101DF" w:rsidP="00445233">
            <w:pPr>
              <w:rPr>
                <w:szCs w:val="18"/>
              </w:rPr>
            </w:pPr>
            <w:r>
              <w:rPr>
                <w:szCs w:val="18"/>
              </w:rPr>
              <w:t xml:space="preserve">Such requests are </w:t>
            </w:r>
            <w:r w:rsidRPr="00FA1634">
              <w:rPr>
                <w:szCs w:val="18"/>
              </w:rPr>
              <w:t xml:space="preserve">currently free of charge, because it does not involve a detailed technical examination by the </w:t>
            </w:r>
            <w:r>
              <w:rPr>
                <w:szCs w:val="18"/>
              </w:rPr>
              <w:t>Bureau</w:t>
            </w:r>
            <w:r w:rsidRPr="00FA1634">
              <w:rPr>
                <w:szCs w:val="18"/>
              </w:rPr>
              <w:t xml:space="preserve">. </w:t>
            </w:r>
          </w:p>
        </w:tc>
      </w:tr>
    </w:tbl>
    <w:p w:rsidR="00C101DF" w:rsidRDefault="00C101DF" w:rsidP="00C101DF">
      <w:pPr>
        <w:rPr>
          <w:i/>
          <w:iCs/>
          <w:lang w:val="en-AU"/>
        </w:rPr>
      </w:pPr>
      <w:r w:rsidRPr="006776F9">
        <w:rPr>
          <w:b/>
          <w:bCs/>
          <w:i/>
          <w:iCs/>
        </w:rPr>
        <w:t>Reasons</w:t>
      </w:r>
      <w:r w:rsidRPr="006776F9">
        <w:rPr>
          <w:i/>
          <w:iCs/>
        </w:rPr>
        <w:t xml:space="preserve">: </w:t>
      </w:r>
      <w:r>
        <w:rPr>
          <w:i/>
          <w:iCs/>
        </w:rPr>
        <w:t xml:space="preserve">in accordance with No. </w:t>
      </w:r>
      <w:r w:rsidRPr="00AC3EF4">
        <w:rPr>
          <w:b/>
          <w:bCs/>
          <w:i/>
          <w:iCs/>
        </w:rPr>
        <w:t>13.12A</w:t>
      </w:r>
      <w:r>
        <w:rPr>
          <w:i/>
          <w:iCs/>
        </w:rPr>
        <w:t xml:space="preserve"> b), </w:t>
      </w:r>
      <w:r w:rsidRPr="006776F9">
        <w:rPr>
          <w:i/>
          <w:iCs/>
          <w:lang w:val="en-AU"/>
        </w:rPr>
        <w:t xml:space="preserve">to </w:t>
      </w:r>
      <w:r>
        <w:rPr>
          <w:i/>
          <w:iCs/>
          <w:lang w:val="en-AU"/>
        </w:rPr>
        <w:t>document the understanding of the Bureau in the implementation of data provided under items</w:t>
      </w:r>
      <w:r>
        <w:rPr>
          <w:b/>
          <w:bCs/>
          <w:szCs w:val="24"/>
        </w:rPr>
        <w:t xml:space="preserve"> </w:t>
      </w:r>
      <w:r w:rsidRPr="00AC3EF4">
        <w:rPr>
          <w:i/>
          <w:iCs/>
          <w:szCs w:val="24"/>
        </w:rPr>
        <w:t>A.1.f.2 and A.1.f.3 of Annex 2 to Appendix</w:t>
      </w:r>
      <w:r w:rsidRPr="00AC3EF4">
        <w:rPr>
          <w:b/>
          <w:bCs/>
          <w:i/>
          <w:iCs/>
          <w:szCs w:val="24"/>
        </w:rPr>
        <w:t xml:space="preserve"> 4</w:t>
      </w:r>
      <w:r w:rsidRPr="001E447E">
        <w:rPr>
          <w:i/>
          <w:iCs/>
          <w:lang w:val="en-AU"/>
        </w:rPr>
        <w:t>.</w:t>
      </w:r>
    </w:p>
    <w:p w:rsidR="00C101DF" w:rsidRPr="00C101DF" w:rsidRDefault="00C101DF" w:rsidP="00C101DF">
      <w:pPr>
        <w:rPr>
          <w:i/>
          <w:iCs/>
        </w:rPr>
      </w:pPr>
      <w:r w:rsidRPr="00C101DF">
        <w:rPr>
          <w:i/>
          <w:iCs/>
        </w:rPr>
        <w:t>Effective date of application of this Rule: immediately after approval.</w:t>
      </w:r>
    </w:p>
    <w:p w:rsidR="00F15659" w:rsidRPr="00B50E3B" w:rsidRDefault="00F15659" w:rsidP="00F15659">
      <w:pPr>
        <w:rPr>
          <w:rFonts w:asciiTheme="majorBidi" w:hAnsiTheme="majorBidi" w:cstheme="majorBidi"/>
          <w:i/>
          <w:iCs/>
        </w:rPr>
      </w:pPr>
    </w:p>
    <w:p w:rsidR="00F15659" w:rsidRPr="00EA2C03" w:rsidRDefault="00F15659" w:rsidP="00EA2C03">
      <w:pPr>
        <w:spacing w:before="0" w:after="240"/>
        <w:jc w:val="center"/>
        <w:rPr>
          <w:color w:val="000000"/>
          <w:shd w:val="clear" w:color="auto" w:fill="FFFFFF"/>
        </w:rPr>
      </w:pPr>
      <w:r>
        <w:rPr>
          <w:color w:val="000000"/>
          <w:szCs w:val="24"/>
          <w:shd w:val="clear" w:color="auto" w:fill="FFFFFF"/>
        </w:rPr>
        <w:t>_______________</w:t>
      </w:r>
    </w:p>
    <w:p w:rsidR="00F15659" w:rsidRPr="00D72B7B" w:rsidRDefault="00F15659" w:rsidP="00FA2B72">
      <w:pPr>
        <w:jc w:val="center"/>
        <w:rPr>
          <w:rFonts w:eastAsia="Times New Roman"/>
          <w:b/>
          <w:bCs/>
          <w:lang w:val="en-GB"/>
        </w:rPr>
      </w:pPr>
    </w:p>
    <w:sectPr w:rsidR="00F15659" w:rsidRPr="00D72B7B" w:rsidSect="00F15659">
      <w:headerReference w:type="even" r:id="rId16"/>
      <w:type w:val="continuous"/>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78" w:rsidRDefault="00C75578">
      <w:r>
        <w:separator/>
      </w:r>
    </w:p>
  </w:endnote>
  <w:endnote w:type="continuationSeparator" w:id="0">
    <w:p w:rsidR="00C75578" w:rsidRDefault="00C7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33" w:rsidRPr="005224A1" w:rsidRDefault="00407B33" w:rsidP="00406D71">
    <w:pPr>
      <w:pStyle w:val="FirstFooter"/>
      <w:spacing w:before="0" w:line="240" w:lineRule="auto"/>
      <w:ind w:left="-397" w:right="-397"/>
      <w:rPr>
        <w:sz w:val="20"/>
        <w:szCs w:val="18"/>
      </w:rPr>
    </w:pPr>
  </w:p>
  <w:p w:rsidR="00407B33" w:rsidRPr="005C4582" w:rsidRDefault="00407B33"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407B33" w:rsidRPr="005E5EB3" w:rsidRDefault="00407B33"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78" w:rsidRDefault="00C75578">
      <w:r>
        <w:t>____________________</w:t>
      </w:r>
    </w:p>
  </w:footnote>
  <w:footnote w:type="continuationSeparator" w:id="0">
    <w:p w:rsidR="00C75578" w:rsidRDefault="00C7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33" w:rsidRPr="000D79FA" w:rsidRDefault="00407B33">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F15659">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p w:rsidR="00D242CC" w:rsidRDefault="00D242CC"/>
  <w:p w:rsidR="00D242CC" w:rsidRDefault="00D242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33" w:rsidRPr="000D79FA" w:rsidRDefault="00407B33" w:rsidP="00C358EF">
    <w:pPr>
      <w:pStyle w:val="Header"/>
      <w:rPr>
        <w:sz w:val="18"/>
        <w:szCs w:val="18"/>
      </w:rPr>
    </w:pPr>
    <w:r>
      <w:tab/>
    </w:r>
    <w:r>
      <w:tab/>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E665E4">
      <w:rPr>
        <w:noProof/>
        <w:sz w:val="18"/>
        <w:szCs w:val="18"/>
      </w:rPr>
      <w:t>5</w:t>
    </w:r>
    <w:r w:rsidRPr="000D79FA">
      <w:rPr>
        <w:sz w:val="18"/>
        <w:szCs w:val="18"/>
      </w:rPr>
      <w:fldChar w:fldCharType="end"/>
    </w:r>
  </w:p>
  <w:p w:rsidR="00D242CC" w:rsidRDefault="00D242CC"/>
  <w:p w:rsidR="00D242CC" w:rsidRDefault="00D242C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131"/>
    </w:tblGrid>
    <w:tr w:rsidR="009973BC" w:rsidTr="009973BC">
      <w:tc>
        <w:tcPr>
          <w:tcW w:w="4832" w:type="dxa"/>
          <w:noWrap/>
          <w:tcMar>
            <w:left w:w="0" w:type="dxa"/>
          </w:tcMar>
        </w:tcPr>
        <w:p w:rsidR="009973BC" w:rsidRDefault="009973BC" w:rsidP="009973BC">
          <w:pPr>
            <w:pStyle w:val="Header"/>
            <w:spacing w:before="120" w:line="360" w:lineRule="auto"/>
          </w:pPr>
          <w:r w:rsidRPr="008E52B1">
            <w:rPr>
              <w:noProof/>
              <w:color w:val="3399FF"/>
              <w:lang w:val="en-GB" w:eastAsia="en-GB"/>
            </w:rPr>
            <w:drawing>
              <wp:inline distT="0" distB="0" distL="0" distR="0" wp14:anchorId="2C11FF7A" wp14:editId="4982C57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973BC" w:rsidRDefault="009973BC" w:rsidP="009973BC">
          <w:pPr>
            <w:pStyle w:val="Header"/>
            <w:spacing w:before="240" w:line="360" w:lineRule="auto"/>
            <w:jc w:val="right"/>
          </w:pPr>
          <w:r>
            <w:rPr>
              <w:noProof/>
              <w:lang w:val="en-GB" w:eastAsia="en-GB"/>
            </w:rPr>
            <w:drawing>
              <wp:inline distT="0" distB="0" distL="0" distR="0" wp14:anchorId="38DE070D" wp14:editId="38C146A1">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07B33" w:rsidRPr="00EA15B3" w:rsidRDefault="00407B33" w:rsidP="009973BC">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72118"/>
      <w:docPartObj>
        <w:docPartGallery w:val="Page Numbers (Top of Page)"/>
        <w:docPartUnique/>
      </w:docPartObj>
    </w:sdtPr>
    <w:sdtEndPr>
      <w:rPr>
        <w:noProof/>
        <w:sz w:val="18"/>
        <w:szCs w:val="18"/>
      </w:rPr>
    </w:sdtEndPr>
    <w:sdtContent>
      <w:p w:rsidR="00193A88" w:rsidRPr="00C358EF" w:rsidRDefault="00193A88">
        <w:pPr>
          <w:pStyle w:val="Header"/>
          <w:jc w:val="center"/>
          <w:rPr>
            <w:sz w:val="18"/>
            <w:szCs w:val="18"/>
          </w:rPr>
        </w:pPr>
        <w:r w:rsidRPr="00C358EF">
          <w:rPr>
            <w:sz w:val="18"/>
            <w:szCs w:val="18"/>
          </w:rPr>
          <w:fldChar w:fldCharType="begin"/>
        </w:r>
        <w:r w:rsidRPr="00C358EF">
          <w:rPr>
            <w:sz w:val="18"/>
            <w:szCs w:val="18"/>
          </w:rPr>
          <w:instrText xml:space="preserve"> PAGE   \* MERGEFORMAT </w:instrText>
        </w:r>
        <w:r w:rsidRPr="00C358EF">
          <w:rPr>
            <w:sz w:val="18"/>
            <w:szCs w:val="18"/>
          </w:rPr>
          <w:fldChar w:fldCharType="separate"/>
        </w:r>
        <w:r w:rsidR="00E665E4">
          <w:rPr>
            <w:noProof/>
            <w:sz w:val="18"/>
            <w:szCs w:val="18"/>
          </w:rPr>
          <w:t>2</w:t>
        </w:r>
        <w:r w:rsidRPr="00C358EF">
          <w:rPr>
            <w:noProof/>
            <w:sz w:val="18"/>
            <w:szCs w:val="18"/>
          </w:rPr>
          <w:fldChar w:fldCharType="end"/>
        </w:r>
      </w:p>
    </w:sdtContent>
  </w:sdt>
  <w:p w:rsidR="00F15659" w:rsidRDefault="00F15659">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50BB2"/>
    <w:multiLevelType w:val="hybridMultilevel"/>
    <w:tmpl w:val="B53C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1"/>
  </w:num>
  <w:num w:numId="5">
    <w:abstractNumId w:val="6"/>
  </w:num>
  <w:num w:numId="6">
    <w:abstractNumId w:val="4"/>
  </w:num>
  <w:num w:numId="7">
    <w:abstractNumId w:val="1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167E"/>
    <w:rsid w:val="00015C76"/>
    <w:rsid w:val="0001764B"/>
    <w:rsid w:val="00026CF8"/>
    <w:rsid w:val="00031E64"/>
    <w:rsid w:val="000333D2"/>
    <w:rsid w:val="00034BB5"/>
    <w:rsid w:val="000370C7"/>
    <w:rsid w:val="000468B6"/>
    <w:rsid w:val="00047C98"/>
    <w:rsid w:val="00051709"/>
    <w:rsid w:val="00054E5D"/>
    <w:rsid w:val="00062550"/>
    <w:rsid w:val="00070258"/>
    <w:rsid w:val="0007323C"/>
    <w:rsid w:val="000734AE"/>
    <w:rsid w:val="00081F8A"/>
    <w:rsid w:val="00082814"/>
    <w:rsid w:val="00085769"/>
    <w:rsid w:val="00086D03"/>
    <w:rsid w:val="00087864"/>
    <w:rsid w:val="000A445E"/>
    <w:rsid w:val="000A7051"/>
    <w:rsid w:val="000B0032"/>
    <w:rsid w:val="000B0AF6"/>
    <w:rsid w:val="000B0E9B"/>
    <w:rsid w:val="000B1525"/>
    <w:rsid w:val="000B6635"/>
    <w:rsid w:val="000C03C7"/>
    <w:rsid w:val="000C0E2D"/>
    <w:rsid w:val="000C10EF"/>
    <w:rsid w:val="000D288A"/>
    <w:rsid w:val="000D5019"/>
    <w:rsid w:val="000D79FA"/>
    <w:rsid w:val="000E3DEE"/>
    <w:rsid w:val="000E4DD4"/>
    <w:rsid w:val="000E7114"/>
    <w:rsid w:val="00100B72"/>
    <w:rsid w:val="00101F7D"/>
    <w:rsid w:val="00103C76"/>
    <w:rsid w:val="0010703D"/>
    <w:rsid w:val="0011265F"/>
    <w:rsid w:val="0011553E"/>
    <w:rsid w:val="00117282"/>
    <w:rsid w:val="0012375C"/>
    <w:rsid w:val="00126AE4"/>
    <w:rsid w:val="00134404"/>
    <w:rsid w:val="0014149E"/>
    <w:rsid w:val="00142E6E"/>
    <w:rsid w:val="00144DFB"/>
    <w:rsid w:val="00146F88"/>
    <w:rsid w:val="00151DDC"/>
    <w:rsid w:val="001528E5"/>
    <w:rsid w:val="00154BF4"/>
    <w:rsid w:val="00165B3D"/>
    <w:rsid w:val="00183A60"/>
    <w:rsid w:val="00184F53"/>
    <w:rsid w:val="00187CA3"/>
    <w:rsid w:val="00193A88"/>
    <w:rsid w:val="00195837"/>
    <w:rsid w:val="00196710"/>
    <w:rsid w:val="00197324"/>
    <w:rsid w:val="001B351B"/>
    <w:rsid w:val="001B734E"/>
    <w:rsid w:val="001C06DB"/>
    <w:rsid w:val="001C39B7"/>
    <w:rsid w:val="001D4E1D"/>
    <w:rsid w:val="001D7070"/>
    <w:rsid w:val="001E07B8"/>
    <w:rsid w:val="001F3F48"/>
    <w:rsid w:val="001F403F"/>
    <w:rsid w:val="001F5966"/>
    <w:rsid w:val="001F5A49"/>
    <w:rsid w:val="002004E7"/>
    <w:rsid w:val="00201097"/>
    <w:rsid w:val="00201B6E"/>
    <w:rsid w:val="002302B3"/>
    <w:rsid w:val="00230C66"/>
    <w:rsid w:val="00235A29"/>
    <w:rsid w:val="002443A2"/>
    <w:rsid w:val="00257A19"/>
    <w:rsid w:val="0026097F"/>
    <w:rsid w:val="00261422"/>
    <w:rsid w:val="00261D5F"/>
    <w:rsid w:val="00274AEA"/>
    <w:rsid w:val="0027627D"/>
    <w:rsid w:val="002861E6"/>
    <w:rsid w:val="00287D18"/>
    <w:rsid w:val="00290DE9"/>
    <w:rsid w:val="002928FE"/>
    <w:rsid w:val="00295CF8"/>
    <w:rsid w:val="002A17C1"/>
    <w:rsid w:val="002A2618"/>
    <w:rsid w:val="002C0FFC"/>
    <w:rsid w:val="002D01C2"/>
    <w:rsid w:val="002D585E"/>
    <w:rsid w:val="002D5A15"/>
    <w:rsid w:val="002D5ADC"/>
    <w:rsid w:val="002D5BDD"/>
    <w:rsid w:val="002E3D27"/>
    <w:rsid w:val="002E5BED"/>
    <w:rsid w:val="002F0127"/>
    <w:rsid w:val="002F0890"/>
    <w:rsid w:val="002F0A0D"/>
    <w:rsid w:val="002F2531"/>
    <w:rsid w:val="002F4967"/>
    <w:rsid w:val="002F6491"/>
    <w:rsid w:val="00300DB9"/>
    <w:rsid w:val="00316935"/>
    <w:rsid w:val="00327A42"/>
    <w:rsid w:val="003370B8"/>
    <w:rsid w:val="00337C74"/>
    <w:rsid w:val="00345D38"/>
    <w:rsid w:val="003469E8"/>
    <w:rsid w:val="00350B86"/>
    <w:rsid w:val="003606E8"/>
    <w:rsid w:val="00362140"/>
    <w:rsid w:val="003666FF"/>
    <w:rsid w:val="00370639"/>
    <w:rsid w:val="00382E7F"/>
    <w:rsid w:val="003A1F49"/>
    <w:rsid w:val="003A226A"/>
    <w:rsid w:val="003B02DF"/>
    <w:rsid w:val="003B2BDA"/>
    <w:rsid w:val="003B4354"/>
    <w:rsid w:val="003B49DA"/>
    <w:rsid w:val="003B55EC"/>
    <w:rsid w:val="003C4471"/>
    <w:rsid w:val="003D7D32"/>
    <w:rsid w:val="003E41DB"/>
    <w:rsid w:val="003E504F"/>
    <w:rsid w:val="003E6F09"/>
    <w:rsid w:val="003E78D6"/>
    <w:rsid w:val="003F38A5"/>
    <w:rsid w:val="003F3A0C"/>
    <w:rsid w:val="003F5D64"/>
    <w:rsid w:val="003F6A1B"/>
    <w:rsid w:val="003F73D8"/>
    <w:rsid w:val="00402667"/>
    <w:rsid w:val="00406C4A"/>
    <w:rsid w:val="00406D71"/>
    <w:rsid w:val="00407B33"/>
    <w:rsid w:val="0041509E"/>
    <w:rsid w:val="004326DB"/>
    <w:rsid w:val="00434DBF"/>
    <w:rsid w:val="0043682E"/>
    <w:rsid w:val="00447ECB"/>
    <w:rsid w:val="00457403"/>
    <w:rsid w:val="004575EB"/>
    <w:rsid w:val="004623F7"/>
    <w:rsid w:val="00463512"/>
    <w:rsid w:val="00463CE7"/>
    <w:rsid w:val="0047245B"/>
    <w:rsid w:val="00480F51"/>
    <w:rsid w:val="00480FE5"/>
    <w:rsid w:val="00481124"/>
    <w:rsid w:val="004815EB"/>
    <w:rsid w:val="00482C80"/>
    <w:rsid w:val="004853AD"/>
    <w:rsid w:val="00486571"/>
    <w:rsid w:val="00487569"/>
    <w:rsid w:val="00496864"/>
    <w:rsid w:val="00496920"/>
    <w:rsid w:val="004969F2"/>
    <w:rsid w:val="004A1F3A"/>
    <w:rsid w:val="004A3BD5"/>
    <w:rsid w:val="004A4496"/>
    <w:rsid w:val="004B11AB"/>
    <w:rsid w:val="004B7C9A"/>
    <w:rsid w:val="004C13E7"/>
    <w:rsid w:val="004C5EC0"/>
    <w:rsid w:val="004C6779"/>
    <w:rsid w:val="004D020F"/>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0569"/>
    <w:rsid w:val="005613AE"/>
    <w:rsid w:val="005628BA"/>
    <w:rsid w:val="005638CF"/>
    <w:rsid w:val="0056741E"/>
    <w:rsid w:val="0057325A"/>
    <w:rsid w:val="0057469A"/>
    <w:rsid w:val="00580814"/>
    <w:rsid w:val="00580BB2"/>
    <w:rsid w:val="00586DD6"/>
    <w:rsid w:val="00594DD0"/>
    <w:rsid w:val="00597E71"/>
    <w:rsid w:val="005A03A3"/>
    <w:rsid w:val="005A2AAA"/>
    <w:rsid w:val="005A2B92"/>
    <w:rsid w:val="005A6F41"/>
    <w:rsid w:val="005A79E9"/>
    <w:rsid w:val="005B214C"/>
    <w:rsid w:val="005C3112"/>
    <w:rsid w:val="005D3669"/>
    <w:rsid w:val="005E5EB3"/>
    <w:rsid w:val="005F3CB6"/>
    <w:rsid w:val="005F657C"/>
    <w:rsid w:val="00602D53"/>
    <w:rsid w:val="00603855"/>
    <w:rsid w:val="0060417B"/>
    <w:rsid w:val="006047E5"/>
    <w:rsid w:val="00610387"/>
    <w:rsid w:val="006128C9"/>
    <w:rsid w:val="00637CAB"/>
    <w:rsid w:val="006402E9"/>
    <w:rsid w:val="00642556"/>
    <w:rsid w:val="0064371D"/>
    <w:rsid w:val="00650B2A"/>
    <w:rsid w:val="00651777"/>
    <w:rsid w:val="006550F8"/>
    <w:rsid w:val="00655A02"/>
    <w:rsid w:val="00655C3A"/>
    <w:rsid w:val="00657F12"/>
    <w:rsid w:val="00666C5A"/>
    <w:rsid w:val="00667AD2"/>
    <w:rsid w:val="00683247"/>
    <w:rsid w:val="0068376B"/>
    <w:rsid w:val="00684EE0"/>
    <w:rsid w:val="00690A1B"/>
    <w:rsid w:val="0069302C"/>
    <w:rsid w:val="006961E4"/>
    <w:rsid w:val="00697B4F"/>
    <w:rsid w:val="006A115B"/>
    <w:rsid w:val="006A49DC"/>
    <w:rsid w:val="006A518B"/>
    <w:rsid w:val="006A5B9A"/>
    <w:rsid w:val="006A6A97"/>
    <w:rsid w:val="006B04B7"/>
    <w:rsid w:val="006B0590"/>
    <w:rsid w:val="006B44E9"/>
    <w:rsid w:val="006B49DA"/>
    <w:rsid w:val="006C3ACE"/>
    <w:rsid w:val="006C792A"/>
    <w:rsid w:val="006C7CDE"/>
    <w:rsid w:val="006D4BE4"/>
    <w:rsid w:val="006F0377"/>
    <w:rsid w:val="006F1A35"/>
    <w:rsid w:val="006F72B3"/>
    <w:rsid w:val="007038CC"/>
    <w:rsid w:val="007234B1"/>
    <w:rsid w:val="00727816"/>
    <w:rsid w:val="00730B9A"/>
    <w:rsid w:val="007402F3"/>
    <w:rsid w:val="0074244F"/>
    <w:rsid w:val="00742E77"/>
    <w:rsid w:val="00750CFA"/>
    <w:rsid w:val="00754007"/>
    <w:rsid w:val="007553DA"/>
    <w:rsid w:val="007620D4"/>
    <w:rsid w:val="007661B7"/>
    <w:rsid w:val="0077544F"/>
    <w:rsid w:val="00777482"/>
    <w:rsid w:val="00782354"/>
    <w:rsid w:val="00784A5A"/>
    <w:rsid w:val="007921A7"/>
    <w:rsid w:val="007A3ABE"/>
    <w:rsid w:val="007A4119"/>
    <w:rsid w:val="007A7AB6"/>
    <w:rsid w:val="007B26FA"/>
    <w:rsid w:val="007B3DB1"/>
    <w:rsid w:val="007B7498"/>
    <w:rsid w:val="007D183E"/>
    <w:rsid w:val="007D55ED"/>
    <w:rsid w:val="007D57BE"/>
    <w:rsid w:val="007D6846"/>
    <w:rsid w:val="007E1833"/>
    <w:rsid w:val="007E1F1D"/>
    <w:rsid w:val="007E3F13"/>
    <w:rsid w:val="007E70DD"/>
    <w:rsid w:val="007F4C50"/>
    <w:rsid w:val="007F751A"/>
    <w:rsid w:val="00800012"/>
    <w:rsid w:val="00803594"/>
    <w:rsid w:val="00803AED"/>
    <w:rsid w:val="008143A4"/>
    <w:rsid w:val="00814544"/>
    <w:rsid w:val="0081513E"/>
    <w:rsid w:val="00827FDD"/>
    <w:rsid w:val="008366B5"/>
    <w:rsid w:val="00843494"/>
    <w:rsid w:val="00852EC3"/>
    <w:rsid w:val="00853EF9"/>
    <w:rsid w:val="00854131"/>
    <w:rsid w:val="0085652D"/>
    <w:rsid w:val="00861A14"/>
    <w:rsid w:val="00866FEB"/>
    <w:rsid w:val="00872B00"/>
    <w:rsid w:val="0087694B"/>
    <w:rsid w:val="00876C41"/>
    <w:rsid w:val="00884461"/>
    <w:rsid w:val="008871A4"/>
    <w:rsid w:val="00887EE8"/>
    <w:rsid w:val="008928A7"/>
    <w:rsid w:val="008948AA"/>
    <w:rsid w:val="0089578B"/>
    <w:rsid w:val="008B7BE5"/>
    <w:rsid w:val="008C0966"/>
    <w:rsid w:val="008C2E74"/>
    <w:rsid w:val="008C38AA"/>
    <w:rsid w:val="008D5409"/>
    <w:rsid w:val="008E006D"/>
    <w:rsid w:val="008E77DA"/>
    <w:rsid w:val="008F3A1F"/>
    <w:rsid w:val="008F4F21"/>
    <w:rsid w:val="00900410"/>
    <w:rsid w:val="00904D4A"/>
    <w:rsid w:val="00913693"/>
    <w:rsid w:val="009151BA"/>
    <w:rsid w:val="00925023"/>
    <w:rsid w:val="009277BC"/>
    <w:rsid w:val="00927D57"/>
    <w:rsid w:val="00931A51"/>
    <w:rsid w:val="009323DA"/>
    <w:rsid w:val="0093323C"/>
    <w:rsid w:val="00934636"/>
    <w:rsid w:val="00947185"/>
    <w:rsid w:val="00957A98"/>
    <w:rsid w:val="00963D9D"/>
    <w:rsid w:val="00975D6F"/>
    <w:rsid w:val="0098013E"/>
    <w:rsid w:val="00981B54"/>
    <w:rsid w:val="00982041"/>
    <w:rsid w:val="009842C3"/>
    <w:rsid w:val="009973BC"/>
    <w:rsid w:val="009A009A"/>
    <w:rsid w:val="009A2B0B"/>
    <w:rsid w:val="009A6BB6"/>
    <w:rsid w:val="009B1BF4"/>
    <w:rsid w:val="009B3F43"/>
    <w:rsid w:val="009B5CFA"/>
    <w:rsid w:val="009C161F"/>
    <w:rsid w:val="009C3038"/>
    <w:rsid w:val="009C56B4"/>
    <w:rsid w:val="009C6769"/>
    <w:rsid w:val="009D15A0"/>
    <w:rsid w:val="009D51A2"/>
    <w:rsid w:val="009D7BDE"/>
    <w:rsid w:val="009E04A8"/>
    <w:rsid w:val="009E4AEC"/>
    <w:rsid w:val="009E5BD8"/>
    <w:rsid w:val="009E681E"/>
    <w:rsid w:val="009E6EBB"/>
    <w:rsid w:val="009F1E33"/>
    <w:rsid w:val="009F2FCD"/>
    <w:rsid w:val="009F70E5"/>
    <w:rsid w:val="00A02280"/>
    <w:rsid w:val="00A03CF9"/>
    <w:rsid w:val="00A10269"/>
    <w:rsid w:val="00A119E6"/>
    <w:rsid w:val="00A24A6F"/>
    <w:rsid w:val="00A2671E"/>
    <w:rsid w:val="00A30388"/>
    <w:rsid w:val="00A31370"/>
    <w:rsid w:val="00A3147D"/>
    <w:rsid w:val="00A32150"/>
    <w:rsid w:val="00A340D6"/>
    <w:rsid w:val="00A34963"/>
    <w:rsid w:val="00A34D6F"/>
    <w:rsid w:val="00A35635"/>
    <w:rsid w:val="00A41F91"/>
    <w:rsid w:val="00A442A8"/>
    <w:rsid w:val="00A508B1"/>
    <w:rsid w:val="00A56F2F"/>
    <w:rsid w:val="00A600CA"/>
    <w:rsid w:val="00A638EC"/>
    <w:rsid w:val="00A700B7"/>
    <w:rsid w:val="00A75CA2"/>
    <w:rsid w:val="00A761B1"/>
    <w:rsid w:val="00A82972"/>
    <w:rsid w:val="00A87760"/>
    <w:rsid w:val="00A963DF"/>
    <w:rsid w:val="00AA0BA2"/>
    <w:rsid w:val="00AA6924"/>
    <w:rsid w:val="00AB10BE"/>
    <w:rsid w:val="00AC05B1"/>
    <w:rsid w:val="00AC3896"/>
    <w:rsid w:val="00AD0123"/>
    <w:rsid w:val="00AD4DF6"/>
    <w:rsid w:val="00AD7647"/>
    <w:rsid w:val="00AD7D10"/>
    <w:rsid w:val="00AE2D88"/>
    <w:rsid w:val="00AE6F6F"/>
    <w:rsid w:val="00AF3325"/>
    <w:rsid w:val="00AF34D9"/>
    <w:rsid w:val="00AF70DA"/>
    <w:rsid w:val="00B019D3"/>
    <w:rsid w:val="00B30B48"/>
    <w:rsid w:val="00B34CF9"/>
    <w:rsid w:val="00B3546C"/>
    <w:rsid w:val="00B37559"/>
    <w:rsid w:val="00B50A49"/>
    <w:rsid w:val="00B564F0"/>
    <w:rsid w:val="00B579B0"/>
    <w:rsid w:val="00B675F4"/>
    <w:rsid w:val="00B75EA5"/>
    <w:rsid w:val="00B7724A"/>
    <w:rsid w:val="00B82BAA"/>
    <w:rsid w:val="00B84295"/>
    <w:rsid w:val="00B84B68"/>
    <w:rsid w:val="00B87728"/>
    <w:rsid w:val="00B90C45"/>
    <w:rsid w:val="00B933BE"/>
    <w:rsid w:val="00B95129"/>
    <w:rsid w:val="00BA5BB2"/>
    <w:rsid w:val="00BA741B"/>
    <w:rsid w:val="00BB1179"/>
    <w:rsid w:val="00BB1751"/>
    <w:rsid w:val="00BB6557"/>
    <w:rsid w:val="00BC72A7"/>
    <w:rsid w:val="00BD41F6"/>
    <w:rsid w:val="00BD5ED3"/>
    <w:rsid w:val="00BD64F8"/>
    <w:rsid w:val="00BD6738"/>
    <w:rsid w:val="00BD7E5E"/>
    <w:rsid w:val="00BE197D"/>
    <w:rsid w:val="00BE6574"/>
    <w:rsid w:val="00C06566"/>
    <w:rsid w:val="00C101DF"/>
    <w:rsid w:val="00C13597"/>
    <w:rsid w:val="00C16FD2"/>
    <w:rsid w:val="00C22F0D"/>
    <w:rsid w:val="00C24730"/>
    <w:rsid w:val="00C358EF"/>
    <w:rsid w:val="00C45B3F"/>
    <w:rsid w:val="00C47CF9"/>
    <w:rsid w:val="00C47FFD"/>
    <w:rsid w:val="00C57E2C"/>
    <w:rsid w:val="00C608B7"/>
    <w:rsid w:val="00C66F24"/>
    <w:rsid w:val="00C70C64"/>
    <w:rsid w:val="00C73281"/>
    <w:rsid w:val="00C75578"/>
    <w:rsid w:val="00C76E83"/>
    <w:rsid w:val="00C80B37"/>
    <w:rsid w:val="00C813AA"/>
    <w:rsid w:val="00C826DF"/>
    <w:rsid w:val="00C9291E"/>
    <w:rsid w:val="00CA3F44"/>
    <w:rsid w:val="00CA4E58"/>
    <w:rsid w:val="00CA7074"/>
    <w:rsid w:val="00CB3771"/>
    <w:rsid w:val="00CB44BF"/>
    <w:rsid w:val="00CB5153"/>
    <w:rsid w:val="00CB6925"/>
    <w:rsid w:val="00CE076A"/>
    <w:rsid w:val="00CE463D"/>
    <w:rsid w:val="00CF2A15"/>
    <w:rsid w:val="00D05B3E"/>
    <w:rsid w:val="00D06CD0"/>
    <w:rsid w:val="00D10BA0"/>
    <w:rsid w:val="00D14B16"/>
    <w:rsid w:val="00D21132"/>
    <w:rsid w:val="00D21952"/>
    <w:rsid w:val="00D21B81"/>
    <w:rsid w:val="00D22162"/>
    <w:rsid w:val="00D22426"/>
    <w:rsid w:val="00D242CC"/>
    <w:rsid w:val="00D24782"/>
    <w:rsid w:val="00D24EB5"/>
    <w:rsid w:val="00D30D33"/>
    <w:rsid w:val="00D32670"/>
    <w:rsid w:val="00D35AB9"/>
    <w:rsid w:val="00D372E7"/>
    <w:rsid w:val="00D41571"/>
    <w:rsid w:val="00D416A0"/>
    <w:rsid w:val="00D47672"/>
    <w:rsid w:val="00D5123C"/>
    <w:rsid w:val="00D55560"/>
    <w:rsid w:val="00D61C5A"/>
    <w:rsid w:val="00D6252A"/>
    <w:rsid w:val="00D627AD"/>
    <w:rsid w:val="00D6377D"/>
    <w:rsid w:val="00D72B7B"/>
    <w:rsid w:val="00D733F5"/>
    <w:rsid w:val="00D758F8"/>
    <w:rsid w:val="00D7741D"/>
    <w:rsid w:val="00D843D3"/>
    <w:rsid w:val="00D85887"/>
    <w:rsid w:val="00D86C63"/>
    <w:rsid w:val="00D87E20"/>
    <w:rsid w:val="00D97139"/>
    <w:rsid w:val="00DA31C1"/>
    <w:rsid w:val="00DB0F69"/>
    <w:rsid w:val="00DC18BB"/>
    <w:rsid w:val="00DC284D"/>
    <w:rsid w:val="00DD0EF9"/>
    <w:rsid w:val="00DD1275"/>
    <w:rsid w:val="00DE31F9"/>
    <w:rsid w:val="00DE66A5"/>
    <w:rsid w:val="00DE6E1E"/>
    <w:rsid w:val="00DF2B50"/>
    <w:rsid w:val="00DF4325"/>
    <w:rsid w:val="00DF4B44"/>
    <w:rsid w:val="00DF56B8"/>
    <w:rsid w:val="00E01280"/>
    <w:rsid w:val="00E03D73"/>
    <w:rsid w:val="00E04C86"/>
    <w:rsid w:val="00E20F30"/>
    <w:rsid w:val="00E2189C"/>
    <w:rsid w:val="00E2337D"/>
    <w:rsid w:val="00E25BB1"/>
    <w:rsid w:val="00E27BBA"/>
    <w:rsid w:val="00E35279"/>
    <w:rsid w:val="00E35E8F"/>
    <w:rsid w:val="00E41CDA"/>
    <w:rsid w:val="00E428AB"/>
    <w:rsid w:val="00E4296A"/>
    <w:rsid w:val="00E42EE3"/>
    <w:rsid w:val="00E438E8"/>
    <w:rsid w:val="00E448F0"/>
    <w:rsid w:val="00E453A3"/>
    <w:rsid w:val="00E46E06"/>
    <w:rsid w:val="00E520E2"/>
    <w:rsid w:val="00E536D9"/>
    <w:rsid w:val="00E60D8B"/>
    <w:rsid w:val="00E61969"/>
    <w:rsid w:val="00E62738"/>
    <w:rsid w:val="00E6417C"/>
    <w:rsid w:val="00E64254"/>
    <w:rsid w:val="00E665E4"/>
    <w:rsid w:val="00E71242"/>
    <w:rsid w:val="00E77BED"/>
    <w:rsid w:val="00E817BF"/>
    <w:rsid w:val="00E862A4"/>
    <w:rsid w:val="00E915AF"/>
    <w:rsid w:val="00E9622B"/>
    <w:rsid w:val="00E96415"/>
    <w:rsid w:val="00EA15B3"/>
    <w:rsid w:val="00EA2C03"/>
    <w:rsid w:val="00EA2DF7"/>
    <w:rsid w:val="00EA3A93"/>
    <w:rsid w:val="00EA5078"/>
    <w:rsid w:val="00EB2358"/>
    <w:rsid w:val="00EB3EB8"/>
    <w:rsid w:val="00EC02FE"/>
    <w:rsid w:val="00EC0880"/>
    <w:rsid w:val="00EC3C84"/>
    <w:rsid w:val="00ED1745"/>
    <w:rsid w:val="00ED2F62"/>
    <w:rsid w:val="00EE1264"/>
    <w:rsid w:val="00EE2D15"/>
    <w:rsid w:val="00EE3CDE"/>
    <w:rsid w:val="00EE60B2"/>
    <w:rsid w:val="00EF5D0B"/>
    <w:rsid w:val="00EF751E"/>
    <w:rsid w:val="00F07E51"/>
    <w:rsid w:val="00F117BE"/>
    <w:rsid w:val="00F15659"/>
    <w:rsid w:val="00F37853"/>
    <w:rsid w:val="00F424BF"/>
    <w:rsid w:val="00F44D96"/>
    <w:rsid w:val="00F46107"/>
    <w:rsid w:val="00F468C5"/>
    <w:rsid w:val="00F52F39"/>
    <w:rsid w:val="00F53F25"/>
    <w:rsid w:val="00F655DE"/>
    <w:rsid w:val="00F73A39"/>
    <w:rsid w:val="00F810C9"/>
    <w:rsid w:val="00F914DD"/>
    <w:rsid w:val="00F93E4F"/>
    <w:rsid w:val="00FA17AF"/>
    <w:rsid w:val="00FA2358"/>
    <w:rsid w:val="00FA2B72"/>
    <w:rsid w:val="00FA7867"/>
    <w:rsid w:val="00FB2592"/>
    <w:rsid w:val="00FB2810"/>
    <w:rsid w:val="00FC2947"/>
    <w:rsid w:val="00FC3BFE"/>
    <w:rsid w:val="00FE0818"/>
    <w:rsid w:val="00FE0D53"/>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B83534"/>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link w:val="ListParagraphChar"/>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paragraph" w:customStyle="1" w:styleId="Headingb0">
    <w:name w:val="Heading b"/>
    <w:basedOn w:val="Heading3"/>
    <w:rsid w:val="00597E7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customStyle="1" w:styleId="href2">
    <w:name w:val="href2"/>
    <w:basedOn w:val="href"/>
    <w:rsid w:val="00597E71"/>
  </w:style>
  <w:style w:type="character" w:customStyle="1" w:styleId="Artref">
    <w:name w:val="Art_ref"/>
    <w:rsid w:val="00597E71"/>
    <w:rPr>
      <w:color w:val="3366FF"/>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link w:val="FootnoteText"/>
    <w:uiPriority w:val="99"/>
    <w:rsid w:val="00597E71"/>
    <w:rPr>
      <w:szCs w:val="22"/>
      <w:lang w:val="en-US" w:eastAsia="en-US"/>
    </w:rPr>
  </w:style>
  <w:style w:type="character" w:customStyle="1" w:styleId="TabletextChar">
    <w:name w:val="Table_text Char"/>
    <w:link w:val="Tabletext"/>
    <w:rsid w:val="00597E71"/>
    <w:rPr>
      <w:szCs w:val="22"/>
      <w:lang w:val="en-US" w:eastAsia="en-US"/>
    </w:rPr>
  </w:style>
  <w:style w:type="character" w:customStyle="1" w:styleId="ms-rtethemefontface-1">
    <w:name w:val="ms-rtethemefontface-1"/>
    <w:basedOn w:val="DefaultParagraphFont"/>
    <w:rsid w:val="00482C80"/>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0E7114"/>
    <w:rPr>
      <w:rFonts w:ascii="Times New Roman" w:eastAsia="Times New Roman" w:hAnsi="Times New Roman" w:cs="Times New Roman"/>
      <w:sz w:val="24"/>
      <w:szCs w:val="20"/>
      <w:lang w:val="en-GB" w:eastAsia="en-US"/>
    </w:rPr>
  </w:style>
  <w:style w:type="character" w:customStyle="1" w:styleId="ListParagraphChar">
    <w:name w:val="List Paragraph Char"/>
    <w:basedOn w:val="DefaultParagraphFont"/>
    <w:link w:val="ListParagraph"/>
    <w:uiPriority w:val="34"/>
    <w:locked/>
    <w:rsid w:val="000E7114"/>
    <w:rPr>
      <w:sz w:val="22"/>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9973BC"/>
    <w:rPr>
      <w:sz w:val="22"/>
      <w:szCs w:val="22"/>
      <w:lang w:val="en-US" w:eastAsia="en-US"/>
    </w:rPr>
  </w:style>
  <w:style w:type="character" w:customStyle="1" w:styleId="enumlev1Char">
    <w:name w:val="enumlev1 Char"/>
    <w:basedOn w:val="DefaultParagraphFont"/>
    <w:link w:val="enumlev1"/>
    <w:rsid w:val="00F15659"/>
    <w:rPr>
      <w:sz w:val="22"/>
      <w:szCs w:val="22"/>
      <w:lang w:val="en-US" w:eastAsia="en-US"/>
    </w:rPr>
  </w:style>
  <w:style w:type="paragraph" w:customStyle="1" w:styleId="HeaderRegProc">
    <w:name w:val="Header_RegProc"/>
    <w:basedOn w:val="Normal"/>
    <w:rsid w:val="00F15659"/>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styleId="CommentSubject">
    <w:name w:val="annotation subject"/>
    <w:basedOn w:val="CommentText"/>
    <w:next w:val="CommentText"/>
    <w:link w:val="CommentSubjectChar"/>
    <w:semiHidden/>
    <w:unhideWhenUsed/>
    <w:rsid w:val="003469E8"/>
    <w:pPr>
      <w:spacing w:line="240" w:lineRule="auto"/>
    </w:pPr>
    <w:rPr>
      <w:b/>
      <w:bCs/>
      <w:szCs w:val="20"/>
    </w:rPr>
  </w:style>
  <w:style w:type="character" w:customStyle="1" w:styleId="CommentTextChar">
    <w:name w:val="Comment Text Char"/>
    <w:basedOn w:val="DefaultParagraphFont"/>
    <w:link w:val="CommentText"/>
    <w:semiHidden/>
    <w:rsid w:val="003469E8"/>
    <w:rPr>
      <w:szCs w:val="22"/>
      <w:lang w:val="en-US" w:eastAsia="en-US"/>
    </w:rPr>
  </w:style>
  <w:style w:type="character" w:customStyle="1" w:styleId="CommentSubjectChar">
    <w:name w:val="Comment Subject Char"/>
    <w:basedOn w:val="CommentTextChar"/>
    <w:link w:val="CommentSubject"/>
    <w:semiHidden/>
    <w:rsid w:val="003469E8"/>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63911">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444838553">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itu.int/md/R16-WRC19-C-0569/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16-WRC19-C-0569/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6-WRC19-C-056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0201-D58E-45A4-A94D-A788D7B7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6</Pages>
  <Words>2024</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2019-12-09T10:18:00Z</cp:lastPrinted>
  <dcterms:created xsi:type="dcterms:W3CDTF">2019-12-17T14:43:00Z</dcterms:created>
  <dcterms:modified xsi:type="dcterms:W3CDTF">2019-12-17T14:43:00Z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