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A647B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A647B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A647B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A647B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  <w:r w:rsidR="00CF6449">
              <w:rPr>
                <w:szCs w:val="24"/>
              </w:rPr>
              <w:br/>
            </w:r>
            <w:r w:rsidR="003D406E">
              <w:rPr>
                <w:b/>
                <w:bCs/>
                <w:szCs w:val="24"/>
                <w:lang w:val="fr-CH"/>
              </w:rPr>
              <w:t>CCRR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3D406E">
              <w:rPr>
                <w:b/>
                <w:bCs/>
                <w:szCs w:val="24"/>
                <w:lang w:val="fr-CH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7E7797" w:rsidP="00A647BD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153DB34331184957AB2B6EA511A2BBE8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C436D">
                  <w:rPr>
                    <w:rFonts w:cs="Arial"/>
                    <w:szCs w:val="24"/>
                  </w:rPr>
                  <w:t>7</w:t>
                </w:r>
                <w:r w:rsidR="00E248C7">
                  <w:rPr>
                    <w:rFonts w:cs="Arial"/>
                    <w:szCs w:val="24"/>
                  </w:rPr>
                  <w:t xml:space="preserve"> mars </w:t>
                </w:r>
                <w:r w:rsidR="00E53DCE" w:rsidRPr="00773F7E">
                  <w:rPr>
                    <w:rFonts w:cs="Arial"/>
                    <w:szCs w:val="24"/>
                  </w:rPr>
                  <w:t xml:space="preserve"> 201</w:t>
                </w:r>
                <w:r w:rsidR="003D406E">
                  <w:rPr>
                    <w:rFonts w:cs="Arial"/>
                    <w:szCs w:val="24"/>
                  </w:rPr>
                  <w:t>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647B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647BD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A647B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A647BD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773F7E" w:rsidRDefault="00E53DCE" w:rsidP="00A647B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647B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647B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D406E" w:rsidRDefault="003D406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3D406E">
              <w:rPr>
                <w:b/>
                <w:bCs/>
                <w:szCs w:val="24"/>
                <w:lang w:val="fr-CH"/>
              </w:rPr>
              <w:t xml:space="preserve">Projet de Règle de procédure relative au traitement </w:t>
            </w:r>
            <w:r>
              <w:rPr>
                <w:b/>
                <w:bCs/>
                <w:szCs w:val="24"/>
                <w:lang w:val="fr-CH"/>
              </w:rPr>
              <w:t>de</w:t>
            </w:r>
            <w:r w:rsidR="007E7797">
              <w:rPr>
                <w:b/>
                <w:bCs/>
                <w:szCs w:val="24"/>
                <w:lang w:val="fr-CH"/>
              </w:rPr>
              <w:t>s</w:t>
            </w:r>
            <w:r>
              <w:rPr>
                <w:b/>
                <w:bCs/>
                <w:szCs w:val="24"/>
                <w:lang w:val="fr-CH"/>
              </w:rPr>
              <w:t xml:space="preserve"> demande</w:t>
            </w:r>
            <w:r w:rsidR="007E7797">
              <w:rPr>
                <w:b/>
                <w:bCs/>
                <w:szCs w:val="24"/>
                <w:lang w:val="fr-CH"/>
              </w:rPr>
              <w:t>s</w:t>
            </w:r>
            <w:r>
              <w:rPr>
                <w:b/>
                <w:bCs/>
                <w:szCs w:val="24"/>
                <w:lang w:val="fr-CH"/>
              </w:rPr>
              <w:t xml:space="preserve"> de coordination ou des fiches de notification de réseaux à satellite reçues avant l</w:t>
            </w:r>
            <w:r w:rsidR="00A647BD">
              <w:rPr>
                <w:b/>
                <w:bCs/>
                <w:szCs w:val="24"/>
                <w:lang w:val="fr-CH"/>
              </w:rPr>
              <w:t>'</w:t>
            </w:r>
            <w:r>
              <w:rPr>
                <w:b/>
                <w:bCs/>
                <w:szCs w:val="24"/>
                <w:lang w:val="fr-CH"/>
              </w:rPr>
              <w:t>entrée en vigueur d</w:t>
            </w:r>
            <w:r w:rsidR="00A647BD">
              <w:rPr>
                <w:b/>
                <w:bCs/>
                <w:szCs w:val="24"/>
                <w:lang w:val="fr-CH"/>
              </w:rPr>
              <w:t>'</w:t>
            </w:r>
            <w:r>
              <w:rPr>
                <w:b/>
                <w:bCs/>
                <w:szCs w:val="24"/>
                <w:lang w:val="fr-CH"/>
              </w:rPr>
              <w:t>une décision d</w:t>
            </w:r>
            <w:r w:rsidR="00A647BD">
              <w:rPr>
                <w:b/>
                <w:bCs/>
                <w:szCs w:val="24"/>
                <w:lang w:val="fr-CH"/>
              </w:rPr>
              <w:t>'</w:t>
            </w:r>
            <w:r>
              <w:rPr>
                <w:b/>
                <w:bCs/>
                <w:szCs w:val="24"/>
                <w:lang w:val="fr-CH"/>
              </w:rPr>
              <w:t>une CMR</w:t>
            </w:r>
          </w:p>
        </w:tc>
      </w:tr>
      <w:tr w:rsidR="00E53DCE" w:rsidRPr="00CC436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406E" w:rsidRDefault="00E53DC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406E" w:rsidRDefault="00E53DC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406E" w:rsidRDefault="00E53DC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406E" w:rsidRDefault="00E53DC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C436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406E" w:rsidRDefault="00E53DCE" w:rsidP="00A647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</w:tbl>
    <w:p w:rsidR="00E53DCE" w:rsidRDefault="003D406E" w:rsidP="00A647BD">
      <w:pPr>
        <w:spacing w:line="240" w:lineRule="auto"/>
        <w:rPr>
          <w:szCs w:val="24"/>
          <w:lang w:val="fr-CH"/>
        </w:rPr>
      </w:pPr>
      <w:r>
        <w:rPr>
          <w:szCs w:val="24"/>
          <w:lang w:val="fr-CH"/>
        </w:rPr>
        <w:t>Vous trouverez ci-joint un projet de Règle de procédure relative au traitement par le Bureau des radiocommunications des demandes de coordination conformément</w:t>
      </w:r>
      <w:r w:rsidR="00783291">
        <w:rPr>
          <w:szCs w:val="24"/>
          <w:lang w:val="fr-CH"/>
        </w:rPr>
        <w:t xml:space="preserve"> à l</w:t>
      </w:r>
      <w:r w:rsidR="00A647BD">
        <w:rPr>
          <w:szCs w:val="24"/>
          <w:lang w:val="fr-CH"/>
        </w:rPr>
        <w:t>'</w:t>
      </w:r>
      <w:r w:rsidR="00783291">
        <w:rPr>
          <w:szCs w:val="24"/>
          <w:lang w:val="fr-CH"/>
        </w:rPr>
        <w:t xml:space="preserve">Article </w:t>
      </w:r>
      <w:r w:rsidR="00783291" w:rsidRPr="00431819">
        <w:rPr>
          <w:b/>
          <w:bCs/>
          <w:szCs w:val="24"/>
          <w:lang w:val="fr-CH"/>
        </w:rPr>
        <w:t>9</w:t>
      </w:r>
      <w:r w:rsidR="00783291">
        <w:rPr>
          <w:szCs w:val="24"/>
          <w:lang w:val="fr-CH"/>
        </w:rPr>
        <w:t xml:space="preserve"> ou des </w:t>
      </w:r>
      <w:r>
        <w:rPr>
          <w:szCs w:val="24"/>
          <w:lang w:val="fr-CH"/>
        </w:rPr>
        <w:t>notifications au titre de l</w:t>
      </w:r>
      <w:r w:rsidR="00A647BD">
        <w:rPr>
          <w:szCs w:val="24"/>
          <w:lang w:val="fr-CH"/>
        </w:rPr>
        <w:t>'</w:t>
      </w:r>
      <w:r>
        <w:rPr>
          <w:szCs w:val="24"/>
          <w:lang w:val="fr-CH"/>
        </w:rPr>
        <w:t xml:space="preserve">Article </w:t>
      </w:r>
      <w:r w:rsidRPr="00431819">
        <w:rPr>
          <w:b/>
          <w:bCs/>
          <w:szCs w:val="24"/>
          <w:lang w:val="fr-CH"/>
        </w:rPr>
        <w:t>11</w:t>
      </w:r>
      <w:r>
        <w:rPr>
          <w:szCs w:val="24"/>
          <w:lang w:val="fr-CH"/>
        </w:rPr>
        <w:t xml:space="preserve"> du Règlement </w:t>
      </w:r>
      <w:r w:rsidR="00783291">
        <w:rPr>
          <w:szCs w:val="24"/>
          <w:lang w:val="fr-CH"/>
        </w:rPr>
        <w:t>des radiocommunications soumises au Bureau le premier jour après une C</w:t>
      </w:r>
      <w:r w:rsidR="00CC436D">
        <w:rPr>
          <w:szCs w:val="24"/>
          <w:lang w:val="fr-CH"/>
        </w:rPr>
        <w:t>onférence mondiale des radiocommunications (C</w:t>
      </w:r>
      <w:r w:rsidR="00783291">
        <w:rPr>
          <w:szCs w:val="24"/>
          <w:lang w:val="fr-CH"/>
        </w:rPr>
        <w:t>MR</w:t>
      </w:r>
      <w:r w:rsidR="00CC436D">
        <w:rPr>
          <w:szCs w:val="24"/>
          <w:lang w:val="fr-CH"/>
        </w:rPr>
        <w:t>)</w:t>
      </w:r>
      <w:r w:rsidR="00E248C7">
        <w:rPr>
          <w:szCs w:val="24"/>
          <w:lang w:val="fr-CH"/>
        </w:rPr>
        <w:t>,</w:t>
      </w:r>
      <w:r w:rsidR="00783291">
        <w:rPr>
          <w:szCs w:val="24"/>
          <w:lang w:val="fr-CH"/>
        </w:rPr>
        <w:t xml:space="preserve"> mais avant la date d</w:t>
      </w:r>
      <w:r w:rsidR="00A647BD">
        <w:rPr>
          <w:szCs w:val="24"/>
          <w:lang w:val="fr-CH"/>
        </w:rPr>
        <w:t>'</w:t>
      </w:r>
      <w:r w:rsidR="00783291">
        <w:rPr>
          <w:szCs w:val="24"/>
          <w:lang w:val="fr-CH"/>
        </w:rPr>
        <w:t>entrée en vigueur effective des attributions de fréquences</w:t>
      </w:r>
      <w:r w:rsidR="00E248C7">
        <w:rPr>
          <w:szCs w:val="24"/>
          <w:lang w:val="fr-CH"/>
        </w:rPr>
        <w:t>,</w:t>
      </w:r>
      <w:r w:rsidR="00783291">
        <w:rPr>
          <w:szCs w:val="24"/>
          <w:lang w:val="fr-CH"/>
        </w:rPr>
        <w:t xml:space="preserve"> nouvelles ou actualisées</w:t>
      </w:r>
      <w:r w:rsidR="00E248C7">
        <w:rPr>
          <w:szCs w:val="24"/>
          <w:lang w:val="fr-CH"/>
        </w:rPr>
        <w:t>,</w:t>
      </w:r>
      <w:r w:rsidR="00783291">
        <w:rPr>
          <w:szCs w:val="24"/>
          <w:lang w:val="fr-CH"/>
        </w:rPr>
        <w:t xml:space="preserve"> faites par la CMR.</w:t>
      </w:r>
    </w:p>
    <w:p w:rsidR="00783291" w:rsidRPr="003D406E" w:rsidRDefault="00783291" w:rsidP="00A647BD">
      <w:pPr>
        <w:spacing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Ce projet de nouvelle Règle de procédure a été élaboré conformément aux instructions données par le Comité du Règlement des radiocommunications </w:t>
      </w:r>
      <w:r w:rsidR="00CC436D">
        <w:rPr>
          <w:szCs w:val="24"/>
          <w:lang w:val="fr-CH"/>
        </w:rPr>
        <w:t xml:space="preserve">(RRB) </w:t>
      </w:r>
      <w:r>
        <w:rPr>
          <w:szCs w:val="24"/>
          <w:lang w:val="fr-CH"/>
        </w:rPr>
        <w:t>à sa 71</w:t>
      </w:r>
      <w:r w:rsidRPr="00783291">
        <w:rPr>
          <w:szCs w:val="24"/>
          <w:lang w:val="fr-CH"/>
        </w:rPr>
        <w:t>ème</w:t>
      </w:r>
      <w:r>
        <w:rPr>
          <w:szCs w:val="24"/>
          <w:lang w:val="fr-CH"/>
        </w:rPr>
        <w:t xml:space="preserve"> réunion (voir le Document</w:t>
      </w:r>
      <w:r w:rsidR="007E7797">
        <w:rPr>
          <w:szCs w:val="24"/>
          <w:lang w:val="fr-CH"/>
        </w:rPr>
        <w:t> </w:t>
      </w:r>
      <w:hyperlink r:id="rId8" w:history="1">
        <w:r w:rsidRPr="00431819">
          <w:rPr>
            <w:rStyle w:val="Hyperlink"/>
            <w:szCs w:val="24"/>
            <w:lang w:val="fr-CH"/>
          </w:rPr>
          <w:t>RRB16-1/21</w:t>
        </w:r>
      </w:hyperlink>
      <w:r>
        <w:rPr>
          <w:szCs w:val="24"/>
          <w:lang w:val="fr-CH"/>
        </w:rPr>
        <w:t>).</w:t>
      </w:r>
    </w:p>
    <w:p w:rsidR="00D21694" w:rsidRPr="003D406E" w:rsidRDefault="00431819" w:rsidP="00A647BD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 xml:space="preserve">Conformément au numéro </w:t>
      </w:r>
      <w:r w:rsidRPr="00431819">
        <w:rPr>
          <w:rFonts w:asciiTheme="minorHAnsi" w:hAnsiTheme="minorHAnsi" w:cstheme="minorHAnsi"/>
          <w:b/>
          <w:bCs/>
          <w:szCs w:val="24"/>
          <w:lang w:val="fr-CH"/>
        </w:rPr>
        <w:t>13.17</w:t>
      </w:r>
      <w:r>
        <w:rPr>
          <w:rFonts w:asciiTheme="minorHAnsi" w:hAnsiTheme="minorHAnsi" w:cstheme="minorHAnsi"/>
          <w:szCs w:val="24"/>
          <w:lang w:val="fr-CH"/>
        </w:rPr>
        <w:t xml:space="preserve"> du Règlement des radiocommunications</w:t>
      </w:r>
      <w:r w:rsidR="007E7797">
        <w:rPr>
          <w:rFonts w:asciiTheme="minorHAnsi" w:hAnsiTheme="minorHAnsi" w:cstheme="minorHAnsi"/>
          <w:szCs w:val="24"/>
          <w:lang w:val="fr-CH"/>
        </w:rPr>
        <w:t>,</w:t>
      </w:r>
      <w:r>
        <w:rPr>
          <w:rFonts w:asciiTheme="minorHAnsi" w:hAnsiTheme="minorHAnsi" w:cstheme="minorHAnsi"/>
          <w:szCs w:val="24"/>
          <w:lang w:val="fr-CH"/>
        </w:rPr>
        <w:t xml:space="preserve"> ce projet de Règle de procédure est soumis aux administrations pour commentaires</w:t>
      </w:r>
      <w:r w:rsidR="00A647BD">
        <w:rPr>
          <w:rFonts w:asciiTheme="minorHAnsi" w:hAnsiTheme="minorHAnsi" w:cstheme="minorHAnsi"/>
          <w:szCs w:val="24"/>
          <w:lang w:val="fr-CH"/>
        </w:rPr>
        <w:t>,</w:t>
      </w:r>
      <w:r>
        <w:rPr>
          <w:rFonts w:asciiTheme="minorHAnsi" w:hAnsiTheme="minorHAnsi" w:cstheme="minorHAnsi"/>
          <w:szCs w:val="24"/>
          <w:lang w:val="fr-CH"/>
        </w:rPr>
        <w:t xml:space="preserve"> avant d</w:t>
      </w:r>
      <w:r w:rsidR="00A647BD">
        <w:rPr>
          <w:rFonts w:asciiTheme="minorHAnsi" w:hAnsiTheme="minorHAnsi" w:cstheme="minorHAnsi"/>
          <w:szCs w:val="24"/>
          <w:lang w:val="fr-CH"/>
        </w:rPr>
        <w:t>'</w:t>
      </w:r>
      <w:r>
        <w:rPr>
          <w:rFonts w:asciiTheme="minorHAnsi" w:hAnsiTheme="minorHAnsi" w:cstheme="minorHAnsi"/>
          <w:szCs w:val="24"/>
          <w:lang w:val="fr-CH"/>
        </w:rPr>
        <w:t xml:space="preserve">être communiqué au RRB au titre du numéro </w:t>
      </w:r>
      <w:r w:rsidRPr="00431819">
        <w:rPr>
          <w:rFonts w:asciiTheme="minorHAnsi" w:hAnsiTheme="minorHAnsi" w:cstheme="minorHAnsi"/>
          <w:b/>
          <w:bCs/>
          <w:szCs w:val="24"/>
          <w:lang w:val="fr-CH"/>
        </w:rPr>
        <w:t>13.14</w:t>
      </w:r>
      <w:r>
        <w:rPr>
          <w:rFonts w:asciiTheme="minorHAnsi" w:hAnsiTheme="minorHAnsi" w:cstheme="minorHAnsi"/>
          <w:szCs w:val="24"/>
          <w:lang w:val="fr-CH"/>
        </w:rPr>
        <w:t xml:space="preserve">. Comme indiqué au point </w:t>
      </w:r>
      <w:r w:rsidRPr="007E7797">
        <w:rPr>
          <w:rFonts w:asciiTheme="minorHAnsi" w:hAnsiTheme="minorHAnsi" w:cstheme="minorHAnsi"/>
          <w:i/>
          <w:iCs/>
          <w:szCs w:val="24"/>
          <w:lang w:val="fr-CH"/>
        </w:rPr>
        <w:t>d)</w:t>
      </w:r>
      <w:r>
        <w:rPr>
          <w:rFonts w:asciiTheme="minorHAnsi" w:hAnsiTheme="minorHAnsi" w:cstheme="minorHAnsi"/>
          <w:szCs w:val="24"/>
          <w:lang w:val="fr-CH"/>
        </w:rPr>
        <w:t xml:space="preserve"> du numéro </w:t>
      </w:r>
      <w:r w:rsidRPr="00431819">
        <w:rPr>
          <w:rFonts w:asciiTheme="minorHAnsi" w:hAnsiTheme="minorHAnsi" w:cstheme="minorHAnsi"/>
          <w:b/>
          <w:bCs/>
          <w:szCs w:val="24"/>
          <w:lang w:val="fr-CH"/>
        </w:rPr>
        <w:t>13.12A</w:t>
      </w:r>
      <w:r>
        <w:rPr>
          <w:rFonts w:asciiTheme="minorHAnsi" w:hAnsiTheme="minorHAnsi" w:cstheme="minorHAnsi"/>
          <w:szCs w:val="24"/>
          <w:lang w:val="fr-CH"/>
        </w:rPr>
        <w:t xml:space="preserve"> du Règlement des radiocommunications, les observations éventuelles que vous souhaiteriez formuler doivent être soumises au Bureau au plus tard le </w:t>
      </w:r>
      <w:r w:rsidRPr="00431819">
        <w:rPr>
          <w:rFonts w:asciiTheme="minorHAnsi" w:hAnsiTheme="minorHAnsi" w:cstheme="minorHAnsi"/>
          <w:b/>
          <w:bCs/>
          <w:szCs w:val="24"/>
          <w:lang w:val="fr-CH"/>
        </w:rPr>
        <w:t>18 avril 2016</w:t>
      </w:r>
      <w:r>
        <w:rPr>
          <w:rFonts w:asciiTheme="minorHAnsi" w:hAnsiTheme="minorHAnsi" w:cstheme="minorHAnsi"/>
          <w:szCs w:val="24"/>
          <w:lang w:val="fr-CH"/>
        </w:rPr>
        <w:t>, pour qu</w:t>
      </w:r>
      <w:r w:rsidR="00A647BD">
        <w:rPr>
          <w:rFonts w:asciiTheme="minorHAnsi" w:hAnsiTheme="minorHAnsi" w:cstheme="minorHAnsi"/>
          <w:szCs w:val="24"/>
          <w:lang w:val="fr-CH"/>
        </w:rPr>
        <w:t>'</w:t>
      </w:r>
      <w:r>
        <w:rPr>
          <w:rFonts w:asciiTheme="minorHAnsi" w:hAnsiTheme="minorHAnsi" w:cstheme="minorHAnsi"/>
          <w:szCs w:val="24"/>
          <w:lang w:val="fr-CH"/>
        </w:rPr>
        <w:t xml:space="preserve">elles puissent être examinées </w:t>
      </w:r>
      <w:r w:rsidR="00E248C7">
        <w:rPr>
          <w:rFonts w:asciiTheme="minorHAnsi" w:hAnsiTheme="minorHAnsi" w:cstheme="minorHAnsi"/>
          <w:szCs w:val="24"/>
          <w:lang w:val="fr-CH"/>
        </w:rPr>
        <w:t xml:space="preserve">à </w:t>
      </w:r>
      <w:r w:rsidR="00A647BD">
        <w:rPr>
          <w:rFonts w:asciiTheme="minorHAnsi" w:hAnsiTheme="minorHAnsi" w:cstheme="minorHAnsi"/>
          <w:szCs w:val="24"/>
          <w:lang w:val="fr-CH"/>
        </w:rPr>
        <w:t>la </w:t>
      </w:r>
      <w:r w:rsidR="007E7797">
        <w:rPr>
          <w:rFonts w:asciiTheme="minorHAnsi" w:hAnsiTheme="minorHAnsi" w:cstheme="minorHAnsi"/>
          <w:szCs w:val="24"/>
          <w:lang w:val="fr-CH"/>
        </w:rPr>
        <w:t>7</w:t>
      </w:r>
      <w:r>
        <w:rPr>
          <w:rFonts w:asciiTheme="minorHAnsi" w:hAnsiTheme="minorHAnsi" w:cstheme="minorHAnsi"/>
          <w:szCs w:val="24"/>
          <w:lang w:val="fr-CH"/>
        </w:rPr>
        <w:t>2</w:t>
      </w:r>
      <w:r w:rsidRPr="00431819">
        <w:rPr>
          <w:rFonts w:asciiTheme="minorHAnsi" w:hAnsiTheme="minorHAnsi" w:cstheme="minorHAnsi"/>
          <w:szCs w:val="24"/>
          <w:lang w:val="fr-CH"/>
        </w:rPr>
        <w:t>ème</w:t>
      </w:r>
      <w:r w:rsidR="007E7797">
        <w:rPr>
          <w:rFonts w:asciiTheme="minorHAnsi" w:hAnsiTheme="minorHAnsi" w:cstheme="minorHAnsi"/>
          <w:szCs w:val="24"/>
          <w:lang w:val="fr-CH"/>
        </w:rPr>
        <w:t> </w:t>
      </w:r>
      <w:r>
        <w:rPr>
          <w:rFonts w:asciiTheme="minorHAnsi" w:hAnsiTheme="minorHAnsi" w:cstheme="minorHAnsi"/>
          <w:szCs w:val="24"/>
          <w:lang w:val="fr-CH"/>
        </w:rPr>
        <w:t>réunion du Comité prévue du 16 au 20 mai 2016. Les observations doivent être soumises par télécopie (+41 22 730 5785) ou par courrier électronique, à l</w:t>
      </w:r>
      <w:r w:rsidR="00A647BD">
        <w:rPr>
          <w:rFonts w:asciiTheme="minorHAnsi" w:hAnsiTheme="minorHAnsi" w:cstheme="minorHAnsi"/>
          <w:szCs w:val="24"/>
          <w:lang w:val="fr-CH"/>
        </w:rPr>
        <w:t>'</w:t>
      </w:r>
      <w:r>
        <w:rPr>
          <w:rFonts w:asciiTheme="minorHAnsi" w:hAnsiTheme="minorHAnsi" w:cstheme="minorHAnsi"/>
          <w:szCs w:val="24"/>
          <w:lang w:val="fr-CH"/>
        </w:rPr>
        <w:t xml:space="preserve">adresse: </w:t>
      </w:r>
      <w:hyperlink r:id="rId9" w:history="1">
        <w:r w:rsidRPr="00910997">
          <w:rPr>
            <w:rStyle w:val="Hyperlink"/>
            <w:rFonts w:asciiTheme="minorHAnsi" w:hAnsiTheme="minorHAnsi" w:cstheme="minorHAnsi"/>
            <w:szCs w:val="24"/>
            <w:lang w:val="fr-CH"/>
          </w:rPr>
          <w:t>brmail@itu.int</w:t>
        </w:r>
      </w:hyperlink>
      <w:r w:rsidR="007E7797">
        <w:rPr>
          <w:rFonts w:asciiTheme="minorHAnsi" w:hAnsiTheme="minorHAnsi" w:cstheme="minorHAnsi"/>
          <w:szCs w:val="24"/>
          <w:lang w:val="fr-CH"/>
        </w:rPr>
        <w:t>.</w:t>
      </w:r>
    </w:p>
    <w:p w:rsidR="00EE1A57" w:rsidRPr="003D406E" w:rsidRDefault="00B75EF2" w:rsidP="00A647BD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François Rancy</w:t>
      </w:r>
      <w:r w:rsidR="00A647BD">
        <w:rPr>
          <w:rFonts w:asciiTheme="minorHAnsi" w:hAnsiTheme="minorHAnsi" w:cstheme="minorHAnsi"/>
          <w:szCs w:val="24"/>
          <w:lang w:val="fr-CH"/>
        </w:rPr>
        <w:br/>
      </w:r>
      <w:r>
        <w:rPr>
          <w:rFonts w:asciiTheme="minorHAnsi" w:hAnsiTheme="minorHAnsi" w:cstheme="minorHAnsi"/>
          <w:szCs w:val="24"/>
          <w:lang w:val="fr-CH"/>
        </w:rPr>
        <w:t>Directeur</w:t>
      </w:r>
    </w:p>
    <w:p w:rsidR="00EE1A57" w:rsidRDefault="00B75EF2" w:rsidP="00A647BD">
      <w:pPr>
        <w:spacing w:before="600" w:line="240" w:lineRule="auto"/>
        <w:rPr>
          <w:rFonts w:asciiTheme="minorHAnsi" w:hAnsiTheme="minorHAnsi" w:cstheme="minorHAnsi"/>
          <w:b/>
          <w:bCs/>
          <w:szCs w:val="24"/>
          <w:lang w:val="fr-CH"/>
        </w:rPr>
      </w:pPr>
      <w:r w:rsidRPr="007E7797">
        <w:rPr>
          <w:rFonts w:asciiTheme="minorHAnsi" w:hAnsiTheme="minorHAnsi" w:cstheme="minorHAnsi"/>
          <w:b/>
          <w:bCs/>
          <w:szCs w:val="24"/>
          <w:lang w:val="fr-CH"/>
        </w:rPr>
        <w:t>Annexe</w:t>
      </w:r>
      <w:r>
        <w:rPr>
          <w:rFonts w:asciiTheme="minorHAnsi" w:hAnsiTheme="minorHAnsi" w:cstheme="minorHAnsi"/>
          <w:szCs w:val="24"/>
          <w:lang w:val="fr-CH"/>
        </w:rPr>
        <w:t xml:space="preserve">: </w:t>
      </w:r>
      <w:r w:rsidRPr="007E7797">
        <w:rPr>
          <w:rFonts w:asciiTheme="minorHAnsi" w:hAnsiTheme="minorHAnsi" w:cstheme="minorHAnsi"/>
          <w:szCs w:val="24"/>
          <w:lang w:val="fr-CH"/>
        </w:rPr>
        <w:t>1</w:t>
      </w:r>
    </w:p>
    <w:p w:rsidR="00EE1A57" w:rsidRPr="007E7797" w:rsidRDefault="00B75EF2" w:rsidP="00CC436D">
      <w:pPr>
        <w:spacing w:before="360" w:line="240" w:lineRule="auto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r w:rsidRPr="007E7797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</w:t>
      </w:r>
      <w:bookmarkStart w:id="0" w:name="_GoBack"/>
      <w:bookmarkEnd w:id="0"/>
      <w:r w:rsidRPr="007E7797">
        <w:rPr>
          <w:rFonts w:asciiTheme="minorHAnsi" w:hAnsiTheme="minorHAnsi" w:cstheme="minorHAnsi"/>
          <w:b/>
          <w:bCs/>
          <w:sz w:val="18"/>
          <w:szCs w:val="18"/>
          <w:lang w:val="fr-CH"/>
        </w:rPr>
        <w:t>ribution:</w:t>
      </w:r>
    </w:p>
    <w:p w:rsidR="00EE1A57" w:rsidRPr="007E7797" w:rsidRDefault="00B75EF2" w:rsidP="00A647BD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7E7797">
        <w:rPr>
          <w:sz w:val="18"/>
          <w:szCs w:val="18"/>
          <w:lang w:val="fr-CH"/>
        </w:rPr>
        <w:t>–</w:t>
      </w:r>
      <w:r w:rsidRPr="007E7797">
        <w:rPr>
          <w:sz w:val="18"/>
          <w:szCs w:val="18"/>
          <w:lang w:val="fr-CH"/>
        </w:rPr>
        <w:tab/>
        <w:t>Administrations des Etats Membres de l</w:t>
      </w:r>
      <w:r w:rsidR="00A647BD">
        <w:rPr>
          <w:sz w:val="18"/>
          <w:szCs w:val="18"/>
          <w:lang w:val="fr-CH"/>
        </w:rPr>
        <w:t>'</w:t>
      </w:r>
      <w:r w:rsidRPr="007E7797">
        <w:rPr>
          <w:sz w:val="18"/>
          <w:szCs w:val="18"/>
          <w:lang w:val="fr-CH"/>
        </w:rPr>
        <w:t>UIT</w:t>
      </w:r>
    </w:p>
    <w:p w:rsidR="00C3556B" w:rsidRDefault="00B75EF2" w:rsidP="00A647BD">
      <w:pPr>
        <w:pStyle w:val="enumlev1"/>
        <w:spacing w:before="0" w:line="240" w:lineRule="auto"/>
        <w:rPr>
          <w:lang w:val="fr-CH"/>
        </w:rPr>
      </w:pPr>
      <w:r w:rsidRPr="007E7797">
        <w:rPr>
          <w:sz w:val="18"/>
          <w:szCs w:val="18"/>
          <w:lang w:val="fr-CH"/>
        </w:rPr>
        <w:t>–</w:t>
      </w:r>
      <w:r w:rsidRPr="007E7797">
        <w:rPr>
          <w:sz w:val="18"/>
          <w:szCs w:val="18"/>
          <w:lang w:val="fr-CH"/>
        </w:rPr>
        <w:tab/>
        <w:t>Membres du Comité du Règlement des radiocommunications</w:t>
      </w:r>
    </w:p>
    <w:p w:rsidR="007F7F8C" w:rsidRPr="00A647BD" w:rsidRDefault="007F7F8C" w:rsidP="00A647BD">
      <w:pPr>
        <w:pStyle w:val="AnnexNo"/>
        <w:rPr>
          <w:rFonts w:asciiTheme="minorHAnsi" w:hAnsiTheme="minorHAnsi"/>
          <w:b/>
          <w:bCs/>
          <w:szCs w:val="28"/>
          <w:lang w:val="fr-CH"/>
        </w:rPr>
      </w:pPr>
      <w:r w:rsidRPr="00A647BD">
        <w:rPr>
          <w:rFonts w:asciiTheme="minorHAnsi" w:hAnsiTheme="minorHAnsi"/>
          <w:bCs/>
          <w:szCs w:val="28"/>
          <w:lang w:val="fr-CH"/>
        </w:rPr>
        <w:lastRenderedPageBreak/>
        <w:t>ANNEXE</w:t>
      </w:r>
    </w:p>
    <w:p w:rsidR="007F7F8C" w:rsidRPr="00A647BD" w:rsidRDefault="007F7F8C" w:rsidP="00C602C7">
      <w:pPr>
        <w:pStyle w:val="AnnexNoTitle"/>
        <w:spacing w:before="480" w:line="240" w:lineRule="auto"/>
        <w:rPr>
          <w:sz w:val="28"/>
          <w:szCs w:val="24"/>
          <w:lang w:val="fr-CH"/>
        </w:rPr>
      </w:pPr>
      <w:r w:rsidRPr="00A647BD">
        <w:rPr>
          <w:sz w:val="28"/>
          <w:szCs w:val="24"/>
          <w:lang w:val="fr-CH"/>
        </w:rPr>
        <w:t>Règle</w:t>
      </w:r>
      <w:r w:rsidR="00E248C7" w:rsidRPr="00A647BD">
        <w:rPr>
          <w:sz w:val="28"/>
          <w:szCs w:val="24"/>
          <w:lang w:val="fr-CH"/>
        </w:rPr>
        <w:t>s</w:t>
      </w:r>
      <w:r w:rsidRPr="00A647BD">
        <w:rPr>
          <w:sz w:val="28"/>
          <w:szCs w:val="24"/>
          <w:lang w:val="fr-CH"/>
        </w:rPr>
        <w:t xml:space="preserve"> </w:t>
      </w:r>
      <w:r w:rsidR="00E248C7" w:rsidRPr="00A647BD">
        <w:rPr>
          <w:sz w:val="28"/>
          <w:szCs w:val="24"/>
          <w:lang w:val="fr-CH"/>
        </w:rPr>
        <w:t>relatives au</w:t>
      </w:r>
    </w:p>
    <w:p w:rsidR="007F7F8C" w:rsidRDefault="00A647BD" w:rsidP="00A647BD">
      <w:pPr>
        <w:pStyle w:val="AnnexNoTitle"/>
        <w:spacing w:before="240" w:line="240" w:lineRule="auto"/>
        <w:rPr>
          <w:lang w:val="fr-CH"/>
        </w:rPr>
      </w:pPr>
      <w:r>
        <w:rPr>
          <w:sz w:val="28"/>
          <w:szCs w:val="24"/>
          <w:lang w:val="fr-CH"/>
        </w:rPr>
        <w:t>T</w:t>
      </w:r>
      <w:r w:rsidR="007F7F8C" w:rsidRPr="0033179F">
        <w:rPr>
          <w:sz w:val="28"/>
          <w:szCs w:val="24"/>
          <w:lang w:val="fr-CH"/>
        </w:rPr>
        <w:t>raitement par le Bureau des radiocommunications des demandes de coordination conformément à l</w:t>
      </w:r>
      <w:r>
        <w:rPr>
          <w:sz w:val="28"/>
          <w:szCs w:val="24"/>
          <w:lang w:val="fr-CH"/>
        </w:rPr>
        <w:t>'</w:t>
      </w:r>
      <w:r w:rsidR="007F7F8C" w:rsidRPr="0033179F">
        <w:rPr>
          <w:sz w:val="28"/>
          <w:szCs w:val="24"/>
          <w:lang w:val="fr-CH"/>
        </w:rPr>
        <w:t>Article 9 ou des notifications au titre de l</w:t>
      </w:r>
      <w:r>
        <w:rPr>
          <w:sz w:val="28"/>
          <w:szCs w:val="24"/>
          <w:lang w:val="fr-CH"/>
        </w:rPr>
        <w:t>'</w:t>
      </w:r>
      <w:r w:rsidR="007F7F8C" w:rsidRPr="0033179F">
        <w:rPr>
          <w:sz w:val="28"/>
          <w:szCs w:val="24"/>
          <w:lang w:val="fr-CH"/>
        </w:rPr>
        <w:t xml:space="preserve">Article 11 du Règlement des radiocommunications soumises au Bureau le premier </w:t>
      </w:r>
      <w:r w:rsidR="0033179F">
        <w:rPr>
          <w:sz w:val="28"/>
          <w:szCs w:val="24"/>
          <w:lang w:val="fr-CH"/>
        </w:rPr>
        <w:br/>
      </w:r>
      <w:r w:rsidR="007F7F8C" w:rsidRPr="0033179F">
        <w:rPr>
          <w:sz w:val="28"/>
          <w:szCs w:val="24"/>
          <w:lang w:val="fr-CH"/>
        </w:rPr>
        <w:t>jour après une CMR</w:t>
      </w:r>
      <w:r>
        <w:rPr>
          <w:sz w:val="28"/>
          <w:szCs w:val="24"/>
          <w:lang w:val="fr-CH"/>
        </w:rPr>
        <w:t>,</w:t>
      </w:r>
      <w:r w:rsidR="007F7F8C" w:rsidRPr="0033179F">
        <w:rPr>
          <w:sz w:val="28"/>
          <w:szCs w:val="24"/>
          <w:lang w:val="fr-CH"/>
        </w:rPr>
        <w:t xml:space="preserve"> mais avant la date d</w:t>
      </w:r>
      <w:r>
        <w:rPr>
          <w:sz w:val="28"/>
          <w:szCs w:val="24"/>
          <w:lang w:val="fr-CH"/>
        </w:rPr>
        <w:t>'</w:t>
      </w:r>
      <w:r w:rsidR="007F7F8C" w:rsidRPr="0033179F">
        <w:rPr>
          <w:sz w:val="28"/>
          <w:szCs w:val="24"/>
          <w:lang w:val="fr-CH"/>
        </w:rPr>
        <w:t xml:space="preserve">entrée en vigueur </w:t>
      </w:r>
      <w:r w:rsidR="007E7797">
        <w:rPr>
          <w:sz w:val="28"/>
          <w:szCs w:val="24"/>
          <w:lang w:val="fr-CH"/>
        </w:rPr>
        <w:br/>
      </w:r>
      <w:r w:rsidR="007F7F8C" w:rsidRPr="0033179F">
        <w:rPr>
          <w:sz w:val="28"/>
          <w:szCs w:val="24"/>
          <w:lang w:val="fr-CH"/>
        </w:rPr>
        <w:t xml:space="preserve">effective des attributions de fréquences nouvelles ou </w:t>
      </w:r>
      <w:r w:rsidR="0033179F">
        <w:rPr>
          <w:sz w:val="28"/>
          <w:szCs w:val="24"/>
          <w:lang w:val="fr-CH"/>
        </w:rPr>
        <w:br/>
      </w:r>
      <w:r w:rsidR="007F7F8C" w:rsidRPr="0033179F">
        <w:rPr>
          <w:sz w:val="28"/>
          <w:szCs w:val="24"/>
          <w:lang w:val="fr-CH"/>
        </w:rPr>
        <w:t>actualisées faites par la CMR</w:t>
      </w:r>
    </w:p>
    <w:p w:rsidR="00952FA2" w:rsidRDefault="00952FA2" w:rsidP="00A647BD">
      <w:pPr>
        <w:pStyle w:val="Normalaftertitle"/>
        <w:spacing w:line="240" w:lineRule="auto"/>
        <w:rPr>
          <w:lang w:val="fr-CH"/>
        </w:rPr>
      </w:pPr>
      <w:r>
        <w:rPr>
          <w:lang w:val="fr-CH"/>
        </w:rPr>
        <w:t>En ce qui concerne une demande de coordination ou une fiche de notification comprenant une assignation de fréquence faisant l</w:t>
      </w:r>
      <w:r w:rsidR="00A647BD">
        <w:rPr>
          <w:lang w:val="fr-CH"/>
        </w:rPr>
        <w:t>'</w:t>
      </w:r>
      <w:r>
        <w:rPr>
          <w:lang w:val="fr-CH"/>
        </w:rPr>
        <w:t>objet d</w:t>
      </w:r>
      <w:r w:rsidR="00A647BD">
        <w:rPr>
          <w:lang w:val="fr-CH"/>
        </w:rPr>
        <w:t>'</w:t>
      </w:r>
      <w:r>
        <w:rPr>
          <w:lang w:val="fr-CH"/>
        </w:rPr>
        <w:t>une attribution nouvell</w:t>
      </w:r>
      <w:r w:rsidR="00A647BD">
        <w:rPr>
          <w:lang w:val="fr-CH"/>
        </w:rPr>
        <w:t>e ou actualisée adoptée par une </w:t>
      </w:r>
      <w:r>
        <w:rPr>
          <w:lang w:val="fr-CH"/>
        </w:rPr>
        <w:t>CMR et reçue par le Bureau le premier jour après la Conférence, l</w:t>
      </w:r>
      <w:r w:rsidR="00A647BD">
        <w:rPr>
          <w:lang w:val="fr-CH"/>
        </w:rPr>
        <w:t>'</w:t>
      </w:r>
      <w:r>
        <w:rPr>
          <w:lang w:val="fr-CH"/>
        </w:rPr>
        <w:t>examen des assignations de fréquence quant à leur conformité au Tableau d</w:t>
      </w:r>
      <w:r w:rsidR="00A647BD">
        <w:rPr>
          <w:lang w:val="fr-CH"/>
        </w:rPr>
        <w:t>'</w:t>
      </w:r>
      <w:r>
        <w:rPr>
          <w:lang w:val="fr-CH"/>
        </w:rPr>
        <w:t xml:space="preserve">attribution des bandes de fréquences est effectué aux termes du numéro </w:t>
      </w:r>
      <w:r w:rsidRPr="00952FA2">
        <w:rPr>
          <w:b/>
          <w:bCs/>
          <w:lang w:val="fr-CH"/>
        </w:rPr>
        <w:t>9.35</w:t>
      </w:r>
      <w:r>
        <w:rPr>
          <w:lang w:val="fr-CH"/>
        </w:rPr>
        <w:t xml:space="preserve"> (conformité aux dispositions du numéro </w:t>
      </w:r>
      <w:r w:rsidRPr="00952FA2">
        <w:rPr>
          <w:b/>
          <w:bCs/>
          <w:lang w:val="fr-CH"/>
        </w:rPr>
        <w:t>11.31</w:t>
      </w:r>
      <w:r w:rsidR="00C602C7">
        <w:rPr>
          <w:lang w:val="fr-CH"/>
        </w:rPr>
        <w:t>) ou du numéro </w:t>
      </w:r>
      <w:r w:rsidRPr="00952FA2">
        <w:rPr>
          <w:b/>
          <w:bCs/>
          <w:lang w:val="fr-CH"/>
        </w:rPr>
        <w:t>11.31</w:t>
      </w:r>
      <w:r>
        <w:rPr>
          <w:lang w:val="fr-CH"/>
        </w:rPr>
        <w:t>, selon le cas, et les conclusions du Bureau tiendront compte du statut de l</w:t>
      </w:r>
      <w:r w:rsidR="00A647BD">
        <w:rPr>
          <w:lang w:val="fr-CH"/>
        </w:rPr>
        <w:t>'</w:t>
      </w:r>
      <w:r>
        <w:rPr>
          <w:lang w:val="fr-CH"/>
        </w:rPr>
        <w:t>assignation de fréquence pour ce qui est de la conformité au Tableau d</w:t>
      </w:r>
      <w:r w:rsidR="00A647BD">
        <w:rPr>
          <w:lang w:val="fr-CH"/>
        </w:rPr>
        <w:t>'</w:t>
      </w:r>
      <w:r>
        <w:rPr>
          <w:lang w:val="fr-CH"/>
        </w:rPr>
        <w:t>attribution des bandes de fréquences. Le Comité a décidé d</w:t>
      </w:r>
      <w:r w:rsidR="00A647BD">
        <w:rPr>
          <w:lang w:val="fr-CH"/>
        </w:rPr>
        <w:t>'</w:t>
      </w:r>
      <w:r>
        <w:rPr>
          <w:lang w:val="fr-CH"/>
        </w:rPr>
        <w:t xml:space="preserve">établir les catégories de conclusions suivantes au titre du numéro </w:t>
      </w:r>
      <w:r w:rsidRPr="00952FA2">
        <w:rPr>
          <w:b/>
          <w:bCs/>
          <w:lang w:val="fr-CH"/>
        </w:rPr>
        <w:t>11.31</w:t>
      </w:r>
      <w:r>
        <w:rPr>
          <w:lang w:val="fr-CH"/>
        </w:rPr>
        <w:t>, en fonction des dates de réception de la demande de coordination ou de la fiche de notification concerné et des dates de mise en service de l</w:t>
      </w:r>
      <w:r w:rsidR="00A647BD">
        <w:rPr>
          <w:lang w:val="fr-CH"/>
        </w:rPr>
        <w:t>'</w:t>
      </w:r>
      <w:r>
        <w:rPr>
          <w:lang w:val="fr-CH"/>
        </w:rPr>
        <w:t>assignation de fréq</w:t>
      </w:r>
      <w:r w:rsidR="002A0D55">
        <w:rPr>
          <w:lang w:val="fr-CH"/>
        </w:rPr>
        <w:t>uence:</w:t>
      </w:r>
    </w:p>
    <w:p w:rsidR="00952FA2" w:rsidRDefault="009B7486" w:rsidP="002A0D55">
      <w:pPr>
        <w:pStyle w:val="enumlev1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>La conclusion sera favorable si, à la date de réception par le Bureau de la demande de coordination ou de la fiche de notification, l</w:t>
      </w:r>
      <w:r w:rsidR="00A647BD">
        <w:rPr>
          <w:lang w:val="fr-CH"/>
        </w:rPr>
        <w:t>'</w:t>
      </w:r>
      <w:r>
        <w:rPr>
          <w:lang w:val="fr-CH"/>
        </w:rPr>
        <w:t>attribution de fréquence en question est en vigueur.</w:t>
      </w:r>
    </w:p>
    <w:p w:rsidR="009B7486" w:rsidRDefault="009B7486" w:rsidP="002A0D55">
      <w:pPr>
        <w:pStyle w:val="enumlev1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  <w:t>La conclusion sera défavorable si, à la date de réception par le Bureau de la demande de coordination ou de la fiche de notification</w:t>
      </w:r>
      <w:r w:rsidR="007E7797">
        <w:rPr>
          <w:lang w:val="fr-CH"/>
        </w:rPr>
        <w:t>,</w:t>
      </w:r>
      <w:r>
        <w:rPr>
          <w:lang w:val="fr-CH"/>
        </w:rPr>
        <w:t xml:space="preserve"> l</w:t>
      </w:r>
      <w:r w:rsidR="00A647BD">
        <w:rPr>
          <w:lang w:val="fr-CH"/>
        </w:rPr>
        <w:t>'</w:t>
      </w:r>
      <w:r>
        <w:rPr>
          <w:lang w:val="fr-CH"/>
        </w:rPr>
        <w:t>attribution de fréquence en question n</w:t>
      </w:r>
      <w:r w:rsidR="00A647BD">
        <w:rPr>
          <w:lang w:val="fr-CH"/>
        </w:rPr>
        <w:t>'</w:t>
      </w:r>
      <w:r>
        <w:rPr>
          <w:lang w:val="fr-CH"/>
        </w:rPr>
        <w:t>a pas encore été</w:t>
      </w:r>
      <w:r w:rsidR="00F92C5B">
        <w:rPr>
          <w:lang w:val="fr-CH"/>
        </w:rPr>
        <w:t xml:space="preserve"> adoptée par la conférence.</w:t>
      </w:r>
    </w:p>
    <w:p w:rsidR="00F92C5B" w:rsidRDefault="00F92C5B" w:rsidP="002A0D55">
      <w:pPr>
        <w:pStyle w:val="enumlev1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="00582B8C">
        <w:rPr>
          <w:lang w:val="fr-CH"/>
        </w:rPr>
        <w:t>La conclusion sera «favorable avec réserves» si, à la date de réception par le Bureau de la demande de coordination ou des renseignements de notification</w:t>
      </w:r>
      <w:r w:rsidR="007E7797">
        <w:rPr>
          <w:lang w:val="fr-CH"/>
        </w:rPr>
        <w:t>,</w:t>
      </w:r>
      <w:r w:rsidR="00582B8C">
        <w:rPr>
          <w:lang w:val="fr-CH"/>
        </w:rPr>
        <w:t xml:space="preserve"> l</w:t>
      </w:r>
      <w:r w:rsidR="00A647BD">
        <w:rPr>
          <w:lang w:val="fr-CH"/>
        </w:rPr>
        <w:t>'</w:t>
      </w:r>
      <w:r w:rsidR="00582B8C">
        <w:rPr>
          <w:lang w:val="fr-CH"/>
        </w:rPr>
        <w:t>attribution de fréquence en question a été adoptée par la conférence mais n</w:t>
      </w:r>
      <w:r w:rsidR="00A647BD">
        <w:rPr>
          <w:lang w:val="fr-CH"/>
        </w:rPr>
        <w:t>'</w:t>
      </w:r>
      <w:r w:rsidR="00582B8C">
        <w:rPr>
          <w:lang w:val="fr-CH"/>
        </w:rPr>
        <w:t>est pas encore en vigueur. Ce type de conclusion permettra</w:t>
      </w:r>
      <w:r w:rsidR="007E7797">
        <w:rPr>
          <w:lang w:val="fr-CH"/>
        </w:rPr>
        <w:t>,</w:t>
      </w:r>
      <w:r w:rsidR="00582B8C">
        <w:rPr>
          <w:lang w:val="fr-CH"/>
        </w:rPr>
        <w:t xml:space="preserve"> d</w:t>
      </w:r>
      <w:r w:rsidR="00A647BD">
        <w:rPr>
          <w:lang w:val="fr-CH"/>
        </w:rPr>
        <w:t>'</w:t>
      </w:r>
      <w:r w:rsidR="00582B8C">
        <w:rPr>
          <w:lang w:val="fr-CH"/>
        </w:rPr>
        <w:t>une part</w:t>
      </w:r>
      <w:r w:rsidR="007E7797">
        <w:rPr>
          <w:lang w:val="fr-CH"/>
        </w:rPr>
        <w:t>,</w:t>
      </w:r>
      <w:r w:rsidR="00582B8C">
        <w:rPr>
          <w:lang w:val="fr-CH"/>
        </w:rPr>
        <w:t xml:space="preserve"> de coordonner les assignations d</w:t>
      </w:r>
      <w:r w:rsidR="00A647BD">
        <w:rPr>
          <w:lang w:val="fr-CH"/>
        </w:rPr>
        <w:t>'</w:t>
      </w:r>
      <w:r w:rsidR="00582B8C">
        <w:rPr>
          <w:lang w:val="fr-CH"/>
        </w:rPr>
        <w:t>un réseau assujetti à la procédure de coordination prévue dans l</w:t>
      </w:r>
      <w:r w:rsidR="00E248C7">
        <w:rPr>
          <w:lang w:val="fr-CH"/>
        </w:rPr>
        <w:t>a</w:t>
      </w:r>
      <w:r w:rsidR="00582B8C">
        <w:rPr>
          <w:lang w:val="fr-CH"/>
        </w:rPr>
        <w:t xml:space="preserve"> Section II de l</w:t>
      </w:r>
      <w:r w:rsidR="00A647BD">
        <w:rPr>
          <w:lang w:val="fr-CH"/>
        </w:rPr>
        <w:t>'</w:t>
      </w:r>
      <w:r w:rsidR="00582B8C">
        <w:rPr>
          <w:lang w:val="fr-CH"/>
        </w:rPr>
        <w:t>Article 9 et de tenir compte de ce réseau lors de l</w:t>
      </w:r>
      <w:r w:rsidR="00A647BD">
        <w:rPr>
          <w:lang w:val="fr-CH"/>
        </w:rPr>
        <w:t>'</w:t>
      </w:r>
      <w:r w:rsidR="00582B8C">
        <w:rPr>
          <w:lang w:val="fr-CH"/>
        </w:rPr>
        <w:t xml:space="preserve">application du numéro </w:t>
      </w:r>
      <w:r w:rsidR="00582B8C" w:rsidRPr="00582B8C">
        <w:rPr>
          <w:b/>
          <w:bCs/>
          <w:lang w:val="fr-CH"/>
        </w:rPr>
        <w:t>9.27</w:t>
      </w:r>
      <w:r w:rsidR="007E7797">
        <w:rPr>
          <w:lang w:val="fr-CH"/>
        </w:rPr>
        <w:t xml:space="preserve"> </w:t>
      </w:r>
      <w:r w:rsidR="00582B8C">
        <w:rPr>
          <w:lang w:val="fr-CH"/>
        </w:rPr>
        <w:t>et</w:t>
      </w:r>
      <w:r w:rsidR="007E7797">
        <w:rPr>
          <w:lang w:val="fr-CH"/>
        </w:rPr>
        <w:t>,</w:t>
      </w:r>
      <w:r w:rsidR="00582B8C">
        <w:rPr>
          <w:lang w:val="fr-CH"/>
        </w:rPr>
        <w:t xml:space="preserve"> d</w:t>
      </w:r>
      <w:r w:rsidR="00A647BD">
        <w:rPr>
          <w:lang w:val="fr-CH"/>
        </w:rPr>
        <w:t>'</w:t>
      </w:r>
      <w:r w:rsidR="00582B8C">
        <w:rPr>
          <w:lang w:val="fr-CH"/>
        </w:rPr>
        <w:t>autre part</w:t>
      </w:r>
      <w:r w:rsidR="007E7797">
        <w:rPr>
          <w:lang w:val="fr-CH"/>
        </w:rPr>
        <w:t>,</w:t>
      </w:r>
      <w:r w:rsidR="00582B8C">
        <w:rPr>
          <w:lang w:val="fr-CH"/>
        </w:rPr>
        <w:t xml:space="preserve"> de traiter un réseau non assujetti à la procédure prévue dans la Section II de l</w:t>
      </w:r>
      <w:r w:rsidR="00A647BD">
        <w:rPr>
          <w:lang w:val="fr-CH"/>
        </w:rPr>
        <w:t>'</w:t>
      </w:r>
      <w:r w:rsidR="00582B8C">
        <w:rPr>
          <w:lang w:val="fr-CH"/>
        </w:rPr>
        <w:t>Ar</w:t>
      </w:r>
      <w:r w:rsidR="002A0D55">
        <w:rPr>
          <w:lang w:val="fr-CH"/>
        </w:rPr>
        <w:t>ticle 9, conformément au numéro </w:t>
      </w:r>
      <w:r w:rsidR="00582B8C" w:rsidRPr="00582B8C">
        <w:rPr>
          <w:b/>
          <w:bCs/>
          <w:lang w:val="fr-CH"/>
        </w:rPr>
        <w:t>11.36</w:t>
      </w:r>
      <w:r w:rsidR="00582B8C">
        <w:rPr>
          <w:lang w:val="fr-CH"/>
        </w:rPr>
        <w:t>.</w:t>
      </w:r>
    </w:p>
    <w:p w:rsidR="00582B8C" w:rsidRDefault="00582B8C" w:rsidP="002A0D55">
      <w:pPr>
        <w:pStyle w:val="enumlev1"/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  <w:t>La conclusion «favorable avec réserves» deviendra favorable après l</w:t>
      </w:r>
      <w:r w:rsidR="00A647BD">
        <w:rPr>
          <w:lang w:val="fr-CH"/>
        </w:rPr>
        <w:t>'</w:t>
      </w:r>
      <w:r>
        <w:rPr>
          <w:lang w:val="fr-CH"/>
        </w:rPr>
        <w:t>entrée en vigueur de l</w:t>
      </w:r>
      <w:r w:rsidR="00A647BD">
        <w:rPr>
          <w:lang w:val="fr-CH"/>
        </w:rPr>
        <w:t>'</w:t>
      </w:r>
      <w:r>
        <w:rPr>
          <w:lang w:val="fr-CH"/>
        </w:rPr>
        <w:t xml:space="preserve">attribution de fréquence et </w:t>
      </w:r>
      <w:r w:rsidR="007166C9">
        <w:rPr>
          <w:lang w:val="fr-CH"/>
        </w:rPr>
        <w:t xml:space="preserve">après </w:t>
      </w:r>
      <w:r>
        <w:rPr>
          <w:lang w:val="fr-CH"/>
        </w:rPr>
        <w:t>confirmation du fait que la date d</w:t>
      </w:r>
      <w:r w:rsidR="00A647BD">
        <w:rPr>
          <w:lang w:val="fr-CH"/>
        </w:rPr>
        <w:t>'</w:t>
      </w:r>
      <w:r>
        <w:rPr>
          <w:lang w:val="fr-CH"/>
        </w:rPr>
        <w:t>entrée en vigueur de l</w:t>
      </w:r>
      <w:r w:rsidR="00A647BD">
        <w:rPr>
          <w:lang w:val="fr-CH"/>
        </w:rPr>
        <w:t>'</w:t>
      </w:r>
      <w:r>
        <w:rPr>
          <w:lang w:val="fr-CH"/>
        </w:rPr>
        <w:t>assignation de fréquence est effectivement postérieure à la date d</w:t>
      </w:r>
      <w:r w:rsidR="00A647BD">
        <w:rPr>
          <w:lang w:val="fr-CH"/>
        </w:rPr>
        <w:t>'</w:t>
      </w:r>
      <w:r>
        <w:rPr>
          <w:lang w:val="fr-CH"/>
        </w:rPr>
        <w:t>entrée en vigueur de l</w:t>
      </w:r>
      <w:r w:rsidR="00A647BD">
        <w:rPr>
          <w:lang w:val="fr-CH"/>
        </w:rPr>
        <w:t>'</w:t>
      </w:r>
      <w:r>
        <w:rPr>
          <w:lang w:val="fr-CH"/>
        </w:rPr>
        <w:t>attribution de fréquence en question. Sinon, la conclusion sera défavorable.</w:t>
      </w:r>
    </w:p>
    <w:p w:rsidR="00582B8C" w:rsidRDefault="00582B8C" w:rsidP="00C602C7">
      <w:pPr>
        <w:spacing w:line="240" w:lineRule="auto"/>
        <w:rPr>
          <w:lang w:val="fr-CH"/>
        </w:rPr>
      </w:pPr>
      <w:r>
        <w:rPr>
          <w:lang w:val="fr-CH"/>
        </w:rPr>
        <w:t>Sauf en ce qui concerne l</w:t>
      </w:r>
      <w:r w:rsidR="00A647BD">
        <w:rPr>
          <w:lang w:val="fr-CH"/>
        </w:rPr>
        <w:t>'</w:t>
      </w:r>
      <w:r>
        <w:rPr>
          <w:lang w:val="fr-CH"/>
        </w:rPr>
        <w:t>examen de la conformité des attributions de fréquence visé ci-dessus, l</w:t>
      </w:r>
      <w:r w:rsidR="00A647BD">
        <w:rPr>
          <w:lang w:val="fr-CH"/>
        </w:rPr>
        <w:t>'</w:t>
      </w:r>
      <w:r>
        <w:rPr>
          <w:lang w:val="fr-CH"/>
        </w:rPr>
        <w:t xml:space="preserve">examen des demandes de coordination et des fiches de notification en question sera effectué aux termes du numéro </w:t>
      </w:r>
      <w:r w:rsidRPr="00582B8C">
        <w:rPr>
          <w:b/>
          <w:bCs/>
          <w:lang w:val="fr-CH"/>
        </w:rPr>
        <w:t>9.36</w:t>
      </w:r>
      <w:r>
        <w:rPr>
          <w:lang w:val="fr-CH"/>
        </w:rPr>
        <w:t xml:space="preserve"> et </w:t>
      </w:r>
      <w:r w:rsidR="007166C9">
        <w:rPr>
          <w:lang w:val="fr-CH"/>
        </w:rPr>
        <w:t>d</w:t>
      </w:r>
      <w:r>
        <w:rPr>
          <w:lang w:val="fr-CH"/>
        </w:rPr>
        <w:t>u point de vue de leur conformi</w:t>
      </w:r>
      <w:r w:rsidR="00C602C7">
        <w:rPr>
          <w:lang w:val="fr-CH"/>
        </w:rPr>
        <w:t>té aux dispositions des numéros </w:t>
      </w:r>
      <w:r w:rsidRPr="00582B8C">
        <w:rPr>
          <w:b/>
          <w:bCs/>
          <w:lang w:val="fr-CH"/>
        </w:rPr>
        <w:t>11.31</w:t>
      </w:r>
      <w:r>
        <w:rPr>
          <w:lang w:val="fr-CH"/>
        </w:rPr>
        <w:t xml:space="preserve"> et </w:t>
      </w:r>
      <w:r w:rsidRPr="00582B8C">
        <w:rPr>
          <w:b/>
          <w:bCs/>
          <w:lang w:val="fr-CH"/>
        </w:rPr>
        <w:t>11.32</w:t>
      </w:r>
      <w:r>
        <w:rPr>
          <w:lang w:val="fr-CH"/>
        </w:rPr>
        <w:t>, sur la base des conditions s</w:t>
      </w:r>
      <w:r w:rsidR="00A647BD">
        <w:rPr>
          <w:lang w:val="fr-CH"/>
        </w:rPr>
        <w:t>'</w:t>
      </w:r>
      <w:r>
        <w:rPr>
          <w:lang w:val="fr-CH"/>
        </w:rPr>
        <w:t>appliquant à l</w:t>
      </w:r>
      <w:r w:rsidR="00A647BD">
        <w:rPr>
          <w:lang w:val="fr-CH"/>
        </w:rPr>
        <w:t>'</w:t>
      </w:r>
      <w:r>
        <w:rPr>
          <w:lang w:val="fr-CH"/>
        </w:rPr>
        <w:t>attribution de fréquence nouvelle ou actualisée à la date d</w:t>
      </w:r>
      <w:r w:rsidR="00A647BD">
        <w:rPr>
          <w:lang w:val="fr-CH"/>
        </w:rPr>
        <w:t>'</w:t>
      </w:r>
      <w:r>
        <w:rPr>
          <w:lang w:val="fr-CH"/>
        </w:rPr>
        <w:t>entrée en vigueur de cette attribution, telle qu</w:t>
      </w:r>
      <w:r w:rsidR="00A647BD">
        <w:rPr>
          <w:lang w:val="fr-CH"/>
        </w:rPr>
        <w:t>'</w:t>
      </w:r>
      <w:r>
        <w:rPr>
          <w:lang w:val="fr-CH"/>
        </w:rPr>
        <w:t>elle a été adoptée par la CMR (par exemple</w:t>
      </w:r>
      <w:r w:rsidR="007166C9">
        <w:rPr>
          <w:lang w:val="fr-CH"/>
        </w:rPr>
        <w:t>,</w:t>
      </w:r>
      <w:r>
        <w:rPr>
          <w:lang w:val="fr-CH"/>
        </w:rPr>
        <w:t xml:space="preserve"> limites de puissance</w:t>
      </w:r>
      <w:r w:rsidR="007166C9">
        <w:rPr>
          <w:lang w:val="fr-CH"/>
        </w:rPr>
        <w:t>,</w:t>
      </w:r>
      <w:r>
        <w:rPr>
          <w:lang w:val="fr-CH"/>
        </w:rPr>
        <w:t xml:space="preserve"> critères de coordination...).</w:t>
      </w:r>
    </w:p>
    <w:p w:rsidR="002571AE" w:rsidRDefault="002571AE" w:rsidP="00A647B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textAlignment w:val="auto"/>
        <w:rPr>
          <w:lang w:val="fr-CH"/>
        </w:rPr>
      </w:pPr>
      <w:r w:rsidRPr="002571AE">
        <w:rPr>
          <w:b/>
          <w:bCs/>
          <w:i/>
          <w:iCs/>
          <w:lang w:val="fr-CH"/>
        </w:rPr>
        <w:lastRenderedPageBreak/>
        <w:t>Motifs</w:t>
      </w:r>
      <w:r>
        <w:rPr>
          <w:lang w:val="fr-CH"/>
        </w:rPr>
        <w:t xml:space="preserve">: </w:t>
      </w:r>
      <w:r w:rsidRPr="00A47DD6">
        <w:rPr>
          <w:i/>
          <w:iCs/>
          <w:lang w:val="fr-CH"/>
        </w:rPr>
        <w:t>A sa 71ème réunion, le Comité a décidé de charger le BR d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élaborer un projet de nouvelle Règle de procédure relative à la recevabilité des fiches de notification soumises au BR avant la date effective d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entrée en vigueur d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une attribution de fréquence faisant suite à l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adoption d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une décision d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une CMR; ce projet de nouvelle Règle de procédure sera fondé sur la pratique actuelle telle qu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>elle est décrite dans l</w:t>
      </w:r>
      <w:r w:rsidR="00A647BD">
        <w:rPr>
          <w:i/>
          <w:iCs/>
          <w:lang w:val="fr-CH"/>
        </w:rPr>
        <w:t>'</w:t>
      </w:r>
      <w:r w:rsidRPr="00A47DD6">
        <w:rPr>
          <w:i/>
          <w:iCs/>
          <w:lang w:val="fr-CH"/>
        </w:rPr>
        <w:t xml:space="preserve">Annexe 1 du Document RRB16-1/4 et sera examiné à la 72ème réunion du Comité en vue de son adoption. </w:t>
      </w:r>
    </w:p>
    <w:p w:rsidR="00A47DD6" w:rsidRPr="00F57040" w:rsidRDefault="00A47DD6" w:rsidP="00A647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jc w:val="left"/>
        <w:textAlignment w:val="auto"/>
        <w:rPr>
          <w:i/>
          <w:iCs/>
          <w:lang w:val="fr-CH"/>
        </w:rPr>
      </w:pPr>
      <w:r w:rsidRPr="00F57040">
        <w:rPr>
          <w:i/>
          <w:iCs/>
          <w:lang w:val="fr-CH"/>
        </w:rPr>
        <w:t>Date d</w:t>
      </w:r>
      <w:r w:rsidR="00A647BD">
        <w:rPr>
          <w:i/>
          <w:iCs/>
          <w:lang w:val="fr-CH"/>
        </w:rPr>
        <w:t>'</w:t>
      </w:r>
      <w:r w:rsidRPr="00F57040">
        <w:rPr>
          <w:i/>
          <w:iCs/>
          <w:lang w:val="fr-CH"/>
        </w:rPr>
        <w:t>entrée en vigueur effective de cette Règle: 28 novembre 2015.</w:t>
      </w:r>
    </w:p>
    <w:p w:rsidR="00A647BD" w:rsidRDefault="007166C9" w:rsidP="00A647BD">
      <w:pPr>
        <w:pStyle w:val="Heading1"/>
        <w:jc w:val="center"/>
        <w:rPr>
          <w:lang w:val="fr-CH"/>
        </w:rPr>
      </w:pPr>
      <w:r w:rsidRPr="00A647BD">
        <w:rPr>
          <w:lang w:val="fr-CH"/>
        </w:rPr>
        <w:t>Règles relatives à l</w:t>
      </w:r>
      <w:r w:rsidR="00A647BD">
        <w:rPr>
          <w:lang w:val="fr-CH"/>
        </w:rPr>
        <w:t>'</w:t>
      </w:r>
    </w:p>
    <w:p w:rsidR="001D4BEE" w:rsidRDefault="007166C9" w:rsidP="00A647BD">
      <w:pPr>
        <w:pStyle w:val="Heading1"/>
        <w:spacing w:before="360" w:line="240" w:lineRule="auto"/>
        <w:jc w:val="center"/>
        <w:rPr>
          <w:lang w:val="fr-CH"/>
        </w:rPr>
      </w:pPr>
      <w:r w:rsidRPr="00A647BD">
        <w:rPr>
          <w:lang w:val="fr-CH"/>
        </w:rPr>
        <w:t>ARTICLE 9 du RR</w:t>
      </w:r>
    </w:p>
    <w:p w:rsidR="007166C9" w:rsidRPr="00574917" w:rsidRDefault="007166C9" w:rsidP="00574917">
      <w:pPr>
        <w:spacing w:after="120"/>
        <w:rPr>
          <w:b/>
          <w:bCs/>
        </w:rPr>
      </w:pPr>
      <w:r w:rsidRPr="00574917">
        <w:rPr>
          <w:b/>
          <w:bCs/>
        </w:rPr>
        <w:t>MOD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7166C9" w:rsidRPr="00583402" w:rsidTr="00D11C3B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66C9" w:rsidRPr="00583402" w:rsidRDefault="007166C9" w:rsidP="00A647BD">
            <w:pPr>
              <w:pStyle w:val="Heading8"/>
              <w:spacing w:before="0" w:line="240" w:lineRule="auto"/>
              <w:ind w:left="0" w:right="-108" w:firstLine="0"/>
              <w:rPr>
                <w:rFonts w:asciiTheme="minorHAnsi" w:hAnsiTheme="minorHAnsi"/>
                <w:color w:val="000000"/>
                <w:szCs w:val="24"/>
              </w:rPr>
            </w:pPr>
            <w:r w:rsidRPr="00583402">
              <w:rPr>
                <w:rFonts w:asciiTheme="minorHAnsi" w:hAnsiTheme="minorHAnsi"/>
                <w:color w:val="000000"/>
                <w:szCs w:val="24"/>
              </w:rPr>
              <w:t>9.11A</w:t>
            </w:r>
          </w:p>
        </w:tc>
      </w:tr>
    </w:tbl>
    <w:p w:rsidR="007166C9" w:rsidRPr="00583402" w:rsidRDefault="007166C9" w:rsidP="00A647BD">
      <w:pPr>
        <w:tabs>
          <w:tab w:val="left" w:pos="708"/>
        </w:tabs>
        <w:spacing w:line="240" w:lineRule="auto"/>
        <w:rPr>
          <w:szCs w:val="24"/>
        </w:rPr>
      </w:pPr>
    </w:p>
    <w:p w:rsidR="007166C9" w:rsidRPr="00583402" w:rsidRDefault="007166C9" w:rsidP="00A647BD">
      <w:pPr>
        <w:spacing w:line="240" w:lineRule="auto"/>
        <w:rPr>
          <w:szCs w:val="24"/>
        </w:rPr>
      </w:pPr>
      <w:r w:rsidRPr="00583402">
        <w:rPr>
          <w:szCs w:val="24"/>
        </w:rPr>
        <w:t>SUP 3.3</w:t>
      </w:r>
    </w:p>
    <w:p w:rsidR="007166C9" w:rsidRPr="00A647BD" w:rsidRDefault="007166C9" w:rsidP="001761E1">
      <w:pPr>
        <w:spacing w:after="120" w:line="240" w:lineRule="auto"/>
        <w:rPr>
          <w:i/>
          <w:iCs/>
          <w:lang w:val="fr-CH"/>
        </w:rPr>
      </w:pPr>
      <w:r w:rsidRPr="00A647BD">
        <w:rPr>
          <w:b/>
          <w:bCs/>
          <w:i/>
          <w:iCs/>
          <w:lang w:val="fr-CH"/>
        </w:rPr>
        <w:t>Motifs</w:t>
      </w:r>
      <w:r w:rsidRPr="00A647BD">
        <w:rPr>
          <w:i/>
          <w:iCs/>
          <w:lang w:val="fr-CH"/>
        </w:rPr>
        <w:t>: résulte de l</w:t>
      </w:r>
      <w:r w:rsidR="00A647BD">
        <w:rPr>
          <w:i/>
          <w:iCs/>
          <w:lang w:val="fr-CH"/>
        </w:rPr>
        <w:t>'</w:t>
      </w:r>
      <w:r w:rsidRPr="00A647BD">
        <w:rPr>
          <w:i/>
          <w:iCs/>
          <w:lang w:val="fr-CH"/>
        </w:rPr>
        <w:t xml:space="preserve">adoption de la Règle de procédure relative au </w:t>
      </w:r>
      <w:r>
        <w:rPr>
          <w:i/>
          <w:iCs/>
          <w:lang w:val="fr-CH"/>
        </w:rPr>
        <w:t>t</w:t>
      </w:r>
      <w:r w:rsidRPr="00A647BD">
        <w:rPr>
          <w:i/>
          <w:iCs/>
          <w:lang w:val="fr-CH"/>
        </w:rPr>
        <w:t>raitement par le Bureau des radiocommunications des demandes de coordination conformément à l</w:t>
      </w:r>
      <w:r w:rsidR="00A647BD">
        <w:rPr>
          <w:i/>
          <w:iCs/>
          <w:lang w:val="fr-CH"/>
        </w:rPr>
        <w:t>'</w:t>
      </w:r>
      <w:r w:rsidRPr="00A647BD">
        <w:rPr>
          <w:i/>
          <w:iCs/>
          <w:lang w:val="fr-CH"/>
        </w:rPr>
        <w:t>Article 9 ou des notifications au titre de l</w:t>
      </w:r>
      <w:r w:rsidR="00A647BD">
        <w:rPr>
          <w:i/>
          <w:iCs/>
          <w:lang w:val="fr-CH"/>
        </w:rPr>
        <w:t>'</w:t>
      </w:r>
      <w:r w:rsidRPr="00A647BD">
        <w:rPr>
          <w:i/>
          <w:iCs/>
          <w:lang w:val="fr-CH"/>
        </w:rPr>
        <w:t>Article 11 du Règlement des radiocommunications soumises au Bureau le premier jour après une CMR, mais avant la date d</w:t>
      </w:r>
      <w:r w:rsidR="00A647BD">
        <w:rPr>
          <w:i/>
          <w:iCs/>
          <w:lang w:val="fr-CH"/>
        </w:rPr>
        <w:t>'</w:t>
      </w:r>
      <w:r w:rsidRPr="00A647BD">
        <w:rPr>
          <w:i/>
          <w:iCs/>
          <w:lang w:val="fr-CH"/>
        </w:rPr>
        <w:t>entrée en vigueur effective des attributions de fréquences nouvelles ou actualisées faites par la CMR</w:t>
      </w:r>
      <w:r w:rsidR="001761E1">
        <w:rPr>
          <w:i/>
          <w:iCs/>
          <w:lang w:val="fr-CH"/>
        </w:rPr>
        <w:t>.</w:t>
      </w:r>
    </w:p>
    <w:p w:rsidR="007166C9" w:rsidRPr="002A0D55" w:rsidRDefault="007166C9" w:rsidP="00A647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jc w:val="left"/>
        <w:textAlignment w:val="auto"/>
        <w:rPr>
          <w:i/>
          <w:iCs/>
          <w:lang w:val="fr-CH"/>
        </w:rPr>
      </w:pPr>
      <w:r w:rsidRPr="002A0D55">
        <w:rPr>
          <w:i/>
          <w:iCs/>
          <w:lang w:val="fr-CH"/>
        </w:rPr>
        <w:t>Date d</w:t>
      </w:r>
      <w:r w:rsidR="00A647BD" w:rsidRPr="002A0D55">
        <w:rPr>
          <w:i/>
          <w:iCs/>
          <w:lang w:val="fr-CH"/>
        </w:rPr>
        <w:t>'</w:t>
      </w:r>
      <w:r w:rsidRPr="002A0D55">
        <w:rPr>
          <w:i/>
          <w:iCs/>
          <w:lang w:val="fr-CH"/>
        </w:rPr>
        <w:t>entrée en vigueur effective de cette Règle: 28 novembre 2015.</w:t>
      </w:r>
    </w:p>
    <w:p w:rsidR="007166C9" w:rsidRPr="00A647BD" w:rsidRDefault="007166C9" w:rsidP="00A647BD">
      <w:pPr>
        <w:spacing w:line="240" w:lineRule="auto"/>
        <w:rPr>
          <w:lang w:val="fr-CH"/>
        </w:rPr>
      </w:pPr>
    </w:p>
    <w:p w:rsidR="00952FA2" w:rsidRPr="00A47DD6" w:rsidRDefault="00A47DD6" w:rsidP="00A647BD">
      <w:pPr>
        <w:spacing w:line="240" w:lineRule="auto"/>
        <w:jc w:val="center"/>
      </w:pPr>
      <w:r>
        <w:t>______________</w:t>
      </w:r>
    </w:p>
    <w:sectPr w:rsidR="00952FA2" w:rsidRPr="00A47DD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C7" w:rsidRDefault="00E248C7">
      <w:r>
        <w:separator/>
      </w:r>
    </w:p>
  </w:endnote>
  <w:endnote w:type="continuationSeparator" w:id="0">
    <w:p w:rsidR="00E248C7" w:rsidRDefault="00E2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C7" w:rsidRPr="002F5AA5" w:rsidRDefault="00E248C7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3D406E">
      <w:rPr>
        <w:color w:val="3E8EDE"/>
        <w:sz w:val="18"/>
        <w:szCs w:val="18"/>
        <w:lang w:val="fr-CH"/>
      </w:rPr>
      <w:t>Union internationale des télécommunications • Place des Nations • CH</w:t>
    </w:r>
    <w:r w:rsidRPr="003D406E">
      <w:rPr>
        <w:color w:val="3E8EDE"/>
        <w:sz w:val="18"/>
        <w:szCs w:val="18"/>
        <w:lang w:val="fr-CH"/>
      </w:rPr>
      <w:noBreakHyphen/>
      <w:t xml:space="preserve">1211 Genève 20 • Suisse </w:t>
    </w:r>
    <w:r w:rsidRPr="003D406E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3D406E">
      <w:rPr>
        <w:color w:val="3E8EDE"/>
        <w:sz w:val="18"/>
        <w:szCs w:val="18"/>
        <w:lang w:val="fr-CH"/>
      </w:rPr>
      <w:t xml:space="preserve">: +41 22 730 5111 • Fax: +41 22 733 7256 • </w:t>
    </w:r>
    <w:r w:rsidRPr="003D406E">
      <w:rPr>
        <w:color w:val="3E8EDE"/>
        <w:sz w:val="18"/>
        <w:szCs w:val="18"/>
        <w:lang w:val="fr-CH"/>
      </w:rPr>
      <w:br/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Pr="003D406E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D406E">
      <w:rPr>
        <w:color w:val="3E8EDE"/>
        <w:sz w:val="18"/>
        <w:szCs w:val="18"/>
        <w:lang w:val="fr-CH"/>
      </w:rPr>
      <w:t xml:space="preserve"> • </w:t>
    </w:r>
    <w:hyperlink r:id="rId2" w:history="1">
      <w:r w:rsidRPr="003D406E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D406E">
      <w:rPr>
        <w:color w:val="3E8EDE"/>
        <w:sz w:val="18"/>
        <w:szCs w:val="18"/>
        <w:lang w:val="fr-CH"/>
      </w:rPr>
      <w:t xml:space="preserve"> • </w:t>
    </w:r>
    <w:hyperlink r:id="rId3" w:history="1">
      <w:r w:rsidRPr="003D406E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C7" w:rsidRDefault="00E248C7">
      <w:r>
        <w:t>____________________</w:t>
      </w:r>
    </w:p>
  </w:footnote>
  <w:footnote w:type="continuationSeparator" w:id="0">
    <w:p w:rsidR="00E248C7" w:rsidRDefault="00E2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C7" w:rsidRPr="002569F7" w:rsidRDefault="00E248C7" w:rsidP="00A647B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CC436D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C7" w:rsidRPr="007E7797" w:rsidRDefault="00E248C7" w:rsidP="00A647BD">
    <w:pPr>
      <w:pStyle w:val="Header"/>
      <w:jc w:val="center"/>
      <w:rPr>
        <w:iCs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CC436D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E248C7" w:rsidTr="00C236AF">
      <w:tc>
        <w:tcPr>
          <w:tcW w:w="5031" w:type="dxa"/>
        </w:tcPr>
        <w:p w:rsidR="00E248C7" w:rsidRDefault="00E248C7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E248C7" w:rsidRDefault="00E248C7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48C7" w:rsidRPr="00C236AF" w:rsidRDefault="00E248C7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038F92E8-83D0-4129-9508-26A73D9B8EB0}"/>
    <w:docVar w:name="dgnword-eventsink" w:val="519634480"/>
  </w:docVars>
  <w:rsids>
    <w:rsidRoot w:val="0098484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1E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4BEE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571AE"/>
    <w:rsid w:val="00266E74"/>
    <w:rsid w:val="00283C3B"/>
    <w:rsid w:val="002861E6"/>
    <w:rsid w:val="00287D18"/>
    <w:rsid w:val="002A0D55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79F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06E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181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4917"/>
    <w:rsid w:val="00580814"/>
    <w:rsid w:val="00582B8C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4623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66C9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291"/>
    <w:rsid w:val="007921A7"/>
    <w:rsid w:val="007B3DB1"/>
    <w:rsid w:val="007C2E1E"/>
    <w:rsid w:val="007D183E"/>
    <w:rsid w:val="007D43D0"/>
    <w:rsid w:val="007E1833"/>
    <w:rsid w:val="007E3F13"/>
    <w:rsid w:val="007E7797"/>
    <w:rsid w:val="007F751A"/>
    <w:rsid w:val="007F7F8C"/>
    <w:rsid w:val="00800012"/>
    <w:rsid w:val="0080261F"/>
    <w:rsid w:val="00806160"/>
    <w:rsid w:val="008143A4"/>
    <w:rsid w:val="0081513E"/>
    <w:rsid w:val="00815311"/>
    <w:rsid w:val="00854131"/>
    <w:rsid w:val="0085652D"/>
    <w:rsid w:val="0087694B"/>
    <w:rsid w:val="00880F4D"/>
    <w:rsid w:val="0088443B"/>
    <w:rsid w:val="0088792E"/>
    <w:rsid w:val="008B35A3"/>
    <w:rsid w:val="008B37E1"/>
    <w:rsid w:val="008B45F8"/>
    <w:rsid w:val="008C2E74"/>
    <w:rsid w:val="008D5409"/>
    <w:rsid w:val="008D65A7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FA2"/>
    <w:rsid w:val="00963D9D"/>
    <w:rsid w:val="009762D0"/>
    <w:rsid w:val="0098013E"/>
    <w:rsid w:val="00981B54"/>
    <w:rsid w:val="009842C3"/>
    <w:rsid w:val="0098484D"/>
    <w:rsid w:val="009A009A"/>
    <w:rsid w:val="009A6BB6"/>
    <w:rsid w:val="009B3F43"/>
    <w:rsid w:val="009B5CFA"/>
    <w:rsid w:val="009B748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7DD6"/>
    <w:rsid w:val="00A63355"/>
    <w:rsid w:val="00A647BD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5EF2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2C7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436D"/>
    <w:rsid w:val="00CE076A"/>
    <w:rsid w:val="00CE463D"/>
    <w:rsid w:val="00CF6449"/>
    <w:rsid w:val="00D10BA0"/>
    <w:rsid w:val="00D1407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48C7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7040"/>
    <w:rsid w:val="00F6184F"/>
    <w:rsid w:val="00F73DBD"/>
    <w:rsid w:val="00F742AC"/>
    <w:rsid w:val="00F8310E"/>
    <w:rsid w:val="00F914DD"/>
    <w:rsid w:val="00F92C5B"/>
    <w:rsid w:val="00FA2155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55F3A7F-3BE5-477F-B67C-4140E3C3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47D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7E779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7166C9"/>
    <w:rPr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A647B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Proposal">
    <w:name w:val="Proposal"/>
    <w:basedOn w:val="enumlev1"/>
    <w:rsid w:val="00574917"/>
    <w:pPr>
      <w:keepNext/>
      <w:spacing w:before="200" w:after="200" w:line="240" w:lineRule="auto"/>
      <w:ind w:left="0" w:firstLine="0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6-RRB16.1-C-0021/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3DB34331184957AB2B6EA511A2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48CE-1A97-4C6E-89EA-6FCCCD077E19}"/>
      </w:docPartPr>
      <w:docPartBody>
        <w:p w:rsidR="0075652D" w:rsidRDefault="0075652D">
          <w:pPr>
            <w:pStyle w:val="153DB34331184957AB2B6EA511A2BBE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2D"/>
    <w:rsid w:val="0075652D"/>
    <w:rsid w:val="00D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3DB34331184957AB2B6EA511A2BBE8">
    <w:name w:val="153DB34331184957AB2B6EA511A2B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4C1E-A4D6-4E22-84FA-40DA7E46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3</Pages>
  <Words>973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Gozal, Karine</cp:lastModifiedBy>
  <cp:revision>3</cp:revision>
  <cp:lastPrinted>2016-03-08T14:08:00Z</cp:lastPrinted>
  <dcterms:created xsi:type="dcterms:W3CDTF">2016-03-08T07:34:00Z</dcterms:created>
  <dcterms:modified xsi:type="dcterms:W3CDTF">2016-03-08T14:08:00Z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