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D00DE8" w:rsidRPr="007B3DB1" w14:paraId="5F9A12E0" w14:textId="77777777" w:rsidTr="003566EC">
        <w:tc>
          <w:tcPr>
            <w:tcW w:w="9781" w:type="dxa"/>
            <w:gridSpan w:val="3"/>
            <w:shd w:val="clear" w:color="auto" w:fill="auto"/>
          </w:tcPr>
          <w:tbl>
            <w:tblPr>
              <w:tblStyle w:val="TableGrid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9"/>
              <w:gridCol w:w="5000"/>
            </w:tblGrid>
            <w:tr w:rsidR="005B08BB" w14:paraId="03302C89" w14:textId="77777777" w:rsidTr="009C2CD7">
              <w:tc>
                <w:tcPr>
                  <w:tcW w:w="4889" w:type="dxa"/>
                </w:tcPr>
                <w:p w14:paraId="00E239B0" w14:textId="77777777" w:rsidR="005B08BB" w:rsidRDefault="005B08BB" w:rsidP="009C2CD7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before="120" w:line="360" w:lineRule="auto"/>
                  </w:pPr>
                  <w:r>
                    <w:rPr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6A29425E" wp14:editId="4BE4035C">
                        <wp:extent cx="579396" cy="65722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025" cy="657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dxa"/>
                </w:tcPr>
                <w:p w14:paraId="01CBD17C" w14:textId="77777777" w:rsidR="005B08BB" w:rsidRDefault="005B08BB" w:rsidP="009C2CD7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line="360" w:lineRule="auto"/>
                    <w:jc w:val="right"/>
                  </w:pPr>
                  <w:r w:rsidRPr="00975D6F">
                    <w:rPr>
                      <w:rFonts w:cs="Arial"/>
                      <w:noProof/>
                      <w:lang w:val="en-GB" w:eastAsia="zh-CN"/>
                    </w:rPr>
                    <w:drawing>
                      <wp:inline distT="0" distB="0" distL="0" distR="0" wp14:anchorId="0561C0C9" wp14:editId="122D82C3">
                        <wp:extent cx="1017905" cy="925067"/>
                        <wp:effectExtent l="0" t="0" r="0" b="8890"/>
                        <wp:docPr id="1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050" cy="947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BDB373" w14:textId="77777777" w:rsidR="00D00DE8" w:rsidRPr="00AF70DA" w:rsidRDefault="00D00DE8" w:rsidP="00D00DE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14:paraId="03BBDFB9" w14:textId="77777777" w:rsidTr="003566EC">
        <w:tc>
          <w:tcPr>
            <w:tcW w:w="7054" w:type="dxa"/>
            <w:gridSpan w:val="2"/>
            <w:shd w:val="clear" w:color="auto" w:fill="auto"/>
          </w:tcPr>
          <w:p w14:paraId="34D2FBE2" w14:textId="77777777" w:rsidR="00C76D7F" w:rsidRPr="00FE6FB1" w:rsidRDefault="008B35A3" w:rsidP="00DD25E5">
            <w:pPr>
              <w:spacing w:before="48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Letter</w:t>
            </w:r>
          </w:p>
          <w:p w14:paraId="1D15E525" w14:textId="6F290907" w:rsidR="00651777" w:rsidRPr="006C53F8" w:rsidRDefault="000431FB" w:rsidP="0064788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4089F">
              <w:rPr>
                <w:b/>
                <w:bCs/>
              </w:rPr>
              <w:t>CCRR/</w:t>
            </w:r>
            <w:r w:rsidR="00B8275A">
              <w:rPr>
                <w:b/>
                <w:bCs/>
              </w:rPr>
              <w:t>5</w:t>
            </w:r>
            <w:r w:rsidR="0064788B">
              <w:rPr>
                <w:b/>
                <w:bCs/>
              </w:rPr>
              <w:t>5</w:t>
            </w:r>
          </w:p>
        </w:tc>
        <w:tc>
          <w:tcPr>
            <w:tcW w:w="2727" w:type="dxa"/>
            <w:shd w:val="clear" w:color="auto" w:fill="auto"/>
          </w:tcPr>
          <w:p w14:paraId="6C048053" w14:textId="0924E6EC" w:rsidR="00651777" w:rsidRPr="003266ED" w:rsidRDefault="00C0483E" w:rsidP="00235FEB">
            <w:pPr>
              <w:spacing w:before="480"/>
              <w:jc w:val="lef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583402">
              <w:rPr>
                <w:sz w:val="24"/>
                <w:szCs w:val="24"/>
                <w:lang w:val="en-GB"/>
              </w:rPr>
              <w:t>March</w:t>
            </w:r>
            <w:r w:rsidR="001352A9">
              <w:rPr>
                <w:sz w:val="24"/>
                <w:szCs w:val="24"/>
                <w:lang w:val="en-GB"/>
              </w:rPr>
              <w:t xml:space="preserve"> </w:t>
            </w:r>
            <w:r w:rsidR="00F15D95">
              <w:rPr>
                <w:sz w:val="24"/>
                <w:szCs w:val="24"/>
                <w:lang w:val="en-GB"/>
              </w:rPr>
              <w:t>201</w:t>
            </w:r>
            <w:r w:rsidR="00235FEB">
              <w:rPr>
                <w:sz w:val="24"/>
                <w:szCs w:val="24"/>
                <w:lang w:val="en-GB"/>
              </w:rPr>
              <w:t>6</w:t>
            </w:r>
          </w:p>
        </w:tc>
      </w:tr>
      <w:tr w:rsidR="0037309C" w:rsidRPr="003266ED" w14:paraId="7EAF7F77" w14:textId="77777777" w:rsidTr="003566EC">
        <w:tc>
          <w:tcPr>
            <w:tcW w:w="9781" w:type="dxa"/>
            <w:gridSpan w:val="3"/>
            <w:shd w:val="clear" w:color="auto" w:fill="auto"/>
          </w:tcPr>
          <w:p w14:paraId="59828184" w14:textId="77777777"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14:paraId="4F29B25A" w14:textId="77777777" w:rsidTr="003566EC">
        <w:tc>
          <w:tcPr>
            <w:tcW w:w="9781" w:type="dxa"/>
            <w:gridSpan w:val="3"/>
            <w:shd w:val="clear" w:color="auto" w:fill="auto"/>
          </w:tcPr>
          <w:p w14:paraId="2DB9E241" w14:textId="77777777" w:rsidR="0037309C" w:rsidRPr="003266ED" w:rsidRDefault="0037309C" w:rsidP="00A427B2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1FCDF2D5" w14:textId="77777777" w:rsidTr="003566EC">
        <w:tc>
          <w:tcPr>
            <w:tcW w:w="9781" w:type="dxa"/>
            <w:gridSpan w:val="3"/>
            <w:shd w:val="clear" w:color="auto" w:fill="auto"/>
          </w:tcPr>
          <w:p w14:paraId="0DABFF44" w14:textId="77777777" w:rsidR="0037309C" w:rsidRDefault="0037309C" w:rsidP="001352A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F15D95">
              <w:rPr>
                <w:b/>
                <w:bCs/>
                <w:sz w:val="24"/>
                <w:szCs w:val="24"/>
              </w:rPr>
              <w:t>ons of Member States of ITU</w:t>
            </w:r>
          </w:p>
          <w:p w14:paraId="1A6C7BA4" w14:textId="77777777"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4ED0154C" w14:textId="77777777"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14:paraId="2D509E6E" w14:textId="77777777" w:rsidTr="003566EC">
        <w:tc>
          <w:tcPr>
            <w:tcW w:w="9781" w:type="dxa"/>
            <w:gridSpan w:val="3"/>
            <w:shd w:val="clear" w:color="auto" w:fill="auto"/>
          </w:tcPr>
          <w:p w14:paraId="3AE99046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46AC03F4" w14:textId="77777777" w:rsidTr="003566EC">
        <w:tc>
          <w:tcPr>
            <w:tcW w:w="9781" w:type="dxa"/>
            <w:gridSpan w:val="3"/>
            <w:shd w:val="clear" w:color="auto" w:fill="auto"/>
          </w:tcPr>
          <w:p w14:paraId="08DAA301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14:paraId="62A0A4EC" w14:textId="77777777" w:rsidTr="003566EC">
        <w:tc>
          <w:tcPr>
            <w:tcW w:w="1526" w:type="dxa"/>
            <w:shd w:val="clear" w:color="auto" w:fill="auto"/>
          </w:tcPr>
          <w:p w14:paraId="50207005" w14:textId="77777777" w:rsidR="00B4054B" w:rsidRPr="00B90743" w:rsidRDefault="00B4054B" w:rsidP="00A427B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07765B7E" w14:textId="49978593" w:rsidR="00B4054B" w:rsidRPr="008D0297" w:rsidRDefault="00454C75" w:rsidP="00060D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ED68D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Draft Rule of Procedure concerning </w:t>
            </w:r>
            <w:r w:rsidR="005B0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the </w:t>
            </w:r>
            <w:r w:rsidR="00235FE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treatment of request for coordination or notification </w:t>
            </w:r>
            <w:r w:rsidR="00060DB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notices </w:t>
            </w:r>
            <w:r w:rsidR="00235FEB">
              <w:rPr>
                <w:rFonts w:asciiTheme="minorHAnsi" w:hAnsiTheme="minorHAnsi"/>
                <w:b/>
                <w:bCs/>
                <w:sz w:val="24"/>
                <w:szCs w:val="24"/>
              </w:rPr>
              <w:t>of satellite network</w:t>
            </w:r>
            <w:r w:rsidR="00321065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="00235FE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BE2F7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received </w:t>
            </w:r>
            <w:r w:rsidR="00235FEB">
              <w:rPr>
                <w:rFonts w:asciiTheme="minorHAnsi" w:hAnsiTheme="minorHAnsi"/>
                <w:b/>
                <w:bCs/>
                <w:sz w:val="24"/>
                <w:szCs w:val="24"/>
              </w:rPr>
              <w:t>prior to the entry into force of a WRC decision</w:t>
            </w:r>
          </w:p>
        </w:tc>
      </w:tr>
      <w:tr w:rsidR="00B4054B" w:rsidRPr="003266ED" w14:paraId="421142AD" w14:textId="77777777" w:rsidTr="003566EC">
        <w:tc>
          <w:tcPr>
            <w:tcW w:w="1526" w:type="dxa"/>
            <w:shd w:val="clear" w:color="auto" w:fill="auto"/>
          </w:tcPr>
          <w:p w14:paraId="47E3DBC2" w14:textId="77777777" w:rsidR="00B4054B" w:rsidRPr="003266ED" w:rsidRDefault="00B4054B" w:rsidP="00A427B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B727C25" w14:textId="77777777" w:rsidR="00B4054B" w:rsidRPr="003266ED" w:rsidRDefault="00B4054B" w:rsidP="00A427B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14:paraId="7BF1D3E2" w14:textId="77777777" w:rsidTr="003566EC">
        <w:tc>
          <w:tcPr>
            <w:tcW w:w="1526" w:type="dxa"/>
            <w:shd w:val="clear" w:color="auto" w:fill="auto"/>
          </w:tcPr>
          <w:p w14:paraId="2B37B945" w14:textId="77777777" w:rsidR="00B4054B" w:rsidRPr="003266ED" w:rsidRDefault="00B4054B" w:rsidP="00A427B2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3CB5E6A" w14:textId="77777777" w:rsidR="00B4054B" w:rsidRPr="003266ED" w:rsidRDefault="00B4054B" w:rsidP="00A427B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14:paraId="352C24EE" w14:textId="77777777" w:rsidTr="003566EC">
        <w:tc>
          <w:tcPr>
            <w:tcW w:w="9781" w:type="dxa"/>
            <w:gridSpan w:val="3"/>
            <w:shd w:val="clear" w:color="auto" w:fill="auto"/>
          </w:tcPr>
          <w:p w14:paraId="075A7AF8" w14:textId="77777777" w:rsidR="00C51E92" w:rsidRPr="0001052C" w:rsidRDefault="00C51E92" w:rsidP="00A427B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0A430E3F" w14:textId="77777777" w:rsidR="001432DE" w:rsidRDefault="001432DE" w:rsidP="00BB3C75">
      <w:pPr>
        <w:ind w:left="142"/>
        <w:rPr>
          <w:sz w:val="24"/>
          <w:szCs w:val="24"/>
          <w:lang w:eastAsia="zh-CN"/>
        </w:rPr>
      </w:pPr>
    </w:p>
    <w:p w14:paraId="23EDEBCF" w14:textId="7DFD8494" w:rsidR="00AB1340" w:rsidRDefault="005864A7" w:rsidP="00C0483E">
      <w:pPr>
        <w:spacing w:line="240" w:lineRule="auto"/>
        <w:ind w:left="142"/>
        <w:rPr>
          <w:sz w:val="24"/>
          <w:szCs w:val="24"/>
        </w:rPr>
      </w:pPr>
      <w:r w:rsidRPr="005864A7">
        <w:rPr>
          <w:sz w:val="24"/>
          <w:szCs w:val="24"/>
        </w:rPr>
        <w:t xml:space="preserve">Please find enclosed </w:t>
      </w:r>
      <w:r w:rsidR="00AB1340">
        <w:rPr>
          <w:sz w:val="24"/>
          <w:szCs w:val="24"/>
        </w:rPr>
        <w:t xml:space="preserve">a </w:t>
      </w:r>
      <w:r w:rsidRPr="005864A7">
        <w:rPr>
          <w:sz w:val="24"/>
          <w:szCs w:val="24"/>
        </w:rPr>
        <w:t xml:space="preserve">draft Rule of Procedure </w:t>
      </w:r>
      <w:r w:rsidR="003E54DE">
        <w:rPr>
          <w:sz w:val="24"/>
          <w:szCs w:val="24"/>
        </w:rPr>
        <w:t xml:space="preserve">on the </w:t>
      </w:r>
      <w:r w:rsidR="003E54DE" w:rsidRPr="003E54DE">
        <w:rPr>
          <w:sz w:val="24"/>
          <w:szCs w:val="24"/>
        </w:rPr>
        <w:t xml:space="preserve">treatment by the Radiocommunication Bureau of requests for coordination under Article </w:t>
      </w:r>
      <w:r w:rsidR="003E54DE" w:rsidRPr="002F1C4F">
        <w:rPr>
          <w:b/>
          <w:bCs/>
          <w:sz w:val="24"/>
          <w:szCs w:val="24"/>
        </w:rPr>
        <w:t>9</w:t>
      </w:r>
      <w:r w:rsidR="003E54DE" w:rsidRPr="003E54DE">
        <w:rPr>
          <w:sz w:val="24"/>
          <w:szCs w:val="24"/>
        </w:rPr>
        <w:t xml:space="preserve"> or notification under Article </w:t>
      </w:r>
      <w:r w:rsidR="003E54DE" w:rsidRPr="002F1C4F">
        <w:rPr>
          <w:b/>
          <w:bCs/>
          <w:sz w:val="24"/>
          <w:szCs w:val="24"/>
        </w:rPr>
        <w:t>11</w:t>
      </w:r>
      <w:r w:rsidR="003E54DE" w:rsidRPr="003E54DE">
        <w:rPr>
          <w:sz w:val="24"/>
          <w:szCs w:val="24"/>
        </w:rPr>
        <w:t xml:space="preserve"> of the Radio Regulations submitted to the Bureau as of the first day after a </w:t>
      </w:r>
      <w:r w:rsidR="00C0483E">
        <w:rPr>
          <w:sz w:val="24"/>
          <w:szCs w:val="24"/>
        </w:rPr>
        <w:t>World R</w:t>
      </w:r>
      <w:r w:rsidR="00E87542">
        <w:rPr>
          <w:sz w:val="24"/>
          <w:szCs w:val="24"/>
        </w:rPr>
        <w:t xml:space="preserve">adiocommunication </w:t>
      </w:r>
      <w:r w:rsidR="00C0483E">
        <w:rPr>
          <w:sz w:val="24"/>
          <w:szCs w:val="24"/>
        </w:rPr>
        <w:t>C</w:t>
      </w:r>
      <w:bookmarkStart w:id="0" w:name="_GoBack"/>
      <w:bookmarkEnd w:id="0"/>
      <w:r w:rsidR="00E87542">
        <w:rPr>
          <w:sz w:val="24"/>
          <w:szCs w:val="24"/>
        </w:rPr>
        <w:t>onference (</w:t>
      </w:r>
      <w:r w:rsidR="003E54DE" w:rsidRPr="003E54DE">
        <w:rPr>
          <w:sz w:val="24"/>
          <w:szCs w:val="24"/>
        </w:rPr>
        <w:t>WRC</w:t>
      </w:r>
      <w:r w:rsidR="00E87542">
        <w:rPr>
          <w:sz w:val="24"/>
          <w:szCs w:val="24"/>
        </w:rPr>
        <w:t>)</w:t>
      </w:r>
      <w:r w:rsidR="003E54DE" w:rsidRPr="003E54DE">
        <w:rPr>
          <w:sz w:val="24"/>
          <w:szCs w:val="24"/>
        </w:rPr>
        <w:t xml:space="preserve"> </w:t>
      </w:r>
      <w:r w:rsidR="003E54DE">
        <w:rPr>
          <w:sz w:val="24"/>
          <w:szCs w:val="24"/>
        </w:rPr>
        <w:t xml:space="preserve">but </w:t>
      </w:r>
      <w:r w:rsidR="003E54DE" w:rsidRPr="003E54DE">
        <w:rPr>
          <w:sz w:val="24"/>
          <w:szCs w:val="24"/>
        </w:rPr>
        <w:t>before the effective date of entry into force of the WRC new or update</w:t>
      </w:r>
      <w:r w:rsidR="003733D7">
        <w:rPr>
          <w:sz w:val="24"/>
          <w:szCs w:val="24"/>
        </w:rPr>
        <w:t>d</w:t>
      </w:r>
      <w:r w:rsidR="003E54DE" w:rsidRPr="003E54DE">
        <w:rPr>
          <w:sz w:val="24"/>
          <w:szCs w:val="24"/>
        </w:rPr>
        <w:t xml:space="preserve"> frequency allocations</w:t>
      </w:r>
      <w:r w:rsidRPr="005864A7">
        <w:rPr>
          <w:sz w:val="24"/>
          <w:szCs w:val="24"/>
        </w:rPr>
        <w:t xml:space="preserve">. </w:t>
      </w:r>
    </w:p>
    <w:p w14:paraId="2BC20973" w14:textId="257A27EF" w:rsidR="005864A7" w:rsidRPr="005864A7" w:rsidRDefault="00A018A7" w:rsidP="003733D7">
      <w:pPr>
        <w:spacing w:line="240" w:lineRule="auto"/>
        <w:ind w:left="142"/>
        <w:rPr>
          <w:sz w:val="24"/>
          <w:szCs w:val="24"/>
          <w:lang w:eastAsia="zh-CN"/>
        </w:rPr>
      </w:pPr>
      <w:r w:rsidRPr="00A018A7">
        <w:rPr>
          <w:sz w:val="24"/>
          <w:szCs w:val="24"/>
        </w:rPr>
        <w:t xml:space="preserve">This draft new Rule of Procedure has been developed </w:t>
      </w:r>
      <w:r w:rsidR="00BE2F7F">
        <w:rPr>
          <w:sz w:val="24"/>
          <w:szCs w:val="24"/>
        </w:rPr>
        <w:t xml:space="preserve">in accordance with </w:t>
      </w:r>
      <w:r w:rsidRPr="00A018A7">
        <w:rPr>
          <w:sz w:val="24"/>
          <w:szCs w:val="24"/>
        </w:rPr>
        <w:t xml:space="preserve">the </w:t>
      </w:r>
      <w:r w:rsidR="00BE2F7F">
        <w:rPr>
          <w:sz w:val="24"/>
          <w:szCs w:val="24"/>
        </w:rPr>
        <w:t>instruction</w:t>
      </w:r>
      <w:r w:rsidR="003733D7">
        <w:rPr>
          <w:sz w:val="24"/>
          <w:szCs w:val="24"/>
        </w:rPr>
        <w:t>s</w:t>
      </w:r>
      <w:r w:rsidR="00BE2F7F">
        <w:rPr>
          <w:sz w:val="24"/>
          <w:szCs w:val="24"/>
        </w:rPr>
        <w:t xml:space="preserve"> </w:t>
      </w:r>
      <w:r w:rsidR="003733D7">
        <w:rPr>
          <w:sz w:val="24"/>
          <w:szCs w:val="24"/>
        </w:rPr>
        <w:t xml:space="preserve">provided </w:t>
      </w:r>
      <w:r w:rsidR="00BE2F7F">
        <w:rPr>
          <w:sz w:val="24"/>
          <w:szCs w:val="24"/>
        </w:rPr>
        <w:t xml:space="preserve">by </w:t>
      </w:r>
      <w:r w:rsidRPr="00A018A7">
        <w:rPr>
          <w:sz w:val="24"/>
          <w:szCs w:val="24"/>
        </w:rPr>
        <w:t xml:space="preserve">the Radio Regulations Board </w:t>
      </w:r>
      <w:r w:rsidR="00E87542">
        <w:rPr>
          <w:sz w:val="24"/>
          <w:szCs w:val="24"/>
        </w:rPr>
        <w:t xml:space="preserve">(RRB) </w:t>
      </w:r>
      <w:r w:rsidRPr="00A018A7">
        <w:rPr>
          <w:sz w:val="24"/>
          <w:szCs w:val="24"/>
        </w:rPr>
        <w:t>at its 7</w:t>
      </w:r>
      <w:r w:rsidR="006F0B91">
        <w:rPr>
          <w:sz w:val="24"/>
          <w:szCs w:val="24"/>
        </w:rPr>
        <w:t>1</w:t>
      </w:r>
      <w:r w:rsidR="006F0B91" w:rsidRPr="006F0B91">
        <w:rPr>
          <w:sz w:val="24"/>
          <w:szCs w:val="24"/>
          <w:vertAlign w:val="superscript"/>
        </w:rPr>
        <w:t>st</w:t>
      </w:r>
      <w:r w:rsidR="006F0B91">
        <w:rPr>
          <w:sz w:val="24"/>
          <w:szCs w:val="24"/>
        </w:rPr>
        <w:t xml:space="preserve"> </w:t>
      </w:r>
      <w:r w:rsidRPr="00A018A7">
        <w:rPr>
          <w:sz w:val="24"/>
          <w:szCs w:val="24"/>
        </w:rPr>
        <w:t>meeting</w:t>
      </w:r>
      <w:r w:rsidR="00BE2F7F">
        <w:rPr>
          <w:sz w:val="24"/>
          <w:szCs w:val="24"/>
        </w:rPr>
        <w:t xml:space="preserve"> (</w:t>
      </w:r>
      <w:r w:rsidR="002F1C4F">
        <w:rPr>
          <w:sz w:val="24"/>
          <w:szCs w:val="24"/>
        </w:rPr>
        <w:t xml:space="preserve">see Document </w:t>
      </w:r>
      <w:hyperlink r:id="rId10" w:history="1">
        <w:r w:rsidR="00BE2F7F" w:rsidRPr="002F1C4F">
          <w:rPr>
            <w:rStyle w:val="Hyperlink"/>
            <w:sz w:val="24"/>
            <w:szCs w:val="24"/>
          </w:rPr>
          <w:t>RRB16-1/21</w:t>
        </w:r>
      </w:hyperlink>
      <w:r w:rsidR="00BE2F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51E0E2B" w14:textId="37491775" w:rsidR="00F235E6" w:rsidRDefault="005864A7" w:rsidP="002F1C4F">
      <w:pPr>
        <w:spacing w:line="240" w:lineRule="auto"/>
        <w:ind w:left="142"/>
        <w:rPr>
          <w:sz w:val="24"/>
          <w:szCs w:val="24"/>
        </w:rPr>
      </w:pPr>
      <w:r w:rsidRPr="005864A7">
        <w:rPr>
          <w:sz w:val="24"/>
          <w:szCs w:val="24"/>
        </w:rPr>
        <w:t xml:space="preserve">In accordance with No. </w:t>
      </w:r>
      <w:r w:rsidRPr="005864A7">
        <w:rPr>
          <w:b/>
          <w:bCs/>
          <w:sz w:val="24"/>
          <w:szCs w:val="24"/>
        </w:rPr>
        <w:t>13.17</w:t>
      </w:r>
      <w:r w:rsidRPr="005864A7">
        <w:rPr>
          <w:sz w:val="24"/>
          <w:szCs w:val="24"/>
        </w:rPr>
        <w:t xml:space="preserve"> of the Radio Regulations, th</w:t>
      </w:r>
      <w:r w:rsidR="00AB1340">
        <w:rPr>
          <w:sz w:val="24"/>
          <w:szCs w:val="24"/>
        </w:rPr>
        <w:t>is</w:t>
      </w:r>
      <w:r w:rsidRPr="005864A7">
        <w:rPr>
          <w:sz w:val="24"/>
          <w:szCs w:val="24"/>
        </w:rPr>
        <w:t xml:space="preserve"> draft Rule of Procedure </w:t>
      </w:r>
      <w:r w:rsidR="00AB1340">
        <w:rPr>
          <w:sz w:val="24"/>
          <w:szCs w:val="24"/>
        </w:rPr>
        <w:t>is</w:t>
      </w:r>
      <w:r w:rsidRPr="005864A7">
        <w:rPr>
          <w:sz w:val="24"/>
          <w:szCs w:val="24"/>
        </w:rPr>
        <w:t xml:space="preserve"> made available to administrations for comment</w:t>
      </w:r>
      <w:r w:rsidR="00655C23">
        <w:rPr>
          <w:sz w:val="24"/>
          <w:szCs w:val="24"/>
        </w:rPr>
        <w:t>s</w:t>
      </w:r>
      <w:r w:rsidRPr="005864A7">
        <w:rPr>
          <w:sz w:val="24"/>
          <w:szCs w:val="24"/>
        </w:rPr>
        <w:t xml:space="preserve"> before being submitted to the RRB pursuant to No. </w:t>
      </w:r>
      <w:r w:rsidRPr="005864A7">
        <w:rPr>
          <w:b/>
          <w:bCs/>
          <w:sz w:val="24"/>
          <w:szCs w:val="24"/>
        </w:rPr>
        <w:t>13.14</w:t>
      </w:r>
      <w:r w:rsidRPr="005864A7">
        <w:rPr>
          <w:sz w:val="24"/>
          <w:szCs w:val="24"/>
        </w:rPr>
        <w:t xml:space="preserve">. As indicated in No. </w:t>
      </w:r>
      <w:r w:rsidRPr="005864A7">
        <w:rPr>
          <w:b/>
          <w:bCs/>
          <w:sz w:val="24"/>
          <w:szCs w:val="24"/>
        </w:rPr>
        <w:t>13.12A</w:t>
      </w:r>
      <w:r w:rsidRPr="005864A7">
        <w:rPr>
          <w:sz w:val="24"/>
          <w:szCs w:val="24"/>
        </w:rPr>
        <w:t xml:space="preserve"> </w:t>
      </w:r>
      <w:r w:rsidRPr="005864A7">
        <w:rPr>
          <w:i/>
          <w:iCs/>
          <w:sz w:val="24"/>
          <w:szCs w:val="24"/>
        </w:rPr>
        <w:t>d)</w:t>
      </w:r>
      <w:r w:rsidRPr="005864A7">
        <w:rPr>
          <w:sz w:val="24"/>
          <w:szCs w:val="24"/>
        </w:rPr>
        <w:t xml:space="preserve"> of the Radio Regulations, any comments that you may wish to submit should reach the Bureau not later than </w:t>
      </w:r>
      <w:r w:rsidR="006F0B91">
        <w:rPr>
          <w:b/>
          <w:bCs/>
          <w:sz w:val="24"/>
          <w:szCs w:val="24"/>
        </w:rPr>
        <w:t>18 April</w:t>
      </w:r>
      <w:r w:rsidR="004C6A7C">
        <w:rPr>
          <w:b/>
          <w:bCs/>
          <w:sz w:val="24"/>
          <w:szCs w:val="24"/>
        </w:rPr>
        <w:t xml:space="preserve"> 2016</w:t>
      </w:r>
      <w:r w:rsidR="006D3416">
        <w:rPr>
          <w:sz w:val="24"/>
          <w:szCs w:val="24"/>
        </w:rPr>
        <w:t>,</w:t>
      </w:r>
      <w:r w:rsidR="00F235E6" w:rsidRPr="003D3732">
        <w:rPr>
          <w:sz w:val="24"/>
          <w:szCs w:val="24"/>
        </w:rPr>
        <w:t xml:space="preserve"> in or</w:t>
      </w:r>
      <w:r w:rsidR="00F235E6">
        <w:rPr>
          <w:sz w:val="24"/>
          <w:szCs w:val="24"/>
        </w:rPr>
        <w:t>der to be considered at the 7</w:t>
      </w:r>
      <w:r w:rsidR="006F0B91">
        <w:rPr>
          <w:sz w:val="24"/>
          <w:szCs w:val="24"/>
        </w:rPr>
        <w:t>2</w:t>
      </w:r>
      <w:r w:rsidR="006F0B91" w:rsidRPr="006F0B91">
        <w:rPr>
          <w:sz w:val="24"/>
          <w:szCs w:val="24"/>
          <w:vertAlign w:val="superscript"/>
        </w:rPr>
        <w:t>nd</w:t>
      </w:r>
      <w:r w:rsidR="006F0B91">
        <w:rPr>
          <w:sz w:val="24"/>
          <w:szCs w:val="24"/>
        </w:rPr>
        <w:t xml:space="preserve"> </w:t>
      </w:r>
      <w:r w:rsidR="00F235E6" w:rsidRPr="003D3732">
        <w:rPr>
          <w:sz w:val="24"/>
          <w:szCs w:val="24"/>
        </w:rPr>
        <w:t xml:space="preserve">meeting of the RRB, scheduled for </w:t>
      </w:r>
      <w:r w:rsidR="006F0B91">
        <w:rPr>
          <w:sz w:val="24"/>
          <w:szCs w:val="24"/>
        </w:rPr>
        <w:t xml:space="preserve">16 – </w:t>
      </w:r>
      <w:r w:rsidR="002F1C4F">
        <w:rPr>
          <w:sz w:val="24"/>
          <w:szCs w:val="24"/>
        </w:rPr>
        <w:t>2</w:t>
      </w:r>
      <w:r w:rsidR="006F0B91">
        <w:rPr>
          <w:sz w:val="24"/>
          <w:szCs w:val="24"/>
        </w:rPr>
        <w:t>0 May</w:t>
      </w:r>
      <w:r w:rsidR="006D3416">
        <w:rPr>
          <w:sz w:val="24"/>
          <w:szCs w:val="24"/>
        </w:rPr>
        <w:t xml:space="preserve"> </w:t>
      </w:r>
      <w:r w:rsidR="00F235E6">
        <w:rPr>
          <w:sz w:val="24"/>
          <w:szCs w:val="24"/>
        </w:rPr>
        <w:t>2016</w:t>
      </w:r>
      <w:r w:rsidR="00F235E6" w:rsidRPr="003D3732">
        <w:rPr>
          <w:sz w:val="24"/>
          <w:szCs w:val="24"/>
        </w:rPr>
        <w:t xml:space="preserve">. </w:t>
      </w:r>
      <w:r w:rsidR="00F235E6">
        <w:rPr>
          <w:sz w:val="24"/>
          <w:szCs w:val="24"/>
        </w:rPr>
        <w:t>C</w:t>
      </w:r>
      <w:r w:rsidR="00F235E6" w:rsidRPr="003D3732">
        <w:rPr>
          <w:sz w:val="24"/>
          <w:szCs w:val="24"/>
        </w:rPr>
        <w:t xml:space="preserve">omments should be sent </w:t>
      </w:r>
      <w:r w:rsidR="00F235E6">
        <w:rPr>
          <w:sz w:val="24"/>
          <w:szCs w:val="24"/>
        </w:rPr>
        <w:t>either by telefax to +41 22 730 5785 or by email to</w:t>
      </w:r>
      <w:r w:rsidR="00F235E6" w:rsidRPr="003D3732">
        <w:rPr>
          <w:sz w:val="24"/>
          <w:szCs w:val="24"/>
        </w:rPr>
        <w:t xml:space="preserve"> </w:t>
      </w:r>
      <w:hyperlink r:id="rId11" w:history="1">
        <w:r w:rsidR="00F235E6" w:rsidRPr="003D3732">
          <w:rPr>
            <w:color w:val="0000FF"/>
            <w:sz w:val="24"/>
            <w:szCs w:val="24"/>
            <w:u w:val="single"/>
          </w:rPr>
          <w:t>brmail@itu.int</w:t>
        </w:r>
      </w:hyperlink>
      <w:r w:rsidR="00F235E6" w:rsidRPr="003D3732">
        <w:rPr>
          <w:sz w:val="24"/>
          <w:szCs w:val="24"/>
        </w:rPr>
        <w:t>.</w:t>
      </w:r>
    </w:p>
    <w:p w14:paraId="36FC8458" w14:textId="77777777" w:rsidR="00D005CF" w:rsidRPr="00D005CF" w:rsidRDefault="00D005CF" w:rsidP="001432DE">
      <w:pPr>
        <w:ind w:left="142"/>
        <w:rPr>
          <w:sz w:val="24"/>
          <w:szCs w:val="24"/>
        </w:rPr>
      </w:pPr>
    </w:p>
    <w:p w14:paraId="682D0EAB" w14:textId="77777777" w:rsidR="003D3732" w:rsidRPr="00F15D95" w:rsidRDefault="003D3732" w:rsidP="001432D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2398AADD" w14:textId="77777777" w:rsidR="00031E64" w:rsidRPr="00733EA7" w:rsidRDefault="00031E64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François Rancy</w:t>
      </w:r>
    </w:p>
    <w:p w14:paraId="32DF939D" w14:textId="77777777" w:rsidR="00031E64" w:rsidRPr="00733EA7" w:rsidRDefault="00CE463D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sz w:val="24"/>
          <w:szCs w:val="24"/>
        </w:rPr>
        <w:t>Director</w:t>
      </w:r>
    </w:p>
    <w:p w14:paraId="1314FA83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14:paraId="2762C464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14:paraId="671BD600" w14:textId="77777777" w:rsidR="00A11D6F" w:rsidRDefault="007F484D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33EA7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>nnex:</w:t>
      </w:r>
      <w:r w:rsidR="00D005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72D6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53086012" w14:textId="77777777" w:rsidR="00D00DE8" w:rsidRDefault="00D00DE8" w:rsidP="001432DE">
      <w:pPr>
        <w:spacing w:before="0" w:line="240" w:lineRule="auto"/>
        <w:ind w:left="142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4CF26E31" w14:textId="4C2E6C76" w:rsidR="00DD4DC9" w:rsidRDefault="007F484D" w:rsidP="00D41171">
      <w:pPr>
        <w:pStyle w:val="AnnexNotitle0"/>
        <w:spacing w:before="0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733EA7">
        <w:rPr>
          <w:rFonts w:asciiTheme="minorHAnsi" w:hAnsiTheme="minorHAnsi" w:cstheme="minorHAnsi"/>
          <w:bCs/>
          <w:sz w:val="18"/>
          <w:szCs w:val="18"/>
        </w:rPr>
        <w:t xml:space="preserve">Distribution: </w:t>
      </w:r>
      <w:r w:rsidR="00A11D6F" w:rsidRPr="00733EA7">
        <w:rPr>
          <w:rFonts w:asciiTheme="minorHAnsi" w:hAnsiTheme="minorHAnsi" w:cstheme="minorHAnsi"/>
          <w:bCs/>
          <w:sz w:val="18"/>
          <w:szCs w:val="18"/>
        </w:rPr>
        <w:br/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>- Administration</w:t>
      </w:r>
      <w:r w:rsidR="001352A9">
        <w:rPr>
          <w:rFonts w:asciiTheme="minorHAnsi" w:hAnsiTheme="minorHAnsi" w:cstheme="minorHAnsi"/>
          <w:b w:val="0"/>
          <w:bCs/>
          <w:sz w:val="18"/>
          <w:szCs w:val="18"/>
        </w:rPr>
        <w:t>s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 xml:space="preserve"> of Member States of</w:t>
      </w:r>
      <w:r w:rsidR="001352A9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t>ITU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br/>
        <w:t>- Members of the Radio Regulations Board</w:t>
      </w:r>
      <w:r w:rsidR="00A11D6F" w:rsidRPr="007872D6">
        <w:rPr>
          <w:rFonts w:asciiTheme="minorHAnsi" w:hAnsiTheme="minorHAnsi" w:cstheme="minorHAnsi"/>
          <w:b w:val="0"/>
          <w:bCs/>
          <w:sz w:val="18"/>
          <w:szCs w:val="18"/>
        </w:rPr>
        <w:br/>
      </w:r>
      <w:r w:rsidR="000523A0">
        <w:rPr>
          <w:rFonts w:asciiTheme="minorHAnsi" w:hAnsiTheme="minorHAnsi" w:cstheme="minorHAnsi"/>
          <w:sz w:val="24"/>
          <w:szCs w:val="24"/>
        </w:rPr>
        <w:br w:type="page"/>
      </w:r>
    </w:p>
    <w:p w14:paraId="31EDB729" w14:textId="28FF24E3" w:rsidR="003D3732" w:rsidRPr="004A358B" w:rsidRDefault="004A358B" w:rsidP="004A358B">
      <w:pPr>
        <w:pStyle w:val="AnnexNo"/>
        <w:rPr>
          <w:rFonts w:asciiTheme="minorHAnsi" w:hAnsiTheme="minorHAnsi"/>
        </w:rPr>
      </w:pPr>
      <w:r w:rsidRPr="004A358B">
        <w:rPr>
          <w:rFonts w:asciiTheme="minorHAnsi" w:hAnsiTheme="minorHAnsi"/>
        </w:rPr>
        <w:lastRenderedPageBreak/>
        <w:t>Annex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9576"/>
      </w:tblGrid>
      <w:tr w:rsidR="00BC045C" w:rsidRPr="004A358B" w14:paraId="383A7AE5" w14:textId="77777777" w:rsidTr="005D3FE9">
        <w:tc>
          <w:tcPr>
            <w:tcW w:w="9576" w:type="dxa"/>
          </w:tcPr>
          <w:p w14:paraId="192EECAD" w14:textId="635AFB95" w:rsidR="00BC045C" w:rsidRPr="00583402" w:rsidRDefault="00583402" w:rsidP="00583402">
            <w:pPr>
              <w:tabs>
                <w:tab w:val="left" w:pos="3093"/>
                <w:tab w:val="center" w:pos="4680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3402">
              <w:rPr>
                <w:rFonts w:asciiTheme="minorHAnsi" w:hAnsiTheme="minorHAnsi"/>
                <w:b/>
                <w:bCs/>
                <w:sz w:val="28"/>
                <w:szCs w:val="28"/>
              </w:rPr>
              <w:t>Rules concerning</w:t>
            </w:r>
          </w:p>
        </w:tc>
      </w:tr>
    </w:tbl>
    <w:p w14:paraId="24F307A0" w14:textId="38510B95" w:rsidR="003E54DE" w:rsidRDefault="00BE2F7F" w:rsidP="003E54DE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</w:t>
      </w:r>
      <w:r w:rsidR="003E54DE" w:rsidRPr="003E54DE">
        <w:rPr>
          <w:rFonts w:asciiTheme="minorHAnsi" w:hAnsiTheme="minorHAnsi"/>
          <w:b/>
          <w:bCs/>
          <w:sz w:val="28"/>
          <w:szCs w:val="28"/>
        </w:rPr>
        <w:t xml:space="preserve">reatment by the Radiocommunication Bureau of requests for coordination under Article 9 or notification under Article 11 of the Radio Regulations submitted to the Bureau as of </w:t>
      </w:r>
      <w:r w:rsidR="003E54DE">
        <w:rPr>
          <w:rFonts w:asciiTheme="minorHAnsi" w:hAnsiTheme="minorHAnsi"/>
          <w:b/>
          <w:bCs/>
          <w:sz w:val="28"/>
          <w:szCs w:val="28"/>
        </w:rPr>
        <w:t xml:space="preserve">the first day after a WRC </w:t>
      </w:r>
      <w:r w:rsidR="00176862">
        <w:rPr>
          <w:rFonts w:asciiTheme="minorHAnsi" w:hAnsiTheme="minorHAnsi"/>
          <w:b/>
          <w:bCs/>
          <w:sz w:val="28"/>
          <w:szCs w:val="28"/>
        </w:rPr>
        <w:t xml:space="preserve">but </w:t>
      </w:r>
      <w:r w:rsidR="003E54DE" w:rsidRPr="003E54DE">
        <w:rPr>
          <w:rFonts w:asciiTheme="minorHAnsi" w:hAnsiTheme="minorHAnsi"/>
          <w:b/>
          <w:bCs/>
          <w:sz w:val="28"/>
          <w:szCs w:val="28"/>
        </w:rPr>
        <w:t xml:space="preserve">before the effective date of entry into force of </w:t>
      </w:r>
      <w:r w:rsidR="003E54DE">
        <w:rPr>
          <w:rFonts w:asciiTheme="minorHAnsi" w:hAnsiTheme="minorHAnsi"/>
          <w:b/>
          <w:bCs/>
          <w:sz w:val="28"/>
          <w:szCs w:val="28"/>
        </w:rPr>
        <w:t xml:space="preserve">the WRC </w:t>
      </w:r>
      <w:r w:rsidR="003E54DE" w:rsidRPr="003E54DE">
        <w:rPr>
          <w:rFonts w:asciiTheme="minorHAnsi" w:hAnsiTheme="minorHAnsi"/>
          <w:b/>
          <w:bCs/>
          <w:sz w:val="28"/>
          <w:szCs w:val="28"/>
        </w:rPr>
        <w:t>new or update</w:t>
      </w:r>
      <w:r>
        <w:rPr>
          <w:rFonts w:asciiTheme="minorHAnsi" w:hAnsiTheme="minorHAnsi"/>
          <w:b/>
          <w:bCs/>
          <w:sz w:val="28"/>
          <w:szCs w:val="28"/>
        </w:rPr>
        <w:t>d</w:t>
      </w:r>
      <w:r w:rsidR="003E54DE" w:rsidRPr="003E54DE">
        <w:rPr>
          <w:rFonts w:asciiTheme="minorHAnsi" w:hAnsiTheme="minorHAnsi"/>
          <w:b/>
          <w:bCs/>
          <w:sz w:val="28"/>
          <w:szCs w:val="28"/>
        </w:rPr>
        <w:t xml:space="preserve"> frequency allocations</w:t>
      </w:r>
    </w:p>
    <w:p w14:paraId="13C3BF3B" w14:textId="77777777" w:rsidR="003E54DE" w:rsidRDefault="003E54DE" w:rsidP="003E54DE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14FFBD8" w14:textId="19EA54F8" w:rsidR="00F4307A" w:rsidRPr="00341DC2" w:rsidRDefault="00F4307A" w:rsidP="008D1441">
      <w:pPr>
        <w:tabs>
          <w:tab w:val="left" w:pos="720"/>
        </w:tabs>
        <w:overflowPunct/>
      </w:pPr>
      <w:r w:rsidRPr="00341DC2">
        <w:t xml:space="preserve">For a coordination request or notification notice including </w:t>
      </w:r>
      <w:r w:rsidR="002C664F">
        <w:t xml:space="preserve">a frequency assignment under </w:t>
      </w:r>
      <w:r w:rsidRPr="00341DC2">
        <w:t>a new or update</w:t>
      </w:r>
      <w:r w:rsidR="00BE2F7F">
        <w:t>d</w:t>
      </w:r>
      <w:r w:rsidRPr="00341DC2">
        <w:t xml:space="preserve"> allocation </w:t>
      </w:r>
      <w:r>
        <w:t xml:space="preserve">adopted by </w:t>
      </w:r>
      <w:r w:rsidR="00176862">
        <w:t xml:space="preserve">a </w:t>
      </w:r>
      <w:r>
        <w:t>WRC</w:t>
      </w:r>
      <w:r w:rsidR="00176862">
        <w:t xml:space="preserve"> </w:t>
      </w:r>
      <w:r w:rsidRPr="00341DC2">
        <w:t xml:space="preserve">and received by the Bureau as of </w:t>
      </w:r>
      <w:r w:rsidR="00176862">
        <w:t>the first day after the Conference</w:t>
      </w:r>
      <w:r w:rsidRPr="00341DC2">
        <w:t xml:space="preserve">, the conformity of the frequency assignments, with the Table of Frequency Allocations </w:t>
      </w:r>
      <w:r w:rsidR="00176862">
        <w:t>is</w:t>
      </w:r>
      <w:r w:rsidRPr="00341DC2">
        <w:t xml:space="preserve"> considered through the examinations under No. </w:t>
      </w:r>
      <w:r w:rsidRPr="004D46A3">
        <w:rPr>
          <w:b/>
          <w:bCs/>
        </w:rPr>
        <w:t>9.35</w:t>
      </w:r>
      <w:r w:rsidRPr="00341DC2">
        <w:t xml:space="preserve"> (with respect to the conform</w:t>
      </w:r>
      <w:r>
        <w:t xml:space="preserve">ity with No. </w:t>
      </w:r>
      <w:r w:rsidRPr="004D46A3">
        <w:rPr>
          <w:b/>
          <w:bCs/>
        </w:rPr>
        <w:t>11.31</w:t>
      </w:r>
      <w:r>
        <w:t xml:space="preserve">) or No. </w:t>
      </w:r>
      <w:r w:rsidRPr="004D46A3">
        <w:rPr>
          <w:b/>
          <w:bCs/>
        </w:rPr>
        <w:t>11.31</w:t>
      </w:r>
      <w:r w:rsidR="00321065">
        <w:t>, as appropriate,</w:t>
      </w:r>
      <w:r>
        <w:t xml:space="preserve"> and the F</w:t>
      </w:r>
      <w:r w:rsidRPr="00341DC2">
        <w:t xml:space="preserve">indings of the Bureau </w:t>
      </w:r>
      <w:r w:rsidR="00176862">
        <w:t>will</w:t>
      </w:r>
      <w:r w:rsidRPr="00341DC2">
        <w:t xml:space="preserve"> reflect the status of the </w:t>
      </w:r>
      <w:r w:rsidR="008D1441">
        <w:t xml:space="preserve">frequency </w:t>
      </w:r>
      <w:r w:rsidRPr="00341DC2">
        <w:t xml:space="preserve">assignment with respect to the </w:t>
      </w:r>
      <w:r w:rsidR="002C664F">
        <w:t xml:space="preserve">conformity with </w:t>
      </w:r>
      <w:r w:rsidR="008D1441">
        <w:t xml:space="preserve">the </w:t>
      </w:r>
      <w:r w:rsidR="008D1441" w:rsidRPr="008D1441">
        <w:t>Table of Frequency Allocations</w:t>
      </w:r>
      <w:r w:rsidR="00176862">
        <w:t>. The Board decided that the following</w:t>
      </w:r>
      <w:r w:rsidRPr="00341DC2">
        <w:t xml:space="preserve"> </w:t>
      </w:r>
      <w:r w:rsidR="00176862">
        <w:t xml:space="preserve">categories of the No. </w:t>
      </w:r>
      <w:r w:rsidR="00176862" w:rsidRPr="00176862">
        <w:rPr>
          <w:b/>
          <w:bCs/>
        </w:rPr>
        <w:t>11.31</w:t>
      </w:r>
      <w:r w:rsidR="00176862">
        <w:t xml:space="preserve"> Finding shall be formulated </w:t>
      </w:r>
      <w:r w:rsidR="002C664F">
        <w:t xml:space="preserve">according to </w:t>
      </w:r>
      <w:r w:rsidR="00176862">
        <w:t>the date</w:t>
      </w:r>
      <w:r w:rsidR="00EA2A8C">
        <w:t>s</w:t>
      </w:r>
      <w:r w:rsidR="00176862">
        <w:t xml:space="preserve"> </w:t>
      </w:r>
      <w:r w:rsidR="002C664F">
        <w:t xml:space="preserve">of receipt of </w:t>
      </w:r>
      <w:r w:rsidR="003733D7">
        <w:t xml:space="preserve">the </w:t>
      </w:r>
      <w:r w:rsidR="00176862">
        <w:t>concerned</w:t>
      </w:r>
      <w:r w:rsidR="002C664F">
        <w:t xml:space="preserve"> request</w:t>
      </w:r>
      <w:r w:rsidR="003733D7">
        <w:t xml:space="preserve"> for coordination or notification</w:t>
      </w:r>
      <w:r w:rsidR="002C664F">
        <w:t xml:space="preserve"> notice</w:t>
      </w:r>
      <w:r w:rsidR="00EA2A8C">
        <w:t xml:space="preserve"> and the dates of bringing the frequency assignment into use</w:t>
      </w:r>
      <w:r w:rsidR="00176862">
        <w:t>:</w:t>
      </w:r>
      <w:r w:rsidRPr="00341DC2">
        <w:t xml:space="preserve"> </w:t>
      </w:r>
    </w:p>
    <w:p w14:paraId="047D6D75" w14:textId="104B750A" w:rsidR="00F4307A" w:rsidRPr="00341DC2" w:rsidRDefault="00F4307A" w:rsidP="005B08BB">
      <w:pPr>
        <w:tabs>
          <w:tab w:val="left" w:pos="720"/>
        </w:tabs>
        <w:overflowPunct/>
      </w:pPr>
      <w:r w:rsidRPr="00341DC2">
        <w:t>a)</w:t>
      </w:r>
      <w:r w:rsidRPr="00341DC2">
        <w:tab/>
        <w:t xml:space="preserve">the Finding </w:t>
      </w:r>
      <w:r w:rsidR="00176862">
        <w:t>is</w:t>
      </w:r>
      <w:r w:rsidRPr="00341DC2">
        <w:t xml:space="preserve"> favourable if, at the date of receipt by the Bureau of the coordination request or notification </w:t>
      </w:r>
      <w:r w:rsidR="00060DB2">
        <w:t>notice</w:t>
      </w:r>
      <w:r w:rsidRPr="00341DC2">
        <w:t xml:space="preserve">, the </w:t>
      </w:r>
      <w:r w:rsidR="003733D7">
        <w:t xml:space="preserve">frequency </w:t>
      </w:r>
      <w:r w:rsidRPr="00341DC2">
        <w:t xml:space="preserve">allocation concerned </w:t>
      </w:r>
      <w:r w:rsidR="003733D7">
        <w:t>is</w:t>
      </w:r>
      <w:r w:rsidRPr="00341DC2">
        <w:t xml:space="preserve"> in force;</w:t>
      </w:r>
    </w:p>
    <w:p w14:paraId="5ADCC8C4" w14:textId="616AB699" w:rsidR="00F4307A" w:rsidRPr="00341DC2" w:rsidRDefault="00F4307A" w:rsidP="005B08BB">
      <w:pPr>
        <w:tabs>
          <w:tab w:val="left" w:pos="720"/>
        </w:tabs>
        <w:overflowPunct/>
      </w:pPr>
      <w:r w:rsidRPr="00341DC2">
        <w:t>b)</w:t>
      </w:r>
      <w:r w:rsidRPr="00341DC2">
        <w:tab/>
        <w:t xml:space="preserve">the Finding </w:t>
      </w:r>
      <w:r w:rsidR="00176862">
        <w:t>is</w:t>
      </w:r>
      <w:r w:rsidRPr="00341DC2">
        <w:t xml:space="preserve"> unfavourable if, at the date of receipt by the Bureau of the coordination request or notification </w:t>
      </w:r>
      <w:r w:rsidR="00060DB2">
        <w:t>notice</w:t>
      </w:r>
      <w:r w:rsidRPr="00341DC2">
        <w:t xml:space="preserve">, the </w:t>
      </w:r>
      <w:r w:rsidR="003733D7">
        <w:t xml:space="preserve">frequency </w:t>
      </w:r>
      <w:r w:rsidRPr="00341DC2">
        <w:t xml:space="preserve">allocation concerned </w:t>
      </w:r>
      <w:r>
        <w:t>has not</w:t>
      </w:r>
      <w:r w:rsidR="008D1441">
        <w:t xml:space="preserve"> yet</w:t>
      </w:r>
      <w:r>
        <w:t xml:space="preserve"> been</w:t>
      </w:r>
      <w:r w:rsidR="003733D7">
        <w:t xml:space="preserve"> </w:t>
      </w:r>
      <w:r>
        <w:t>adopted by the conference</w:t>
      </w:r>
      <w:r w:rsidRPr="00341DC2">
        <w:t>;</w:t>
      </w:r>
    </w:p>
    <w:p w14:paraId="630EE7EF" w14:textId="241EF047" w:rsidR="00F4307A" w:rsidRDefault="00F4307A" w:rsidP="005B08BB">
      <w:pPr>
        <w:tabs>
          <w:tab w:val="left" w:pos="720"/>
        </w:tabs>
        <w:overflowPunct/>
      </w:pPr>
      <w:r w:rsidRPr="00341DC2">
        <w:t>c)</w:t>
      </w:r>
      <w:r w:rsidRPr="00341DC2">
        <w:tab/>
        <w:t xml:space="preserve">the Finding </w:t>
      </w:r>
      <w:r w:rsidR="00176862">
        <w:t>is</w:t>
      </w:r>
      <w:r w:rsidRPr="00341DC2">
        <w:t xml:space="preserve"> “qualified favourable” if, at the date of receipt by the Bureau of the coordination request or notification information, the </w:t>
      </w:r>
      <w:r w:rsidR="003733D7">
        <w:t xml:space="preserve">frequency </w:t>
      </w:r>
      <w:r w:rsidRPr="00341DC2">
        <w:t>allocation concerned</w:t>
      </w:r>
      <w:r>
        <w:t xml:space="preserve"> ha</w:t>
      </w:r>
      <w:r w:rsidR="00EA2A8C">
        <w:t>s</w:t>
      </w:r>
      <w:r>
        <w:t xml:space="preserve"> been adopted by the conference </w:t>
      </w:r>
      <w:r w:rsidR="008D1441">
        <w:t>but</w:t>
      </w:r>
      <w:r w:rsidRPr="00341DC2">
        <w:t xml:space="preserve"> </w:t>
      </w:r>
      <w:r w:rsidR="002B6D83">
        <w:t>is</w:t>
      </w:r>
      <w:r w:rsidR="002B6D83" w:rsidRPr="00341DC2">
        <w:t xml:space="preserve"> </w:t>
      </w:r>
      <w:r w:rsidRPr="00341DC2">
        <w:t xml:space="preserve">not </w:t>
      </w:r>
      <w:r w:rsidR="002B6D83">
        <w:t xml:space="preserve">yet </w:t>
      </w:r>
      <w:r w:rsidRPr="00341DC2">
        <w:t xml:space="preserve">in force . This Finding will permit a network subject to coordination procedure under Section II of Article 9 to coordinate its assignments and to be taken into account in the application of No. </w:t>
      </w:r>
      <w:r w:rsidRPr="004D46A3">
        <w:rPr>
          <w:b/>
          <w:bCs/>
        </w:rPr>
        <w:t>9.27</w:t>
      </w:r>
      <w:r w:rsidRPr="00341DC2">
        <w:t xml:space="preserve">, and for a network not subject to Section II of Article 9 to be processed under No. </w:t>
      </w:r>
      <w:r w:rsidRPr="004D46A3">
        <w:rPr>
          <w:b/>
          <w:bCs/>
        </w:rPr>
        <w:t>11.36</w:t>
      </w:r>
      <w:r w:rsidRPr="00341DC2">
        <w:t>.</w:t>
      </w:r>
    </w:p>
    <w:p w14:paraId="6F44E2F3" w14:textId="19E2D9CB" w:rsidR="00EA2A8C" w:rsidRDefault="00EA2A8C" w:rsidP="005B08BB">
      <w:pPr>
        <w:spacing w:line="240" w:lineRule="auto"/>
      </w:pPr>
      <w:r>
        <w:t>d)</w:t>
      </w:r>
      <w:r>
        <w:tab/>
      </w:r>
      <w:r w:rsidRPr="00341DC2">
        <w:t xml:space="preserve">the </w:t>
      </w:r>
      <w:r>
        <w:t xml:space="preserve">“qualified favourable” </w:t>
      </w:r>
      <w:r w:rsidRPr="00341DC2">
        <w:t>Finding will become favourable a</w:t>
      </w:r>
      <w:r>
        <w:t>fter</w:t>
      </w:r>
      <w:r w:rsidRPr="00341DC2">
        <w:t xml:space="preserve"> the date of coming into force of the </w:t>
      </w:r>
      <w:r w:rsidR="003733D7">
        <w:t xml:space="preserve">frequency </w:t>
      </w:r>
      <w:r w:rsidRPr="00341DC2">
        <w:t>allocation</w:t>
      </w:r>
      <w:r w:rsidRPr="005D3F9B">
        <w:t xml:space="preserve"> </w:t>
      </w:r>
      <w:r>
        <w:t xml:space="preserve">and </w:t>
      </w:r>
      <w:r w:rsidR="003733D7">
        <w:t>upon</w:t>
      </w:r>
      <w:r>
        <w:t xml:space="preserve"> confirm</w:t>
      </w:r>
      <w:r w:rsidR="003733D7">
        <w:t>ation</w:t>
      </w:r>
      <w:r>
        <w:t xml:space="preserve"> that the date of bringing the </w:t>
      </w:r>
      <w:r w:rsidR="003733D7">
        <w:t xml:space="preserve">frequency </w:t>
      </w:r>
      <w:r>
        <w:t>assignment into use is actually after the date</w:t>
      </w:r>
      <w:r w:rsidR="002B6D83">
        <w:t xml:space="preserve"> of </w:t>
      </w:r>
      <w:r w:rsidR="003733D7">
        <w:t>entry into force of the</w:t>
      </w:r>
      <w:r>
        <w:t xml:space="preserve"> </w:t>
      </w:r>
      <w:r w:rsidR="002B6D83">
        <w:t xml:space="preserve">subject </w:t>
      </w:r>
      <w:r w:rsidR="003733D7">
        <w:t xml:space="preserve">frequency </w:t>
      </w:r>
      <w:r>
        <w:t xml:space="preserve">allocation. Otherwise </w:t>
      </w:r>
      <w:r w:rsidR="003733D7">
        <w:t>the finding will</w:t>
      </w:r>
      <w:r>
        <w:t xml:space="preserve"> become unfavourable.</w:t>
      </w:r>
    </w:p>
    <w:p w14:paraId="578BE418" w14:textId="07A7525F" w:rsidR="003E54DE" w:rsidRDefault="00381690" w:rsidP="005B08BB">
      <w:pPr>
        <w:spacing w:line="240" w:lineRule="auto"/>
        <w:rPr>
          <w:rFonts w:asciiTheme="minorHAnsi" w:hAnsiTheme="minorHAnsi"/>
          <w:b/>
          <w:bCs/>
          <w:sz w:val="28"/>
          <w:szCs w:val="28"/>
        </w:rPr>
      </w:pPr>
      <w:r>
        <w:t xml:space="preserve">Except for examination of conformity with the </w:t>
      </w:r>
      <w:r w:rsidR="003733D7">
        <w:t xml:space="preserve">frequency </w:t>
      </w:r>
      <w:r>
        <w:t>allocation mentioned above, t</w:t>
      </w:r>
      <w:r w:rsidR="00F4307A" w:rsidRPr="00A77F49">
        <w:t xml:space="preserve">he </w:t>
      </w:r>
      <w:r w:rsidR="008D1441">
        <w:t xml:space="preserve">concerned </w:t>
      </w:r>
      <w:r>
        <w:t>requests</w:t>
      </w:r>
      <w:r w:rsidR="008D1441">
        <w:t xml:space="preserve"> for coordination</w:t>
      </w:r>
      <w:r>
        <w:t xml:space="preserve"> and </w:t>
      </w:r>
      <w:r w:rsidR="008D1441">
        <w:t xml:space="preserve">notification </w:t>
      </w:r>
      <w:r w:rsidR="00F4307A" w:rsidRPr="00A77F49">
        <w:t>notice</w:t>
      </w:r>
      <w:r>
        <w:t>s</w:t>
      </w:r>
      <w:r w:rsidR="00F4307A">
        <w:t xml:space="preserve"> </w:t>
      </w:r>
      <w:r>
        <w:t xml:space="preserve">shall </w:t>
      </w:r>
      <w:r w:rsidR="008D1441">
        <w:t>be examined</w:t>
      </w:r>
      <w:r w:rsidR="00F4307A" w:rsidRPr="00A77F49">
        <w:t xml:space="preserve"> </w:t>
      </w:r>
      <w:r>
        <w:t xml:space="preserve">under </w:t>
      </w:r>
      <w:r w:rsidR="008D1441">
        <w:t xml:space="preserve">No. </w:t>
      </w:r>
      <w:r w:rsidRPr="008D1441">
        <w:rPr>
          <w:b/>
          <w:bCs/>
        </w:rPr>
        <w:t>9.36</w:t>
      </w:r>
      <w:r>
        <w:t xml:space="preserve"> and </w:t>
      </w:r>
      <w:r w:rsidR="00F4307A" w:rsidRPr="00A77F49">
        <w:t xml:space="preserve">with respect to conformity with No. </w:t>
      </w:r>
      <w:r w:rsidR="00F4307A" w:rsidRPr="004D46A3">
        <w:rPr>
          <w:b/>
          <w:bCs/>
        </w:rPr>
        <w:t>11.31</w:t>
      </w:r>
      <w:r w:rsidR="00F4307A" w:rsidRPr="00A77F49">
        <w:t xml:space="preserve"> and No. </w:t>
      </w:r>
      <w:r w:rsidR="00F4307A" w:rsidRPr="004D46A3">
        <w:rPr>
          <w:b/>
          <w:bCs/>
        </w:rPr>
        <w:t>11.32</w:t>
      </w:r>
      <w:r w:rsidR="00F4307A" w:rsidRPr="00A77F49">
        <w:t xml:space="preserve"> </w:t>
      </w:r>
      <w:r>
        <w:t xml:space="preserve">using the conditions </w:t>
      </w:r>
      <w:r w:rsidR="00F4307A">
        <w:t>a</w:t>
      </w:r>
      <w:r w:rsidR="00F4307A" w:rsidRPr="00A77F49">
        <w:t xml:space="preserve">pplying to </w:t>
      </w:r>
      <w:r w:rsidR="00F4307A">
        <w:t xml:space="preserve">the </w:t>
      </w:r>
      <w:r w:rsidR="00F4307A" w:rsidRPr="00805CE7">
        <w:t xml:space="preserve">new or </w:t>
      </w:r>
      <w:r w:rsidR="008D1441" w:rsidRPr="00805CE7">
        <w:t>update</w:t>
      </w:r>
      <w:r w:rsidR="008D1441">
        <w:t xml:space="preserve"> frequency</w:t>
      </w:r>
      <w:r w:rsidR="00F4307A" w:rsidRPr="00805CE7">
        <w:t xml:space="preserve"> allocation</w:t>
      </w:r>
      <w:r w:rsidR="00F4307A" w:rsidRPr="00A77F49">
        <w:t xml:space="preserve"> </w:t>
      </w:r>
      <w:r>
        <w:t xml:space="preserve">on the date </w:t>
      </w:r>
      <w:r w:rsidR="002B6D83">
        <w:t xml:space="preserve">of entry </w:t>
      </w:r>
      <w:r>
        <w:t>in</w:t>
      </w:r>
      <w:r w:rsidR="002B6D83">
        <w:t>to</w:t>
      </w:r>
      <w:r w:rsidR="00AA3979">
        <w:t xml:space="preserve"> force of this</w:t>
      </w:r>
      <w:r>
        <w:t xml:space="preserve"> allocation </w:t>
      </w:r>
      <w:r w:rsidR="00F4307A" w:rsidRPr="00A77F49">
        <w:t xml:space="preserve">as </w:t>
      </w:r>
      <w:r w:rsidR="00F4307A">
        <w:t>adopted</w:t>
      </w:r>
      <w:r w:rsidR="00F4307A" w:rsidRPr="00A77F49">
        <w:t xml:space="preserve"> by </w:t>
      </w:r>
      <w:r w:rsidR="00A4603D">
        <w:t>the WRC (e.g. power limits, coordination criteria…).</w:t>
      </w:r>
    </w:p>
    <w:p w14:paraId="76205605" w14:textId="77777777" w:rsidR="00321065" w:rsidRDefault="00321065" w:rsidP="00321065">
      <w:pPr>
        <w:spacing w:after="120"/>
        <w:rPr>
          <w:rFonts w:asciiTheme="minorHAnsi" w:hAnsiTheme="minorHAnsi"/>
          <w:b/>
          <w:bCs/>
          <w:i/>
          <w:iCs/>
          <w:lang w:eastAsia="zh-CN"/>
        </w:rPr>
      </w:pPr>
    </w:p>
    <w:p w14:paraId="2CF62B19" w14:textId="39A47B70" w:rsidR="00321065" w:rsidRPr="00321065" w:rsidRDefault="00321065" w:rsidP="00321065">
      <w:pPr>
        <w:spacing w:after="120"/>
        <w:rPr>
          <w:rFonts w:asciiTheme="minorHAnsi" w:hAnsiTheme="minorHAnsi"/>
          <w:i/>
          <w:iCs/>
          <w:lang w:eastAsia="zh-CN"/>
        </w:rPr>
      </w:pPr>
      <w:r w:rsidRPr="00321065">
        <w:rPr>
          <w:rFonts w:asciiTheme="minorHAnsi" w:hAnsiTheme="minorHAnsi"/>
          <w:b/>
          <w:bCs/>
          <w:i/>
          <w:iCs/>
          <w:lang w:eastAsia="zh-CN"/>
        </w:rPr>
        <w:t>Reason</w:t>
      </w:r>
      <w:r w:rsidRPr="00321065">
        <w:rPr>
          <w:rFonts w:asciiTheme="minorHAnsi" w:hAnsiTheme="minorHAnsi"/>
          <w:i/>
          <w:iCs/>
          <w:lang w:eastAsia="zh-CN"/>
        </w:rPr>
        <w:t>: At its 71</w:t>
      </w:r>
      <w:r w:rsidRPr="00321065">
        <w:rPr>
          <w:rFonts w:asciiTheme="minorHAnsi" w:hAnsiTheme="minorHAnsi"/>
          <w:i/>
          <w:iCs/>
          <w:vertAlign w:val="superscript"/>
          <w:lang w:eastAsia="zh-CN"/>
        </w:rPr>
        <w:t>st</w:t>
      </w:r>
      <w:r w:rsidRPr="00321065">
        <w:rPr>
          <w:rFonts w:asciiTheme="minorHAnsi" w:hAnsiTheme="minorHAnsi"/>
          <w:i/>
          <w:iCs/>
          <w:lang w:eastAsia="zh-CN"/>
        </w:rPr>
        <w:t xml:space="preserve"> meeting, </w:t>
      </w:r>
      <w:r>
        <w:rPr>
          <w:rFonts w:asciiTheme="minorHAnsi" w:hAnsiTheme="minorHAnsi" w:cstheme="majorBidi"/>
          <w:i/>
          <w:iCs/>
          <w:color w:val="000000"/>
        </w:rPr>
        <w:t>the Board decided t</w:t>
      </w:r>
      <w:r w:rsidRPr="00321065">
        <w:rPr>
          <w:rFonts w:asciiTheme="minorHAnsi" w:hAnsiTheme="minorHAnsi" w:cstheme="majorBidi"/>
          <w:i/>
          <w:iCs/>
          <w:color w:val="000000"/>
        </w:rPr>
        <w:t>o instruct the BR to develop a draft new ROP for the receivability of filings submitted to the BR before the effective date of entry into force of a frequency allocation after the adoption of a decision of a</w:t>
      </w:r>
      <w:r>
        <w:rPr>
          <w:rFonts w:asciiTheme="minorHAnsi" w:hAnsiTheme="minorHAnsi" w:cstheme="majorBidi"/>
          <w:i/>
          <w:iCs/>
          <w:color w:val="000000"/>
        </w:rPr>
        <w:t xml:space="preserve"> WRC, </w:t>
      </w:r>
      <w:r w:rsidRPr="00321065">
        <w:rPr>
          <w:rFonts w:asciiTheme="minorHAnsi" w:hAnsiTheme="minorHAnsi" w:cstheme="majorBidi"/>
          <w:i/>
          <w:iCs/>
          <w:color w:val="000000"/>
        </w:rPr>
        <w:t xml:space="preserve">based on current practice as outlined in Annex 1 to Document RRB16-1/4 and </w:t>
      </w:r>
      <w:r>
        <w:rPr>
          <w:rFonts w:asciiTheme="minorHAnsi" w:hAnsiTheme="minorHAnsi" w:cstheme="majorBidi"/>
          <w:i/>
          <w:iCs/>
          <w:color w:val="000000"/>
        </w:rPr>
        <w:t xml:space="preserve">to </w:t>
      </w:r>
      <w:r w:rsidRPr="00321065">
        <w:rPr>
          <w:rFonts w:asciiTheme="minorHAnsi" w:hAnsiTheme="minorHAnsi" w:cstheme="majorBidi"/>
          <w:i/>
          <w:iCs/>
          <w:color w:val="000000"/>
        </w:rPr>
        <w:t>be considered for adoption at the Board’s 72</w:t>
      </w:r>
      <w:r w:rsidRPr="00321065">
        <w:rPr>
          <w:rFonts w:asciiTheme="minorHAnsi" w:hAnsiTheme="minorHAnsi" w:cstheme="majorBidi"/>
          <w:i/>
          <w:iCs/>
          <w:color w:val="000000"/>
          <w:vertAlign w:val="superscript"/>
        </w:rPr>
        <w:t>nd</w:t>
      </w:r>
      <w:r w:rsidRPr="00321065">
        <w:rPr>
          <w:rFonts w:asciiTheme="minorHAnsi" w:hAnsiTheme="minorHAnsi" w:cstheme="majorBidi"/>
          <w:i/>
          <w:iCs/>
          <w:color w:val="000000"/>
        </w:rPr>
        <w:t xml:space="preserve"> meeting.</w:t>
      </w:r>
    </w:p>
    <w:p w14:paraId="1EA9396B" w14:textId="77777777" w:rsidR="00321065" w:rsidRPr="00321065" w:rsidRDefault="00321065" w:rsidP="00321065">
      <w:pPr>
        <w:pStyle w:val="Heading8"/>
        <w:spacing w:before="0"/>
        <w:ind w:left="0" w:firstLine="0"/>
        <w:rPr>
          <w:rFonts w:asciiTheme="minorHAnsi" w:hAnsiTheme="minorHAnsi"/>
          <w:b w:val="0"/>
          <w:bCs/>
          <w:i/>
          <w:iCs/>
          <w:sz w:val="22"/>
          <w:lang w:eastAsia="zh-CN"/>
        </w:rPr>
      </w:pPr>
    </w:p>
    <w:p w14:paraId="5D0C7039" w14:textId="0AA134AD" w:rsidR="00321065" w:rsidRDefault="00321065" w:rsidP="00321065">
      <w:pPr>
        <w:pStyle w:val="Heading8"/>
        <w:spacing w:before="0"/>
        <w:ind w:left="0" w:firstLine="0"/>
        <w:rPr>
          <w:rFonts w:asciiTheme="minorHAnsi" w:hAnsiTheme="minorHAnsi"/>
          <w:b w:val="0"/>
          <w:bCs/>
          <w:i/>
          <w:iCs/>
          <w:sz w:val="22"/>
          <w:lang w:eastAsia="zh-CN"/>
        </w:rPr>
      </w:pPr>
      <w:r w:rsidRPr="00321065">
        <w:rPr>
          <w:rFonts w:asciiTheme="minorHAnsi" w:hAnsiTheme="minorHAnsi"/>
          <w:b w:val="0"/>
          <w:bCs/>
          <w:i/>
          <w:iCs/>
          <w:sz w:val="22"/>
          <w:lang w:eastAsia="zh-CN"/>
        </w:rPr>
        <w:t>Effective date of application of this Rule: 28 November 2015.</w:t>
      </w:r>
    </w:p>
    <w:p w14:paraId="0FE9A51E" w14:textId="77777777" w:rsidR="00583402" w:rsidRDefault="00583402" w:rsidP="00583402">
      <w:pPr>
        <w:rPr>
          <w:lang w:eastAsia="zh-CN"/>
        </w:rPr>
      </w:pPr>
    </w:p>
    <w:p w14:paraId="11702972" w14:textId="77777777" w:rsidR="00583402" w:rsidRDefault="00583402" w:rsidP="00583402">
      <w:pPr>
        <w:rPr>
          <w:lang w:eastAsia="zh-CN"/>
        </w:rPr>
      </w:pPr>
    </w:p>
    <w:p w14:paraId="47E714BE" w14:textId="77777777" w:rsidR="00583402" w:rsidRPr="00583402" w:rsidRDefault="00583402" w:rsidP="00583402">
      <w:pPr>
        <w:pStyle w:val="Heading1"/>
        <w:spacing w:before="300"/>
        <w:jc w:val="center"/>
        <w:rPr>
          <w:rFonts w:asciiTheme="minorHAnsi" w:hAnsiTheme="minorHAnsi"/>
          <w:color w:val="000000"/>
          <w:szCs w:val="24"/>
        </w:rPr>
      </w:pPr>
      <w:r w:rsidRPr="00583402">
        <w:rPr>
          <w:rFonts w:asciiTheme="minorHAnsi" w:hAnsiTheme="minorHAnsi"/>
          <w:color w:val="000000"/>
          <w:szCs w:val="24"/>
        </w:rPr>
        <w:lastRenderedPageBreak/>
        <w:t>Rules concerning</w:t>
      </w:r>
    </w:p>
    <w:p w14:paraId="07139CDC" w14:textId="77777777" w:rsidR="00583402" w:rsidRPr="00583402" w:rsidRDefault="00583402" w:rsidP="00583402">
      <w:pPr>
        <w:pStyle w:val="Heading2"/>
        <w:jc w:val="center"/>
        <w:rPr>
          <w:rFonts w:asciiTheme="minorHAnsi" w:hAnsiTheme="minorHAnsi"/>
          <w:color w:val="000000"/>
          <w:szCs w:val="24"/>
        </w:rPr>
      </w:pPr>
      <w:r w:rsidRPr="00583402">
        <w:rPr>
          <w:rFonts w:asciiTheme="minorHAnsi" w:hAnsiTheme="minorHAnsi"/>
          <w:color w:val="000000"/>
          <w:szCs w:val="24"/>
        </w:rPr>
        <w:t>ARTICLE 9 of the RR</w:t>
      </w:r>
    </w:p>
    <w:p w14:paraId="1675639D" w14:textId="77777777" w:rsidR="00583402" w:rsidRPr="00583402" w:rsidRDefault="00583402" w:rsidP="00583402">
      <w:pPr>
        <w:pStyle w:val="Heading8"/>
        <w:spacing w:before="0"/>
        <w:ind w:left="0" w:firstLine="0"/>
        <w:rPr>
          <w:rFonts w:asciiTheme="minorHAnsi" w:hAnsiTheme="minorHAnsi"/>
          <w:szCs w:val="24"/>
          <w:lang w:eastAsia="zh-CN"/>
        </w:rPr>
      </w:pPr>
    </w:p>
    <w:p w14:paraId="307B40A6" w14:textId="77777777" w:rsidR="00583402" w:rsidRPr="00583402" w:rsidRDefault="00583402" w:rsidP="00583402">
      <w:pPr>
        <w:pStyle w:val="enumlev1"/>
        <w:keepNext/>
        <w:spacing w:before="200" w:after="200"/>
        <w:ind w:left="0" w:firstLine="0"/>
        <w:rPr>
          <w:rFonts w:asciiTheme="minorHAnsi" w:hAnsiTheme="minorHAnsi"/>
          <w:b/>
          <w:bCs/>
          <w:sz w:val="24"/>
          <w:szCs w:val="24"/>
        </w:rPr>
      </w:pPr>
      <w:r w:rsidRPr="00583402">
        <w:rPr>
          <w:rFonts w:asciiTheme="minorHAnsi" w:hAnsiTheme="minorHAnsi"/>
          <w:b/>
          <w:bCs/>
          <w:sz w:val="24"/>
          <w:szCs w:val="24"/>
        </w:rPr>
        <w:t>MOD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583402" w:rsidRPr="00583402" w14:paraId="5D68B1A4" w14:textId="77777777" w:rsidTr="00E546B1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6BE624" w14:textId="77777777" w:rsidR="00583402" w:rsidRPr="00583402" w:rsidRDefault="00583402" w:rsidP="00E546B1">
            <w:pPr>
              <w:pStyle w:val="Heading8"/>
              <w:spacing w:before="0"/>
              <w:ind w:left="0" w:right="-108" w:firstLine="0"/>
              <w:rPr>
                <w:rFonts w:asciiTheme="minorHAnsi" w:hAnsiTheme="minorHAnsi"/>
                <w:color w:val="000000"/>
                <w:szCs w:val="24"/>
                <w:lang w:val="en-GB"/>
              </w:rPr>
            </w:pPr>
            <w:r w:rsidRPr="00583402">
              <w:rPr>
                <w:rFonts w:asciiTheme="minorHAnsi" w:hAnsiTheme="minorHAnsi"/>
                <w:color w:val="000000"/>
                <w:szCs w:val="24"/>
              </w:rPr>
              <w:t>9.11A</w:t>
            </w:r>
          </w:p>
        </w:tc>
      </w:tr>
    </w:tbl>
    <w:p w14:paraId="1473D41F" w14:textId="77777777" w:rsidR="00583402" w:rsidRPr="00583402" w:rsidRDefault="00583402" w:rsidP="00583402">
      <w:pPr>
        <w:tabs>
          <w:tab w:val="left" w:pos="708"/>
        </w:tabs>
        <w:overflowPunct/>
        <w:spacing w:before="0"/>
        <w:rPr>
          <w:rFonts w:asciiTheme="minorHAnsi" w:hAnsiTheme="minorHAnsi"/>
          <w:sz w:val="24"/>
          <w:szCs w:val="24"/>
          <w:lang w:eastAsia="zh-CN"/>
        </w:rPr>
      </w:pPr>
    </w:p>
    <w:p w14:paraId="3A9D602F" w14:textId="77777777" w:rsidR="00583402" w:rsidRPr="00583402" w:rsidRDefault="00583402" w:rsidP="00583402">
      <w:pPr>
        <w:spacing w:line="240" w:lineRule="auto"/>
        <w:jc w:val="left"/>
        <w:rPr>
          <w:sz w:val="24"/>
          <w:szCs w:val="24"/>
          <w:lang w:eastAsia="zh-CN"/>
        </w:rPr>
      </w:pPr>
      <w:r w:rsidRPr="00583402">
        <w:rPr>
          <w:sz w:val="24"/>
          <w:szCs w:val="24"/>
          <w:lang w:eastAsia="zh-CN"/>
        </w:rPr>
        <w:t>SUP 3.3</w:t>
      </w:r>
    </w:p>
    <w:p w14:paraId="427FCA62" w14:textId="77777777" w:rsidR="00583402" w:rsidRPr="00583402" w:rsidRDefault="00583402" w:rsidP="00583402">
      <w:pPr>
        <w:spacing w:after="120"/>
        <w:rPr>
          <w:rFonts w:asciiTheme="minorHAnsi" w:hAnsiTheme="minorHAnsi"/>
          <w:i/>
          <w:iCs/>
          <w:lang w:eastAsia="zh-CN"/>
        </w:rPr>
      </w:pPr>
      <w:r w:rsidRPr="00583402">
        <w:rPr>
          <w:rFonts w:asciiTheme="minorHAnsi" w:hAnsiTheme="minorHAnsi"/>
          <w:b/>
          <w:bCs/>
          <w:i/>
          <w:iCs/>
          <w:lang w:eastAsia="zh-CN"/>
        </w:rPr>
        <w:t>Reason</w:t>
      </w:r>
      <w:r w:rsidRPr="00583402">
        <w:rPr>
          <w:rFonts w:asciiTheme="minorHAnsi" w:hAnsiTheme="minorHAnsi"/>
          <w:i/>
          <w:iCs/>
          <w:lang w:eastAsia="zh-CN"/>
        </w:rPr>
        <w:t>: consequence to the adoption of the Rule of Procedure on the treatment by the Radiocommunication Bureau of requests for coordination under Article 9 or notification under Article 11 of the Radio Regulations submitted to the Bureau as of the first day after a WRC but before the effective date of entry into force of the WRC new or updated frequency allocations</w:t>
      </w:r>
      <w:r w:rsidRPr="00583402">
        <w:rPr>
          <w:rFonts w:asciiTheme="minorHAnsi" w:hAnsiTheme="minorHAnsi" w:cstheme="majorBidi"/>
          <w:i/>
          <w:iCs/>
          <w:color w:val="000000"/>
        </w:rPr>
        <w:t>.</w:t>
      </w:r>
    </w:p>
    <w:p w14:paraId="3B83ED3D" w14:textId="77777777" w:rsidR="00583402" w:rsidRPr="00583402" w:rsidRDefault="00583402" w:rsidP="00583402">
      <w:pPr>
        <w:pStyle w:val="Heading8"/>
        <w:spacing w:before="0"/>
        <w:ind w:left="0" w:firstLine="0"/>
        <w:rPr>
          <w:rFonts w:asciiTheme="minorHAnsi" w:hAnsiTheme="minorHAnsi"/>
          <w:b w:val="0"/>
          <w:bCs/>
          <w:i/>
          <w:iCs/>
          <w:sz w:val="22"/>
          <w:lang w:eastAsia="zh-CN"/>
        </w:rPr>
      </w:pPr>
      <w:r w:rsidRPr="00583402">
        <w:rPr>
          <w:rFonts w:asciiTheme="minorHAnsi" w:hAnsiTheme="minorHAnsi"/>
          <w:b w:val="0"/>
          <w:bCs/>
          <w:i/>
          <w:iCs/>
          <w:sz w:val="22"/>
          <w:lang w:eastAsia="zh-CN"/>
        </w:rPr>
        <w:t>Effective date of application of this Rule: 28 November 2015.</w:t>
      </w:r>
    </w:p>
    <w:p w14:paraId="4F311C9E" w14:textId="77777777" w:rsidR="00583402" w:rsidRPr="00583402" w:rsidRDefault="00583402" w:rsidP="00583402">
      <w:pPr>
        <w:spacing w:line="240" w:lineRule="auto"/>
        <w:jc w:val="left"/>
        <w:rPr>
          <w:rFonts w:asciiTheme="minorHAnsi" w:hAnsiTheme="minorHAnsi"/>
          <w:b/>
          <w:bCs/>
          <w:sz w:val="28"/>
          <w:szCs w:val="28"/>
        </w:rPr>
      </w:pPr>
    </w:p>
    <w:p w14:paraId="16F2C113" w14:textId="77777777" w:rsidR="00583402" w:rsidRPr="00583402" w:rsidRDefault="00583402" w:rsidP="00583402">
      <w:pPr>
        <w:rPr>
          <w:lang w:eastAsia="zh-CN"/>
        </w:rPr>
      </w:pPr>
    </w:p>
    <w:p w14:paraId="5C0B40EE" w14:textId="1A784A36" w:rsidR="00BC045C" w:rsidRPr="004A358B" w:rsidRDefault="00BC045C" w:rsidP="003E54DE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  <w:r w:rsidRPr="00583402">
        <w:rPr>
          <w:rFonts w:asciiTheme="minorHAnsi" w:hAnsiTheme="minorHAnsi"/>
        </w:rPr>
        <w:t>_________________</w:t>
      </w:r>
    </w:p>
    <w:sectPr w:rsidR="00BC045C" w:rsidRPr="004A358B" w:rsidSect="00D00DE8">
      <w:headerReference w:type="even" r:id="rId12"/>
      <w:headerReference w:type="defaul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E6C4F" w14:textId="77777777" w:rsidR="00630AFC" w:rsidRDefault="00630AFC">
      <w:r>
        <w:separator/>
      </w:r>
    </w:p>
  </w:endnote>
  <w:endnote w:type="continuationSeparator" w:id="0">
    <w:p w14:paraId="4D01BF5E" w14:textId="77777777" w:rsidR="00630AFC" w:rsidRDefault="0063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AC00A" w14:textId="4AD5ACBA" w:rsidR="00D00DE8" w:rsidRPr="005B08BB" w:rsidRDefault="005B08BB" w:rsidP="005B08BB">
    <w:pPr>
      <w:pStyle w:val="Footer"/>
      <w:spacing w:before="240" w:line="240" w:lineRule="auto"/>
      <w:jc w:val="center"/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AADC" w14:textId="77777777" w:rsidR="00630AFC" w:rsidRDefault="00630AFC">
      <w:r>
        <w:t>____________________</w:t>
      </w:r>
    </w:p>
  </w:footnote>
  <w:footnote w:type="continuationSeparator" w:id="0">
    <w:p w14:paraId="2FC0A00B" w14:textId="77777777" w:rsidR="00630AFC" w:rsidRDefault="0063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2BCE" w14:textId="248A8840" w:rsidR="002B1439" w:rsidRPr="002B1439" w:rsidRDefault="00C0483E" w:rsidP="00E1540D">
    <w:pPr>
      <w:pStyle w:val="Header"/>
      <w:jc w:val="center"/>
      <w:rPr>
        <w:sz w:val="18"/>
        <w:szCs w:val="18"/>
      </w:rPr>
    </w:pPr>
    <w:sdt>
      <w:sdtPr>
        <w:id w:val="-94222701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D00DE8" w:rsidRPr="00D00DE8">
          <w:rPr>
            <w:sz w:val="18"/>
            <w:szCs w:val="18"/>
          </w:rPr>
          <w:fldChar w:fldCharType="begin"/>
        </w:r>
        <w:r w:rsidR="00D00DE8" w:rsidRPr="00D00DE8">
          <w:rPr>
            <w:sz w:val="18"/>
            <w:szCs w:val="18"/>
          </w:rPr>
          <w:instrText xml:space="preserve"> PAGE   \* MERGEFORMAT </w:instrText>
        </w:r>
        <w:r w:rsidR="00D00DE8" w:rsidRPr="00D00DE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D00DE8" w:rsidRPr="00D00DE8">
          <w:rPr>
            <w:noProof/>
            <w:sz w:val="18"/>
            <w:szCs w:val="18"/>
          </w:rPr>
          <w:fldChar w:fldCharType="end"/>
        </w:r>
        <w:r w:rsidR="005B08BB">
          <w:rPr>
            <w:noProof/>
            <w:sz w:val="18"/>
            <w:szCs w:val="18"/>
          </w:rPr>
          <w:br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746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F533828" w14:textId="77777777" w:rsidR="004A358B" w:rsidRPr="00D00DE8" w:rsidRDefault="004A358B" w:rsidP="004A358B">
        <w:pPr>
          <w:pStyle w:val="Header"/>
          <w:jc w:val="center"/>
          <w:rPr>
            <w:sz w:val="18"/>
            <w:szCs w:val="18"/>
          </w:rPr>
        </w:pPr>
        <w:r w:rsidRPr="00D00DE8">
          <w:rPr>
            <w:sz w:val="18"/>
            <w:szCs w:val="18"/>
          </w:rPr>
          <w:fldChar w:fldCharType="begin"/>
        </w:r>
        <w:r w:rsidRPr="00D00DE8">
          <w:rPr>
            <w:sz w:val="18"/>
            <w:szCs w:val="18"/>
          </w:rPr>
          <w:instrText xml:space="preserve"> PAGE   \* MERGEFORMAT </w:instrText>
        </w:r>
        <w:r w:rsidRPr="00D00DE8">
          <w:rPr>
            <w:sz w:val="18"/>
            <w:szCs w:val="18"/>
          </w:rPr>
          <w:fldChar w:fldCharType="separate"/>
        </w:r>
        <w:r w:rsidR="00C0483E">
          <w:rPr>
            <w:noProof/>
            <w:sz w:val="18"/>
            <w:szCs w:val="18"/>
          </w:rPr>
          <w:t>3</w:t>
        </w:r>
        <w:r w:rsidRPr="00D00DE8">
          <w:rPr>
            <w:noProof/>
            <w:sz w:val="18"/>
            <w:szCs w:val="18"/>
          </w:rPr>
          <w:fldChar w:fldCharType="end"/>
        </w:r>
      </w:p>
    </w:sdtContent>
  </w:sdt>
  <w:p w14:paraId="591D15F7" w14:textId="5EEF35F9" w:rsidR="004A358B" w:rsidRDefault="004A358B" w:rsidP="004A358B">
    <w:pPr>
      <w:pStyle w:val="Header"/>
      <w:jc w:val="center"/>
      <w:rPr>
        <w:sz w:val="18"/>
        <w:szCs w:val="18"/>
      </w:rPr>
    </w:pPr>
  </w:p>
  <w:p w14:paraId="68B36BD6" w14:textId="77777777" w:rsidR="004A358B" w:rsidRDefault="004A358B" w:rsidP="004A35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7" w15:restartNumberingAfterBreak="0">
    <w:nsid w:val="19FD2586"/>
    <w:multiLevelType w:val="hybridMultilevel"/>
    <w:tmpl w:val="80C0D19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0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35726"/>
    <w:multiLevelType w:val="hybridMultilevel"/>
    <w:tmpl w:val="2CF87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19"/>
  </w:num>
  <w:num w:numId="6">
    <w:abstractNumId w:val="20"/>
  </w:num>
  <w:num w:numId="7">
    <w:abstractNumId w:val="17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4AE1"/>
    <w:rsid w:val="00015C76"/>
    <w:rsid w:val="00026CF8"/>
    <w:rsid w:val="00030BD7"/>
    <w:rsid w:val="00031E64"/>
    <w:rsid w:val="00034340"/>
    <w:rsid w:val="000362B3"/>
    <w:rsid w:val="000431FB"/>
    <w:rsid w:val="00045A8D"/>
    <w:rsid w:val="00050A51"/>
    <w:rsid w:val="0005167A"/>
    <w:rsid w:val="000523A0"/>
    <w:rsid w:val="00054E5D"/>
    <w:rsid w:val="000562AB"/>
    <w:rsid w:val="00060DB2"/>
    <w:rsid w:val="00064AF1"/>
    <w:rsid w:val="00070258"/>
    <w:rsid w:val="0007323C"/>
    <w:rsid w:val="00086703"/>
    <w:rsid w:val="00086D03"/>
    <w:rsid w:val="00091B5F"/>
    <w:rsid w:val="000A096A"/>
    <w:rsid w:val="000A375E"/>
    <w:rsid w:val="000A7051"/>
    <w:rsid w:val="000B03A1"/>
    <w:rsid w:val="000B0AF6"/>
    <w:rsid w:val="000B0E9B"/>
    <w:rsid w:val="000B2CAE"/>
    <w:rsid w:val="000C03C7"/>
    <w:rsid w:val="000C295E"/>
    <w:rsid w:val="000C2AD0"/>
    <w:rsid w:val="000D066B"/>
    <w:rsid w:val="000E3DEE"/>
    <w:rsid w:val="000F04FF"/>
    <w:rsid w:val="00100B72"/>
    <w:rsid w:val="001019B0"/>
    <w:rsid w:val="00101F7D"/>
    <w:rsid w:val="00103C76"/>
    <w:rsid w:val="00105A69"/>
    <w:rsid w:val="00106EF1"/>
    <w:rsid w:val="0011040A"/>
    <w:rsid w:val="0011265F"/>
    <w:rsid w:val="00112A6F"/>
    <w:rsid w:val="00117282"/>
    <w:rsid w:val="00117389"/>
    <w:rsid w:val="00121C2D"/>
    <w:rsid w:val="00126DD0"/>
    <w:rsid w:val="00127A32"/>
    <w:rsid w:val="00134404"/>
    <w:rsid w:val="001352A9"/>
    <w:rsid w:val="001432DE"/>
    <w:rsid w:val="00144DFB"/>
    <w:rsid w:val="00176862"/>
    <w:rsid w:val="00187CA3"/>
    <w:rsid w:val="00196710"/>
    <w:rsid w:val="00197324"/>
    <w:rsid w:val="001B2A5E"/>
    <w:rsid w:val="001B351B"/>
    <w:rsid w:val="001C06DB"/>
    <w:rsid w:val="001C6971"/>
    <w:rsid w:val="001D2785"/>
    <w:rsid w:val="001D7070"/>
    <w:rsid w:val="001E43C2"/>
    <w:rsid w:val="001F2170"/>
    <w:rsid w:val="001F3760"/>
    <w:rsid w:val="001F3948"/>
    <w:rsid w:val="001F44F4"/>
    <w:rsid w:val="001F4910"/>
    <w:rsid w:val="001F5A49"/>
    <w:rsid w:val="00201097"/>
    <w:rsid w:val="00201B6E"/>
    <w:rsid w:val="00221765"/>
    <w:rsid w:val="002302B3"/>
    <w:rsid w:val="00230C66"/>
    <w:rsid w:val="00235149"/>
    <w:rsid w:val="00235A29"/>
    <w:rsid w:val="00235FEB"/>
    <w:rsid w:val="00236AEA"/>
    <w:rsid w:val="00241526"/>
    <w:rsid w:val="002443A2"/>
    <w:rsid w:val="00247D53"/>
    <w:rsid w:val="0025616F"/>
    <w:rsid w:val="00260A17"/>
    <w:rsid w:val="00266E74"/>
    <w:rsid w:val="00270052"/>
    <w:rsid w:val="00283B7B"/>
    <w:rsid w:val="00283C3B"/>
    <w:rsid w:val="002861E6"/>
    <w:rsid w:val="00287D18"/>
    <w:rsid w:val="00292105"/>
    <w:rsid w:val="00294425"/>
    <w:rsid w:val="002A2618"/>
    <w:rsid w:val="002A5DD7"/>
    <w:rsid w:val="002B0CAC"/>
    <w:rsid w:val="002B1439"/>
    <w:rsid w:val="002B5373"/>
    <w:rsid w:val="002B6D83"/>
    <w:rsid w:val="002C664F"/>
    <w:rsid w:val="002C7649"/>
    <w:rsid w:val="002D5A15"/>
    <w:rsid w:val="002D5BDD"/>
    <w:rsid w:val="002E3D27"/>
    <w:rsid w:val="002F0890"/>
    <w:rsid w:val="002F1C4F"/>
    <w:rsid w:val="002F2531"/>
    <w:rsid w:val="002F4967"/>
    <w:rsid w:val="00316935"/>
    <w:rsid w:val="00321065"/>
    <w:rsid w:val="003266ED"/>
    <w:rsid w:val="003343E5"/>
    <w:rsid w:val="003370B8"/>
    <w:rsid w:val="0034452C"/>
    <w:rsid w:val="00345D38"/>
    <w:rsid w:val="00352097"/>
    <w:rsid w:val="0035481B"/>
    <w:rsid w:val="003566EC"/>
    <w:rsid w:val="00361ABC"/>
    <w:rsid w:val="003666FF"/>
    <w:rsid w:val="0037309C"/>
    <w:rsid w:val="003733D7"/>
    <w:rsid w:val="00380A6E"/>
    <w:rsid w:val="00381690"/>
    <w:rsid w:val="003836D4"/>
    <w:rsid w:val="003864F0"/>
    <w:rsid w:val="003A1F49"/>
    <w:rsid w:val="003A5D52"/>
    <w:rsid w:val="003B2BDA"/>
    <w:rsid w:val="003B55EC"/>
    <w:rsid w:val="003C2EA7"/>
    <w:rsid w:val="003C4471"/>
    <w:rsid w:val="003C796C"/>
    <w:rsid w:val="003C7D41"/>
    <w:rsid w:val="003D3732"/>
    <w:rsid w:val="003D4A69"/>
    <w:rsid w:val="003E504F"/>
    <w:rsid w:val="003E54DE"/>
    <w:rsid w:val="003E78D6"/>
    <w:rsid w:val="003F715B"/>
    <w:rsid w:val="00400573"/>
    <w:rsid w:val="004007A3"/>
    <w:rsid w:val="00406D71"/>
    <w:rsid w:val="004326DB"/>
    <w:rsid w:val="0043682E"/>
    <w:rsid w:val="00443C5F"/>
    <w:rsid w:val="00447ECB"/>
    <w:rsid w:val="00454C75"/>
    <w:rsid w:val="004603DE"/>
    <w:rsid w:val="004623F7"/>
    <w:rsid w:val="004737F8"/>
    <w:rsid w:val="00480F51"/>
    <w:rsid w:val="00481124"/>
    <w:rsid w:val="004815EB"/>
    <w:rsid w:val="00483FD4"/>
    <w:rsid w:val="00487569"/>
    <w:rsid w:val="00496864"/>
    <w:rsid w:val="00496920"/>
    <w:rsid w:val="004A358B"/>
    <w:rsid w:val="004A4496"/>
    <w:rsid w:val="004A567D"/>
    <w:rsid w:val="004B11AB"/>
    <w:rsid w:val="004B1972"/>
    <w:rsid w:val="004B214D"/>
    <w:rsid w:val="004B7C9A"/>
    <w:rsid w:val="004C6779"/>
    <w:rsid w:val="004C6A7C"/>
    <w:rsid w:val="004D0A54"/>
    <w:rsid w:val="004D733B"/>
    <w:rsid w:val="004E0DC4"/>
    <w:rsid w:val="004E0FB5"/>
    <w:rsid w:val="004E43BB"/>
    <w:rsid w:val="004E460D"/>
    <w:rsid w:val="004E7257"/>
    <w:rsid w:val="004F178E"/>
    <w:rsid w:val="004F4543"/>
    <w:rsid w:val="004F57BB"/>
    <w:rsid w:val="00505309"/>
    <w:rsid w:val="0050789B"/>
    <w:rsid w:val="00507B17"/>
    <w:rsid w:val="005224A1"/>
    <w:rsid w:val="00534372"/>
    <w:rsid w:val="00543DF8"/>
    <w:rsid w:val="00544173"/>
    <w:rsid w:val="00546101"/>
    <w:rsid w:val="00553DD7"/>
    <w:rsid w:val="00554217"/>
    <w:rsid w:val="005638CF"/>
    <w:rsid w:val="00563CB6"/>
    <w:rsid w:val="005651F1"/>
    <w:rsid w:val="0056741E"/>
    <w:rsid w:val="00572B4B"/>
    <w:rsid w:val="0057325A"/>
    <w:rsid w:val="0057469A"/>
    <w:rsid w:val="00580814"/>
    <w:rsid w:val="00583402"/>
    <w:rsid w:val="00583A0B"/>
    <w:rsid w:val="00583DF8"/>
    <w:rsid w:val="005864A7"/>
    <w:rsid w:val="00590A03"/>
    <w:rsid w:val="00593B5C"/>
    <w:rsid w:val="005A03A3"/>
    <w:rsid w:val="005A2B92"/>
    <w:rsid w:val="005A4C3D"/>
    <w:rsid w:val="005A79E9"/>
    <w:rsid w:val="005B08BB"/>
    <w:rsid w:val="005B214C"/>
    <w:rsid w:val="005D3669"/>
    <w:rsid w:val="005D3F9B"/>
    <w:rsid w:val="005E5EB3"/>
    <w:rsid w:val="005E733B"/>
    <w:rsid w:val="005F36BB"/>
    <w:rsid w:val="005F3CB6"/>
    <w:rsid w:val="005F657C"/>
    <w:rsid w:val="005F6D83"/>
    <w:rsid w:val="00602D53"/>
    <w:rsid w:val="006041F2"/>
    <w:rsid w:val="006047E5"/>
    <w:rsid w:val="00630AFC"/>
    <w:rsid w:val="00632FFD"/>
    <w:rsid w:val="00633281"/>
    <w:rsid w:val="006357AA"/>
    <w:rsid w:val="0064371D"/>
    <w:rsid w:val="006465FE"/>
    <w:rsid w:val="0064788B"/>
    <w:rsid w:val="00650B2A"/>
    <w:rsid w:val="00651777"/>
    <w:rsid w:val="00654F79"/>
    <w:rsid w:val="006550F8"/>
    <w:rsid w:val="00655C23"/>
    <w:rsid w:val="0066220E"/>
    <w:rsid w:val="00670306"/>
    <w:rsid w:val="00674325"/>
    <w:rsid w:val="006829F3"/>
    <w:rsid w:val="006935CC"/>
    <w:rsid w:val="006A518B"/>
    <w:rsid w:val="006B0590"/>
    <w:rsid w:val="006B49DA"/>
    <w:rsid w:val="006C53F8"/>
    <w:rsid w:val="006C7CDE"/>
    <w:rsid w:val="006D3416"/>
    <w:rsid w:val="006D4D07"/>
    <w:rsid w:val="006E7ECE"/>
    <w:rsid w:val="006F0B91"/>
    <w:rsid w:val="006F165F"/>
    <w:rsid w:val="00713281"/>
    <w:rsid w:val="007234B1"/>
    <w:rsid w:val="00723D08"/>
    <w:rsid w:val="0072432A"/>
    <w:rsid w:val="00725FDA"/>
    <w:rsid w:val="00727816"/>
    <w:rsid w:val="00730B9A"/>
    <w:rsid w:val="00733EA7"/>
    <w:rsid w:val="007437BE"/>
    <w:rsid w:val="00750CFA"/>
    <w:rsid w:val="0075271E"/>
    <w:rsid w:val="007553DA"/>
    <w:rsid w:val="00772F41"/>
    <w:rsid w:val="00777414"/>
    <w:rsid w:val="00782354"/>
    <w:rsid w:val="007872D6"/>
    <w:rsid w:val="007921A7"/>
    <w:rsid w:val="007B29E9"/>
    <w:rsid w:val="007B3DB1"/>
    <w:rsid w:val="007C018B"/>
    <w:rsid w:val="007D183E"/>
    <w:rsid w:val="007D43D0"/>
    <w:rsid w:val="007D46BC"/>
    <w:rsid w:val="007E1833"/>
    <w:rsid w:val="007E3F13"/>
    <w:rsid w:val="007E6133"/>
    <w:rsid w:val="007F403B"/>
    <w:rsid w:val="007F484D"/>
    <w:rsid w:val="007F751A"/>
    <w:rsid w:val="00800012"/>
    <w:rsid w:val="008007A3"/>
    <w:rsid w:val="0080090B"/>
    <w:rsid w:val="0080261F"/>
    <w:rsid w:val="00806160"/>
    <w:rsid w:val="008143A4"/>
    <w:rsid w:val="0081513E"/>
    <w:rsid w:val="00820369"/>
    <w:rsid w:val="008222F3"/>
    <w:rsid w:val="00846593"/>
    <w:rsid w:val="00854131"/>
    <w:rsid w:val="008559D8"/>
    <w:rsid w:val="0085652D"/>
    <w:rsid w:val="008673C1"/>
    <w:rsid w:val="0087694B"/>
    <w:rsid w:val="00880F4D"/>
    <w:rsid w:val="00896161"/>
    <w:rsid w:val="008A74D5"/>
    <w:rsid w:val="008B35A3"/>
    <w:rsid w:val="008B37E1"/>
    <w:rsid w:val="008B45F8"/>
    <w:rsid w:val="008C2E74"/>
    <w:rsid w:val="008D0297"/>
    <w:rsid w:val="008D1441"/>
    <w:rsid w:val="008D5409"/>
    <w:rsid w:val="008E006D"/>
    <w:rsid w:val="008E38B4"/>
    <w:rsid w:val="008F4F21"/>
    <w:rsid w:val="00904D4A"/>
    <w:rsid w:val="00907C1A"/>
    <w:rsid w:val="009151BA"/>
    <w:rsid w:val="00917C78"/>
    <w:rsid w:val="00925023"/>
    <w:rsid w:val="009277BC"/>
    <w:rsid w:val="00927D57"/>
    <w:rsid w:val="00931A51"/>
    <w:rsid w:val="009347E8"/>
    <w:rsid w:val="00942EB4"/>
    <w:rsid w:val="0094572D"/>
    <w:rsid w:val="00947185"/>
    <w:rsid w:val="009518B3"/>
    <w:rsid w:val="0095683C"/>
    <w:rsid w:val="00963D9D"/>
    <w:rsid w:val="0098013E"/>
    <w:rsid w:val="009817C5"/>
    <w:rsid w:val="00981B54"/>
    <w:rsid w:val="00981B6D"/>
    <w:rsid w:val="009842C3"/>
    <w:rsid w:val="00984816"/>
    <w:rsid w:val="009A009A"/>
    <w:rsid w:val="009A5463"/>
    <w:rsid w:val="009A6BB6"/>
    <w:rsid w:val="009B3F43"/>
    <w:rsid w:val="009B5CFA"/>
    <w:rsid w:val="009B73EB"/>
    <w:rsid w:val="009C161F"/>
    <w:rsid w:val="009C56B4"/>
    <w:rsid w:val="009D12FB"/>
    <w:rsid w:val="009D51A2"/>
    <w:rsid w:val="009E04A8"/>
    <w:rsid w:val="009E4AEC"/>
    <w:rsid w:val="009E5BD8"/>
    <w:rsid w:val="009E681E"/>
    <w:rsid w:val="00A018A7"/>
    <w:rsid w:val="00A119E6"/>
    <w:rsid w:val="00A11D6F"/>
    <w:rsid w:val="00A20FBC"/>
    <w:rsid w:val="00A31370"/>
    <w:rsid w:val="00A34D6F"/>
    <w:rsid w:val="00A37A15"/>
    <w:rsid w:val="00A41F91"/>
    <w:rsid w:val="00A427B2"/>
    <w:rsid w:val="00A4603D"/>
    <w:rsid w:val="00A63355"/>
    <w:rsid w:val="00A66CAF"/>
    <w:rsid w:val="00A7596D"/>
    <w:rsid w:val="00A963DF"/>
    <w:rsid w:val="00AA0138"/>
    <w:rsid w:val="00AA3979"/>
    <w:rsid w:val="00AB1340"/>
    <w:rsid w:val="00AC0C22"/>
    <w:rsid w:val="00AC3033"/>
    <w:rsid w:val="00AC3896"/>
    <w:rsid w:val="00AC6F6E"/>
    <w:rsid w:val="00AD2CF2"/>
    <w:rsid w:val="00AE0902"/>
    <w:rsid w:val="00AE1CD5"/>
    <w:rsid w:val="00AE2D88"/>
    <w:rsid w:val="00AE514C"/>
    <w:rsid w:val="00AE55D3"/>
    <w:rsid w:val="00AE6F6F"/>
    <w:rsid w:val="00AF19C6"/>
    <w:rsid w:val="00AF3325"/>
    <w:rsid w:val="00AF34D9"/>
    <w:rsid w:val="00AF70DA"/>
    <w:rsid w:val="00B000B4"/>
    <w:rsid w:val="00B019D3"/>
    <w:rsid w:val="00B34CF9"/>
    <w:rsid w:val="00B37559"/>
    <w:rsid w:val="00B4054B"/>
    <w:rsid w:val="00B46DCC"/>
    <w:rsid w:val="00B53334"/>
    <w:rsid w:val="00B579B0"/>
    <w:rsid w:val="00B57D11"/>
    <w:rsid w:val="00B649D7"/>
    <w:rsid w:val="00B656A2"/>
    <w:rsid w:val="00B74882"/>
    <w:rsid w:val="00B81C2F"/>
    <w:rsid w:val="00B8275A"/>
    <w:rsid w:val="00B86DC8"/>
    <w:rsid w:val="00B90743"/>
    <w:rsid w:val="00B90C45"/>
    <w:rsid w:val="00B91A17"/>
    <w:rsid w:val="00B933BE"/>
    <w:rsid w:val="00BB3C75"/>
    <w:rsid w:val="00BC045C"/>
    <w:rsid w:val="00BD6738"/>
    <w:rsid w:val="00BD7E5E"/>
    <w:rsid w:val="00BD7EF8"/>
    <w:rsid w:val="00BE2F7F"/>
    <w:rsid w:val="00BE3F78"/>
    <w:rsid w:val="00BE63DB"/>
    <w:rsid w:val="00BE6574"/>
    <w:rsid w:val="00BF0C17"/>
    <w:rsid w:val="00BF569F"/>
    <w:rsid w:val="00BF7972"/>
    <w:rsid w:val="00C0483E"/>
    <w:rsid w:val="00C07319"/>
    <w:rsid w:val="00C16FD2"/>
    <w:rsid w:val="00C2078D"/>
    <w:rsid w:val="00C2245C"/>
    <w:rsid w:val="00C4395E"/>
    <w:rsid w:val="00C47FFD"/>
    <w:rsid w:val="00C51E92"/>
    <w:rsid w:val="00C57E2C"/>
    <w:rsid w:val="00C57FD6"/>
    <w:rsid w:val="00C608B7"/>
    <w:rsid w:val="00C66C96"/>
    <w:rsid w:val="00C66F24"/>
    <w:rsid w:val="00C76D7F"/>
    <w:rsid w:val="00C813AA"/>
    <w:rsid w:val="00C8158F"/>
    <w:rsid w:val="00C9291E"/>
    <w:rsid w:val="00C95473"/>
    <w:rsid w:val="00CA3F44"/>
    <w:rsid w:val="00CA4E58"/>
    <w:rsid w:val="00CB219F"/>
    <w:rsid w:val="00CB3771"/>
    <w:rsid w:val="00CB44BF"/>
    <w:rsid w:val="00CB5153"/>
    <w:rsid w:val="00CC54BE"/>
    <w:rsid w:val="00CD0886"/>
    <w:rsid w:val="00CE076A"/>
    <w:rsid w:val="00CE463D"/>
    <w:rsid w:val="00CF78EA"/>
    <w:rsid w:val="00D005CF"/>
    <w:rsid w:val="00D00DE8"/>
    <w:rsid w:val="00D10BA0"/>
    <w:rsid w:val="00D21694"/>
    <w:rsid w:val="00D24EB5"/>
    <w:rsid w:val="00D35AB9"/>
    <w:rsid w:val="00D41171"/>
    <w:rsid w:val="00D41571"/>
    <w:rsid w:val="00D416A0"/>
    <w:rsid w:val="00D47672"/>
    <w:rsid w:val="00D50AAB"/>
    <w:rsid w:val="00D5123C"/>
    <w:rsid w:val="00D55560"/>
    <w:rsid w:val="00D61B0E"/>
    <w:rsid w:val="00D61C5A"/>
    <w:rsid w:val="00D6790C"/>
    <w:rsid w:val="00D73277"/>
    <w:rsid w:val="00D76586"/>
    <w:rsid w:val="00D82657"/>
    <w:rsid w:val="00D87E20"/>
    <w:rsid w:val="00D93262"/>
    <w:rsid w:val="00D945E0"/>
    <w:rsid w:val="00DA1837"/>
    <w:rsid w:val="00DA4037"/>
    <w:rsid w:val="00DB1B9D"/>
    <w:rsid w:val="00DC3965"/>
    <w:rsid w:val="00DC7BDC"/>
    <w:rsid w:val="00DD25E5"/>
    <w:rsid w:val="00DD4DC9"/>
    <w:rsid w:val="00DE66A5"/>
    <w:rsid w:val="00DF2B50"/>
    <w:rsid w:val="00E04C86"/>
    <w:rsid w:val="00E11696"/>
    <w:rsid w:val="00E1540D"/>
    <w:rsid w:val="00E17344"/>
    <w:rsid w:val="00E20F30"/>
    <w:rsid w:val="00E2189C"/>
    <w:rsid w:val="00E25BB1"/>
    <w:rsid w:val="00E27BBA"/>
    <w:rsid w:val="00E30E3F"/>
    <w:rsid w:val="00E35E8F"/>
    <w:rsid w:val="00E428AB"/>
    <w:rsid w:val="00E42D35"/>
    <w:rsid w:val="00E438E8"/>
    <w:rsid w:val="00E45025"/>
    <w:rsid w:val="00E453A3"/>
    <w:rsid w:val="00E520E2"/>
    <w:rsid w:val="00E530C4"/>
    <w:rsid w:val="00E55996"/>
    <w:rsid w:val="00E5678D"/>
    <w:rsid w:val="00E64254"/>
    <w:rsid w:val="00E67928"/>
    <w:rsid w:val="00E70FB5"/>
    <w:rsid w:val="00E87542"/>
    <w:rsid w:val="00E915AF"/>
    <w:rsid w:val="00E95F7D"/>
    <w:rsid w:val="00E96415"/>
    <w:rsid w:val="00EA041F"/>
    <w:rsid w:val="00EA15B3"/>
    <w:rsid w:val="00EA2A8C"/>
    <w:rsid w:val="00EA4C98"/>
    <w:rsid w:val="00EA6569"/>
    <w:rsid w:val="00EB0C25"/>
    <w:rsid w:val="00EB2358"/>
    <w:rsid w:val="00EB3A5C"/>
    <w:rsid w:val="00EB3EB8"/>
    <w:rsid w:val="00EC02FE"/>
    <w:rsid w:val="00EC4A96"/>
    <w:rsid w:val="00ED68D5"/>
    <w:rsid w:val="00EF1B00"/>
    <w:rsid w:val="00EF3FF6"/>
    <w:rsid w:val="00F15D95"/>
    <w:rsid w:val="00F22510"/>
    <w:rsid w:val="00F22C9F"/>
    <w:rsid w:val="00F235E6"/>
    <w:rsid w:val="00F26DF3"/>
    <w:rsid w:val="00F424BF"/>
    <w:rsid w:val="00F4307A"/>
    <w:rsid w:val="00F44FC3"/>
    <w:rsid w:val="00F46107"/>
    <w:rsid w:val="00F468C5"/>
    <w:rsid w:val="00F47BE0"/>
    <w:rsid w:val="00F52F39"/>
    <w:rsid w:val="00F6184F"/>
    <w:rsid w:val="00F67E45"/>
    <w:rsid w:val="00F8310E"/>
    <w:rsid w:val="00F914DD"/>
    <w:rsid w:val="00F933D1"/>
    <w:rsid w:val="00F970E4"/>
    <w:rsid w:val="00FA2358"/>
    <w:rsid w:val="00FA56DC"/>
    <w:rsid w:val="00FB2592"/>
    <w:rsid w:val="00FB2810"/>
    <w:rsid w:val="00FB7A2C"/>
    <w:rsid w:val="00FC2947"/>
    <w:rsid w:val="00FC4422"/>
    <w:rsid w:val="00FD0F3F"/>
    <w:rsid w:val="00FE0818"/>
    <w:rsid w:val="00FE66B2"/>
    <w:rsid w:val="00FE6FB1"/>
    <w:rsid w:val="00FF33EF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2CAAC8"/>
  <w15:docId w15:val="{B614000B-EDF7-4D5B-A559-D3F6A71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">
    <w:name w:val="Annex_No"/>
    <w:basedOn w:val="Normal"/>
    <w:next w:val="Normal"/>
    <w:rsid w:val="000523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rsid w:val="000523A0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0523A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A427B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27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1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A427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rsid w:val="00A427B2"/>
    <w:pPr>
      <w:keepNext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A427B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A427B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427B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A427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 w:line="240" w:lineRule="auto"/>
    </w:pPr>
    <w:rPr>
      <w:rFonts w:ascii="Times New Roma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before="120" w:after="120" w:line="240" w:lineRule="auto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character" w:customStyle="1" w:styleId="NoteChar">
    <w:name w:val="Note Char"/>
    <w:link w:val="Note"/>
    <w:rsid w:val="00A427B2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427B2"/>
    <w:rPr>
      <w:i/>
      <w:iCs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6-RRB16.1-C-0021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E048-F663-4723-861C-78B75DAB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3</Pages>
  <Words>866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3</cp:revision>
  <cp:lastPrinted>2016-03-08T14:05:00Z</cp:lastPrinted>
  <dcterms:created xsi:type="dcterms:W3CDTF">2016-03-08T13:10:00Z</dcterms:created>
  <dcterms:modified xsi:type="dcterms:W3CDTF">2016-03-08T14:05:00Z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