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5B3" w:rsidRPr="001E0B86" w:rsidRDefault="00EA15B3">
      <w:bookmarkStart w:id="0" w:name="CurrentLocation"/>
      <w:bookmarkEnd w:id="0"/>
    </w:p>
    <w:tbl>
      <w:tblPr>
        <w:tblW w:w="9889" w:type="dxa"/>
        <w:tblLayout w:type="fixed"/>
        <w:tblLook w:val="04A0" w:firstRow="1" w:lastRow="0" w:firstColumn="1" w:lastColumn="0" w:noHBand="0" w:noVBand="1"/>
      </w:tblPr>
      <w:tblGrid>
        <w:gridCol w:w="1276"/>
        <w:gridCol w:w="4077"/>
        <w:gridCol w:w="4536"/>
      </w:tblGrid>
      <w:tr w:rsidR="00EA15B3" w:rsidRPr="001E0B86" w:rsidTr="00EA15B3">
        <w:tc>
          <w:tcPr>
            <w:tcW w:w="9889" w:type="dxa"/>
            <w:gridSpan w:val="3"/>
            <w:shd w:val="clear" w:color="auto" w:fill="auto"/>
          </w:tcPr>
          <w:p w:rsidR="00EA15B3" w:rsidRPr="001E0B86" w:rsidRDefault="00650BA9" w:rsidP="00F914DD">
            <w:pPr>
              <w:jc w:val="left"/>
              <w:rPr>
                <w:rFonts w:cs="Times New Roman Bold"/>
                <w:b/>
                <w:bCs/>
                <w:color w:val="808080"/>
                <w:sz w:val="28"/>
                <w:szCs w:val="28"/>
              </w:rPr>
            </w:pPr>
            <w:bookmarkStart w:id="1" w:name="Logo"/>
            <w:bookmarkStart w:id="2" w:name="Origine"/>
            <w:bookmarkEnd w:id="1"/>
            <w:bookmarkEnd w:id="2"/>
            <w:r w:rsidRPr="001E0B86">
              <w:rPr>
                <w:rFonts w:cs="Times New Roman Bold"/>
                <w:b/>
                <w:bCs/>
                <w:color w:val="808080"/>
                <w:sz w:val="28"/>
                <w:szCs w:val="28"/>
              </w:rPr>
              <w:t>Bureau des radiocommunications (BR)</w:t>
            </w:r>
          </w:p>
        </w:tc>
      </w:tr>
      <w:tr w:rsidR="00EA15B3" w:rsidRPr="001E0B86" w:rsidTr="00EA15B3">
        <w:tc>
          <w:tcPr>
            <w:tcW w:w="9889" w:type="dxa"/>
            <w:gridSpan w:val="3"/>
            <w:shd w:val="clear" w:color="auto" w:fill="auto"/>
          </w:tcPr>
          <w:p w:rsidR="00EA15B3" w:rsidRPr="001E0B86" w:rsidRDefault="00EA15B3" w:rsidP="00EA15B3">
            <w:pPr>
              <w:jc w:val="left"/>
            </w:pPr>
          </w:p>
        </w:tc>
      </w:tr>
      <w:tr w:rsidR="00651777" w:rsidRPr="001E0B86" w:rsidTr="00651777">
        <w:tc>
          <w:tcPr>
            <w:tcW w:w="5353" w:type="dxa"/>
            <w:gridSpan w:val="2"/>
            <w:shd w:val="clear" w:color="auto" w:fill="auto"/>
          </w:tcPr>
          <w:p w:rsidR="00651777" w:rsidRPr="00653F26" w:rsidRDefault="00650BA9" w:rsidP="00651777">
            <w:pPr>
              <w:jc w:val="left"/>
              <w:rPr>
                <w:sz w:val="24"/>
                <w:szCs w:val="24"/>
              </w:rPr>
            </w:pPr>
            <w:r w:rsidRPr="00653F26">
              <w:rPr>
                <w:sz w:val="24"/>
                <w:szCs w:val="24"/>
              </w:rPr>
              <w:t>Circulaire administrative</w:t>
            </w:r>
          </w:p>
        </w:tc>
        <w:tc>
          <w:tcPr>
            <w:tcW w:w="4536" w:type="dxa"/>
            <w:shd w:val="clear" w:color="auto" w:fill="auto"/>
          </w:tcPr>
          <w:p w:rsidR="00651777" w:rsidRPr="001E0B86" w:rsidRDefault="00650BA9" w:rsidP="00653F26">
            <w:pPr>
              <w:jc w:val="right"/>
            </w:pPr>
            <w:r w:rsidRPr="001E0B86">
              <w:t xml:space="preserve">Le </w:t>
            </w:r>
            <w:sdt>
              <w:sdtPr>
                <w:rPr>
                  <w:rFonts w:cs="Arial"/>
                </w:rPr>
                <w:alias w:val="Date"/>
                <w:tag w:val="Date"/>
                <w:id w:val="20922293"/>
                <w:lock w:val="sdtLocked"/>
                <w:placeholder>
                  <w:docPart w:val="3275F403E5E14BFBB9FEA40138D309C6"/>
                </w:placeholder>
                <w:date w:fullDate="2014-05-02T00:00:00Z">
                  <w:dateFormat w:val="d MMMM yyyy"/>
                  <w:lid w:val="fr-FR"/>
                  <w:storeMappedDataAs w:val="date"/>
                  <w:calendar w:val="gregorian"/>
                </w:date>
              </w:sdtPr>
              <w:sdtEndPr/>
              <w:sdtContent>
                <w:r w:rsidRPr="001E0B86">
                  <w:rPr>
                    <w:rFonts w:cs="Arial"/>
                  </w:rPr>
                  <w:t>2 mai 2014</w:t>
                </w:r>
              </w:sdtContent>
            </w:sdt>
          </w:p>
        </w:tc>
      </w:tr>
      <w:tr w:rsidR="00651777" w:rsidRPr="001E0B86" w:rsidTr="00651777">
        <w:tc>
          <w:tcPr>
            <w:tcW w:w="5353" w:type="dxa"/>
            <w:gridSpan w:val="2"/>
            <w:shd w:val="clear" w:color="auto" w:fill="auto"/>
          </w:tcPr>
          <w:p w:rsidR="00651777" w:rsidRPr="00653F26" w:rsidRDefault="00650BA9" w:rsidP="00650BA9">
            <w:pPr>
              <w:spacing w:before="60" w:after="60"/>
              <w:jc w:val="left"/>
              <w:rPr>
                <w:b/>
                <w:bCs/>
              </w:rPr>
            </w:pPr>
            <w:r w:rsidRPr="00653F26">
              <w:rPr>
                <w:b/>
                <w:bCs/>
              </w:rPr>
              <w:t>CCRR/50</w:t>
            </w:r>
          </w:p>
        </w:tc>
        <w:tc>
          <w:tcPr>
            <w:tcW w:w="4536" w:type="dxa"/>
            <w:shd w:val="clear" w:color="auto" w:fill="auto"/>
          </w:tcPr>
          <w:p w:rsidR="00651777" w:rsidRPr="001E0B86" w:rsidRDefault="00651777" w:rsidP="00651777">
            <w:pPr>
              <w:jc w:val="left"/>
              <w:rPr>
                <w:rFonts w:cs="Arial"/>
              </w:rPr>
            </w:pPr>
          </w:p>
        </w:tc>
      </w:tr>
      <w:tr w:rsidR="00650BA9" w:rsidRPr="001E0B86" w:rsidTr="00023657">
        <w:tc>
          <w:tcPr>
            <w:tcW w:w="5353" w:type="dxa"/>
            <w:gridSpan w:val="2"/>
            <w:shd w:val="clear" w:color="auto" w:fill="auto"/>
          </w:tcPr>
          <w:p w:rsidR="00650BA9" w:rsidRPr="00653F26" w:rsidRDefault="00650BA9" w:rsidP="00651777">
            <w:pPr>
              <w:spacing w:before="0"/>
              <w:rPr>
                <w:sz w:val="24"/>
                <w:szCs w:val="24"/>
              </w:rPr>
            </w:pPr>
            <w:bookmarkStart w:id="3" w:name="Contact"/>
            <w:bookmarkEnd w:id="3"/>
          </w:p>
        </w:tc>
        <w:tc>
          <w:tcPr>
            <w:tcW w:w="4536" w:type="dxa"/>
            <w:shd w:val="clear" w:color="auto" w:fill="auto"/>
          </w:tcPr>
          <w:p w:rsidR="00650BA9" w:rsidRPr="001E0B86" w:rsidRDefault="00650BA9" w:rsidP="00651777">
            <w:pPr>
              <w:spacing w:before="0"/>
            </w:pPr>
          </w:p>
        </w:tc>
      </w:tr>
      <w:tr w:rsidR="00EA15B3" w:rsidRPr="00653F26" w:rsidTr="00EA15B3">
        <w:tc>
          <w:tcPr>
            <w:tcW w:w="9889" w:type="dxa"/>
            <w:gridSpan w:val="3"/>
            <w:shd w:val="clear" w:color="auto" w:fill="auto"/>
          </w:tcPr>
          <w:p w:rsidR="00650BA9" w:rsidRPr="00653F26" w:rsidRDefault="00650BA9" w:rsidP="00650BA9">
            <w:pPr>
              <w:spacing w:before="600" w:after="600"/>
              <w:rPr>
                <w:b/>
                <w:bCs/>
                <w:sz w:val="24"/>
                <w:szCs w:val="24"/>
              </w:rPr>
            </w:pPr>
            <w:r w:rsidRPr="00653F26">
              <w:rPr>
                <w:b/>
                <w:bCs/>
                <w:sz w:val="24"/>
                <w:szCs w:val="24"/>
              </w:rPr>
              <w:t>Aux administrations des Etats Membres de l'UIT</w:t>
            </w:r>
          </w:p>
        </w:tc>
      </w:tr>
      <w:tr w:rsidR="00EA15B3" w:rsidRPr="00653F26" w:rsidTr="00651777">
        <w:tc>
          <w:tcPr>
            <w:tcW w:w="1276" w:type="dxa"/>
            <w:shd w:val="clear" w:color="auto" w:fill="auto"/>
          </w:tcPr>
          <w:p w:rsidR="00EA15B3" w:rsidRPr="00653F26" w:rsidRDefault="00276B8B" w:rsidP="00651777">
            <w:pPr>
              <w:jc w:val="left"/>
              <w:rPr>
                <w:sz w:val="24"/>
                <w:szCs w:val="24"/>
              </w:rPr>
            </w:pPr>
            <w:r w:rsidRPr="00653F26">
              <w:rPr>
                <w:sz w:val="24"/>
                <w:szCs w:val="24"/>
              </w:rPr>
              <w:t>Sujet</w:t>
            </w:r>
            <w:r w:rsidR="00EA15B3" w:rsidRPr="00653F26">
              <w:rPr>
                <w:sz w:val="24"/>
                <w:szCs w:val="24"/>
              </w:rPr>
              <w:t>:</w:t>
            </w:r>
          </w:p>
        </w:tc>
        <w:tc>
          <w:tcPr>
            <w:tcW w:w="8613" w:type="dxa"/>
            <w:gridSpan w:val="2"/>
            <w:shd w:val="clear" w:color="auto" w:fill="auto"/>
          </w:tcPr>
          <w:p w:rsidR="00EA15B3" w:rsidRPr="00653F26" w:rsidRDefault="00650BA9" w:rsidP="00EA15B3">
            <w:pPr>
              <w:rPr>
                <w:sz w:val="24"/>
                <w:szCs w:val="24"/>
              </w:rPr>
            </w:pPr>
            <w:bookmarkStart w:id="4" w:name="Subject"/>
            <w:bookmarkEnd w:id="4"/>
            <w:r w:rsidRPr="00653F26">
              <w:rPr>
                <w:b/>
                <w:bCs/>
                <w:sz w:val="24"/>
                <w:szCs w:val="24"/>
              </w:rPr>
              <w:t xml:space="preserve">Projets de Règles de procédure visant à tenir compte des décisions de la CMR-12 et </w:t>
            </w:r>
            <w:r w:rsidR="004A7220" w:rsidRPr="00653F26">
              <w:rPr>
                <w:b/>
                <w:bCs/>
                <w:sz w:val="24"/>
                <w:szCs w:val="24"/>
              </w:rPr>
              <w:br/>
            </w:r>
            <w:r w:rsidRPr="00653F26">
              <w:rPr>
                <w:b/>
                <w:bCs/>
                <w:sz w:val="24"/>
                <w:szCs w:val="24"/>
              </w:rPr>
              <w:t>Règles en vigueur appelant éventuellement des mises à jour</w:t>
            </w:r>
          </w:p>
        </w:tc>
      </w:tr>
    </w:tbl>
    <w:p w:rsidR="00650BA9" w:rsidRPr="00653F26" w:rsidRDefault="00650BA9" w:rsidP="00746414">
      <w:pPr>
        <w:spacing w:before="360" w:line="240" w:lineRule="auto"/>
        <w:rPr>
          <w:sz w:val="24"/>
          <w:szCs w:val="24"/>
        </w:rPr>
      </w:pPr>
      <w:bookmarkStart w:id="5" w:name="Formula"/>
      <w:bookmarkStart w:id="6" w:name="MainStory"/>
      <w:bookmarkEnd w:id="5"/>
      <w:bookmarkEnd w:id="6"/>
      <w:r w:rsidRPr="00653F26">
        <w:rPr>
          <w:sz w:val="24"/>
          <w:szCs w:val="24"/>
        </w:rPr>
        <w:t>A sa 59ème réunion (14-18 mai 2012), le Comité du Règlement des radiocommunications</w:t>
      </w:r>
      <w:r w:rsidR="004A7220" w:rsidRPr="00653F26">
        <w:rPr>
          <w:sz w:val="24"/>
          <w:szCs w:val="24"/>
        </w:rPr>
        <w:t xml:space="preserve"> </w:t>
      </w:r>
      <w:r w:rsidRPr="00653F26">
        <w:rPr>
          <w:sz w:val="24"/>
          <w:szCs w:val="24"/>
        </w:rPr>
        <w:t xml:space="preserve">(RRB) a examiné l'incidence des décisions de la CMR-12 sur les Règles de procédure en vigueur et adopté le calendrier d'examen des projets de Règles de procédure, nouvelles ou modifiées, sur la base du document présenté par le Bureau des radiocommunications (voir le Document RRB12-1/4) ainsi que d'autres contributions soumises par des membres du Comité. Le Comité a chargé le Bureau d'agir en conséquence, étant entendu que ce calendrier pourra, à terme, être modifié sur la base d'études complémentaires (voir la Révision </w:t>
      </w:r>
      <w:r w:rsidR="00746414">
        <w:rPr>
          <w:sz w:val="24"/>
          <w:szCs w:val="24"/>
        </w:rPr>
        <w:t>10</w:t>
      </w:r>
      <w:bookmarkStart w:id="7" w:name="_GoBack"/>
      <w:bookmarkEnd w:id="7"/>
      <w:r w:rsidRPr="00653F26">
        <w:rPr>
          <w:sz w:val="24"/>
          <w:szCs w:val="24"/>
        </w:rPr>
        <w:t xml:space="preserve"> du Document RRB12-1/4). </w:t>
      </w:r>
    </w:p>
    <w:p w:rsidR="00650BA9" w:rsidRPr="00653F26" w:rsidRDefault="00650BA9" w:rsidP="00650BA9">
      <w:pPr>
        <w:spacing w:line="240" w:lineRule="auto"/>
        <w:rPr>
          <w:sz w:val="24"/>
          <w:szCs w:val="24"/>
        </w:rPr>
      </w:pPr>
      <w:r w:rsidRPr="00653F26">
        <w:rPr>
          <w:sz w:val="24"/>
          <w:szCs w:val="24"/>
        </w:rPr>
        <w:t>En conséquence, le Bureau a élaboré une</w:t>
      </w:r>
      <w:r w:rsidR="009B3BD8" w:rsidRPr="00653F26">
        <w:rPr>
          <w:sz w:val="24"/>
          <w:szCs w:val="24"/>
        </w:rPr>
        <w:t xml:space="preserve"> </w:t>
      </w:r>
      <w:r w:rsidRPr="00653F26">
        <w:rPr>
          <w:sz w:val="24"/>
          <w:szCs w:val="24"/>
        </w:rPr>
        <w:t>cinquième série de projets de Règles de procédure, nouvelles ou modifiées, suite aux décisions de la CMR-12.</w:t>
      </w:r>
    </w:p>
    <w:p w:rsidR="00650BA9" w:rsidRPr="00653F26" w:rsidRDefault="00650BA9" w:rsidP="00650BA9">
      <w:pPr>
        <w:spacing w:line="240" w:lineRule="auto"/>
        <w:rPr>
          <w:sz w:val="24"/>
          <w:szCs w:val="24"/>
        </w:rPr>
      </w:pPr>
      <w:r w:rsidRPr="00653F26">
        <w:rPr>
          <w:sz w:val="24"/>
          <w:szCs w:val="24"/>
        </w:rPr>
        <w:t xml:space="preserve">Conformément au numéro </w:t>
      </w:r>
      <w:r w:rsidRPr="00653F26">
        <w:rPr>
          <w:b/>
          <w:bCs/>
          <w:sz w:val="24"/>
          <w:szCs w:val="24"/>
        </w:rPr>
        <w:t>13.17</w:t>
      </w:r>
      <w:r w:rsidRPr="00653F26">
        <w:rPr>
          <w:sz w:val="24"/>
          <w:szCs w:val="24"/>
        </w:rPr>
        <w:t xml:space="preserve"> du Règlement des radiocommunications, ces projets de Règles de procédure sont soumis aux administrations pour observations, avant d'être communiqués au RRB au titre du numéro </w:t>
      </w:r>
      <w:r w:rsidRPr="00653F26">
        <w:rPr>
          <w:b/>
          <w:bCs/>
          <w:sz w:val="24"/>
          <w:szCs w:val="24"/>
        </w:rPr>
        <w:t>13.14</w:t>
      </w:r>
      <w:r w:rsidRPr="00653F26">
        <w:rPr>
          <w:sz w:val="24"/>
          <w:szCs w:val="24"/>
        </w:rPr>
        <w:t xml:space="preserve">. Comme indiqué au point </w:t>
      </w:r>
      <w:r w:rsidRPr="00653F26">
        <w:rPr>
          <w:i/>
          <w:sz w:val="24"/>
          <w:szCs w:val="24"/>
        </w:rPr>
        <w:t>d)</w:t>
      </w:r>
      <w:r w:rsidRPr="00653F26">
        <w:rPr>
          <w:sz w:val="24"/>
          <w:szCs w:val="24"/>
        </w:rPr>
        <w:t xml:space="preserve"> du numéro </w:t>
      </w:r>
      <w:r w:rsidRPr="00653F26">
        <w:rPr>
          <w:b/>
          <w:bCs/>
          <w:sz w:val="24"/>
          <w:szCs w:val="24"/>
        </w:rPr>
        <w:t xml:space="preserve">13.12A </w:t>
      </w:r>
      <w:r w:rsidRPr="00653F26">
        <w:rPr>
          <w:sz w:val="24"/>
          <w:szCs w:val="24"/>
        </w:rPr>
        <w:t xml:space="preserve">du Règlement des radiocommunications, les observations éventuelles que vous souhaiteriez formuler doivent parvenir au Bureau au plus tard </w:t>
      </w:r>
      <w:r w:rsidRPr="00653F26">
        <w:rPr>
          <w:b/>
          <w:bCs/>
          <w:sz w:val="24"/>
          <w:szCs w:val="24"/>
        </w:rPr>
        <w:t>le 2 juillet 2014</w:t>
      </w:r>
      <w:r w:rsidRPr="00653F26">
        <w:rPr>
          <w:sz w:val="24"/>
          <w:szCs w:val="24"/>
        </w:rPr>
        <w:t xml:space="preserve">, afin que le RRB puisse les examiner à sa 66ème réunion, qui se tiendra du 30 juillet au 5 août 2014. Les observations doivent être soumises par télécopie (+41 22 730 </w:t>
      </w:r>
      <w:r w:rsidR="001E0B86" w:rsidRPr="00653F26">
        <w:rPr>
          <w:sz w:val="24"/>
          <w:szCs w:val="24"/>
        </w:rPr>
        <w:t>5785)</w:t>
      </w:r>
      <w:r w:rsidRPr="00653F26">
        <w:rPr>
          <w:sz w:val="24"/>
          <w:szCs w:val="24"/>
        </w:rPr>
        <w:t xml:space="preserve"> ou par courrier électronique à l'adresse: </w:t>
      </w:r>
      <w:hyperlink r:id="rId8" w:history="1">
        <w:r w:rsidRPr="00653F26">
          <w:rPr>
            <w:rStyle w:val="Hyperlink"/>
            <w:sz w:val="24"/>
            <w:szCs w:val="24"/>
          </w:rPr>
          <w:t>brmail@itu.int</w:t>
        </w:r>
      </w:hyperlink>
      <w:r w:rsidRPr="00653F26">
        <w:rPr>
          <w:sz w:val="24"/>
          <w:szCs w:val="24"/>
        </w:rPr>
        <w:t>.</w:t>
      </w:r>
    </w:p>
    <w:p w:rsidR="00650BA9" w:rsidRPr="00653F26" w:rsidRDefault="00650BA9" w:rsidP="00650BA9">
      <w:pPr>
        <w:spacing w:before="840" w:line="240" w:lineRule="auto"/>
        <w:jc w:val="left"/>
        <w:rPr>
          <w:sz w:val="24"/>
          <w:szCs w:val="24"/>
        </w:rPr>
      </w:pPr>
      <w:r w:rsidRPr="00653F26">
        <w:rPr>
          <w:sz w:val="24"/>
          <w:szCs w:val="24"/>
        </w:rPr>
        <w:t>François Rancy</w:t>
      </w:r>
      <w:r w:rsidRPr="00653F26">
        <w:rPr>
          <w:sz w:val="24"/>
          <w:szCs w:val="24"/>
        </w:rPr>
        <w:br/>
        <w:t xml:space="preserve">Directeur </w:t>
      </w:r>
    </w:p>
    <w:p w:rsidR="00650BA9" w:rsidRPr="00653F26" w:rsidRDefault="00650BA9" w:rsidP="00650BA9">
      <w:pPr>
        <w:spacing w:before="480" w:line="240" w:lineRule="auto"/>
        <w:jc w:val="left"/>
        <w:rPr>
          <w:rFonts w:asciiTheme="minorHAnsi" w:hAnsiTheme="minorHAnsi" w:cstheme="minorHAnsi"/>
          <w:b/>
          <w:bCs/>
          <w:sz w:val="24"/>
          <w:szCs w:val="24"/>
        </w:rPr>
      </w:pPr>
      <w:r w:rsidRPr="00653F26">
        <w:rPr>
          <w:rFonts w:asciiTheme="minorHAnsi" w:hAnsiTheme="minorHAnsi" w:cstheme="minorHAnsi"/>
          <w:b/>
          <w:bCs/>
          <w:sz w:val="24"/>
          <w:szCs w:val="24"/>
        </w:rPr>
        <w:t>Annexe</w:t>
      </w:r>
      <w:r w:rsidRPr="00653F26">
        <w:rPr>
          <w:rFonts w:asciiTheme="minorHAnsi" w:hAnsiTheme="minorHAnsi" w:cstheme="minorHAnsi"/>
          <w:sz w:val="24"/>
          <w:szCs w:val="24"/>
        </w:rPr>
        <w:t>: 1</w:t>
      </w:r>
    </w:p>
    <w:p w:rsidR="00AF3325" w:rsidRPr="001E0B86" w:rsidRDefault="00650BA9" w:rsidP="00650BA9">
      <w:pPr>
        <w:tabs>
          <w:tab w:val="clear" w:pos="794"/>
          <w:tab w:val="left" w:pos="426"/>
        </w:tabs>
        <w:jc w:val="left"/>
        <w:rPr>
          <w:bCs/>
          <w:sz w:val="18"/>
          <w:szCs w:val="18"/>
        </w:rPr>
      </w:pPr>
      <w:r w:rsidRPr="00653F26">
        <w:rPr>
          <w:b/>
          <w:sz w:val="18"/>
          <w:szCs w:val="18"/>
        </w:rPr>
        <w:t>Distribution</w:t>
      </w:r>
      <w:r w:rsidRPr="001E0B86">
        <w:rPr>
          <w:bCs/>
          <w:sz w:val="18"/>
          <w:szCs w:val="18"/>
        </w:rPr>
        <w:t xml:space="preserve">: </w:t>
      </w:r>
      <w:r w:rsidRPr="001E0B86">
        <w:rPr>
          <w:bCs/>
          <w:sz w:val="18"/>
          <w:szCs w:val="18"/>
        </w:rPr>
        <w:br/>
        <w:t>–</w:t>
      </w:r>
      <w:r w:rsidRPr="001E0B86">
        <w:rPr>
          <w:bCs/>
          <w:sz w:val="18"/>
          <w:szCs w:val="18"/>
        </w:rPr>
        <w:tab/>
        <w:t>Administrations des Etats Membres de l'UIT</w:t>
      </w:r>
      <w:r w:rsidRPr="001E0B86">
        <w:rPr>
          <w:bCs/>
          <w:sz w:val="18"/>
          <w:szCs w:val="18"/>
        </w:rPr>
        <w:br/>
        <w:t>–</w:t>
      </w:r>
      <w:r w:rsidRPr="001E0B86">
        <w:rPr>
          <w:bCs/>
          <w:sz w:val="18"/>
          <w:szCs w:val="18"/>
        </w:rPr>
        <w:tab/>
        <w:t>Membres du Comité du Règlement des radiocommunications</w:t>
      </w:r>
    </w:p>
    <w:p w:rsidR="00834D16" w:rsidRPr="001E0B86" w:rsidRDefault="00834D16" w:rsidP="00650BA9">
      <w:pPr>
        <w:tabs>
          <w:tab w:val="clear" w:pos="794"/>
          <w:tab w:val="left" w:pos="426"/>
        </w:tabs>
        <w:jc w:val="left"/>
        <w:sectPr w:rsidR="00834D16" w:rsidRPr="001E0B86" w:rsidSect="00235A29">
          <w:headerReference w:type="even" r:id="rId9"/>
          <w:headerReference w:type="default" r:id="rId10"/>
          <w:headerReference w:type="first" r:id="rId11"/>
          <w:footerReference w:type="first" r:id="rId12"/>
          <w:pgSz w:w="11907" w:h="16834" w:code="9"/>
          <w:pgMar w:top="1134" w:right="1134" w:bottom="1134" w:left="1134" w:header="567" w:footer="567" w:gutter="0"/>
          <w:paperSrc w:first="4" w:other="4"/>
          <w:cols w:space="720"/>
          <w:titlePg/>
        </w:sectPr>
      </w:pPr>
    </w:p>
    <w:p w:rsidR="00834D16" w:rsidRPr="001E0B86" w:rsidRDefault="009B3BD8" w:rsidP="009B3BD8">
      <w:pPr>
        <w:pStyle w:val="ArtNo"/>
        <w:spacing w:before="240"/>
      </w:pPr>
      <w:r w:rsidRPr="001E0B86">
        <w:lastRenderedPageBreak/>
        <w:t>annexe</w:t>
      </w:r>
    </w:p>
    <w:p w:rsidR="009B3BD8" w:rsidRPr="0084450A" w:rsidRDefault="009B3BD8" w:rsidP="004A7220">
      <w:pPr>
        <w:pStyle w:val="Headingb"/>
        <w:jc w:val="center"/>
        <w:rPr>
          <w:sz w:val="24"/>
          <w:szCs w:val="24"/>
          <w:lang w:eastAsia="zh-CN"/>
        </w:rPr>
      </w:pPr>
      <w:r w:rsidRPr="0084450A">
        <w:rPr>
          <w:sz w:val="24"/>
          <w:szCs w:val="24"/>
        </w:rPr>
        <w:t>Règles relatives à l'Article 11 du RR</w:t>
      </w:r>
    </w:p>
    <w:p w:rsidR="009B3BD8" w:rsidRPr="0084450A" w:rsidRDefault="009B3BD8" w:rsidP="00EB6A5A">
      <w:pPr>
        <w:pStyle w:val="Headingb"/>
        <w:spacing w:after="120"/>
        <w:rPr>
          <w:rFonts w:asciiTheme="minorHAnsi" w:hAnsiTheme="minorHAnsi"/>
          <w:bCs/>
          <w:sz w:val="24"/>
          <w:szCs w:val="24"/>
        </w:rPr>
      </w:pPr>
      <w:r w:rsidRPr="0084450A">
        <w:rPr>
          <w:rFonts w:asciiTheme="minorHAnsi" w:hAnsiTheme="minorHAnsi"/>
          <w:bCs/>
          <w:sz w:val="24"/>
          <w:szCs w:val="24"/>
        </w:rPr>
        <w:t>ADD</w:t>
      </w: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3"/>
      </w:tblGrid>
      <w:tr w:rsidR="009B3BD8" w:rsidRPr="00EB6A5A" w:rsidTr="005137F3">
        <w:tc>
          <w:tcPr>
            <w:tcW w:w="993" w:type="dxa"/>
            <w:tcBorders>
              <w:top w:val="double" w:sz="4" w:space="0" w:color="auto"/>
              <w:left w:val="double" w:sz="4" w:space="0" w:color="auto"/>
              <w:bottom w:val="double" w:sz="4" w:space="0" w:color="auto"/>
              <w:right w:val="double" w:sz="4" w:space="0" w:color="auto"/>
            </w:tcBorders>
            <w:hideMark/>
          </w:tcPr>
          <w:p w:rsidR="009B3BD8" w:rsidRPr="00EB6A5A" w:rsidRDefault="009B3BD8" w:rsidP="009B3BD8">
            <w:pPr>
              <w:pStyle w:val="Heading8"/>
              <w:spacing w:before="120" w:line="240" w:lineRule="auto"/>
              <w:ind w:left="0" w:right="-108" w:firstLine="0"/>
              <w:rPr>
                <w:rFonts w:asciiTheme="minorHAnsi" w:hAnsiTheme="minorHAnsi"/>
                <w:color w:val="000000"/>
                <w:sz w:val="22"/>
              </w:rPr>
            </w:pPr>
            <w:r w:rsidRPr="00EB6A5A">
              <w:rPr>
                <w:rFonts w:asciiTheme="minorHAnsi" w:hAnsiTheme="minorHAnsi"/>
                <w:color w:val="000000"/>
                <w:sz w:val="22"/>
              </w:rPr>
              <w:t>11.50</w:t>
            </w:r>
          </w:p>
        </w:tc>
      </w:tr>
    </w:tbl>
    <w:p w:rsidR="009B3BD8" w:rsidRPr="0084450A" w:rsidRDefault="009B3BD8" w:rsidP="009B3BD8">
      <w:pPr>
        <w:rPr>
          <w:sz w:val="24"/>
          <w:szCs w:val="24"/>
          <w:lang w:eastAsia="zh-CN"/>
        </w:rPr>
      </w:pPr>
      <w:r w:rsidRPr="0084450A">
        <w:rPr>
          <w:sz w:val="24"/>
          <w:szCs w:val="24"/>
          <w:lang w:eastAsia="zh-CN"/>
        </w:rPr>
        <w:t>En vertu de cette disposition, le Bureau est chargé d'examiner périodiquement le Fichier de référence</w:t>
      </w:r>
      <w:r w:rsidR="001E0B86" w:rsidRPr="0084450A">
        <w:rPr>
          <w:sz w:val="24"/>
          <w:szCs w:val="24"/>
          <w:lang w:eastAsia="zh-CN"/>
        </w:rPr>
        <w:t>,</w:t>
      </w:r>
      <w:r w:rsidRPr="0084450A">
        <w:rPr>
          <w:sz w:val="24"/>
          <w:szCs w:val="24"/>
          <w:lang w:eastAsia="zh-CN"/>
        </w:rPr>
        <w:t xml:space="preserve"> en vue d'en maintenir ou d'en améliorer la précision, en s'attachant tout particulièrement aux conclusions, de façon à les adapter à l'évolution de la situation concernant les attributions après chaque conférence mondiale des radiocommunications. En ce qui concerne la deuxième partie de cette disposition, libellée comme suit: «… en s'attachant tout particulièrement aux …», étant donné que les situations relatives aux attributions peuvent faire l'objet de modifications très diverses et qu'un nombre considérable de champs sont utilisés pour mémoriser les renseignements relatifs aux conclusions dans le Fichier de référence, le Comité a conclu que la manière la plus indiquée de donner des instructions au Bureau concernant l'examen des conclusions serait de déterminer les principaux éléments à prendre en compte pour cet examen. Le Comité a donc décidé que lors de l'examen des conclusions au titre du numéro </w:t>
      </w:r>
      <w:r w:rsidRPr="0084450A">
        <w:rPr>
          <w:b/>
          <w:bCs/>
          <w:sz w:val="24"/>
          <w:szCs w:val="24"/>
          <w:lang w:eastAsia="zh-CN"/>
        </w:rPr>
        <w:t>11.50</w:t>
      </w:r>
      <w:r w:rsidRPr="0084450A">
        <w:rPr>
          <w:sz w:val="24"/>
          <w:szCs w:val="24"/>
          <w:lang w:eastAsia="zh-CN"/>
        </w:rPr>
        <w:t xml:space="preserve">, il conviendrait d'appliquer les principes fondamentaux ci-après: </w:t>
      </w:r>
    </w:p>
    <w:p w:rsidR="009B3BD8" w:rsidRPr="0084450A" w:rsidRDefault="009B3BD8" w:rsidP="009B3BD8">
      <w:pPr>
        <w:tabs>
          <w:tab w:val="clear" w:pos="794"/>
          <w:tab w:val="clear" w:pos="1191"/>
          <w:tab w:val="clear" w:pos="1588"/>
          <w:tab w:val="clear" w:pos="1985"/>
        </w:tabs>
        <w:overflowPunct/>
        <w:spacing w:before="120" w:line="240" w:lineRule="auto"/>
        <w:ind w:left="720" w:hanging="720"/>
        <w:textAlignment w:val="auto"/>
        <w:rPr>
          <w:sz w:val="24"/>
          <w:szCs w:val="24"/>
          <w:lang w:eastAsia="zh-CN"/>
        </w:rPr>
      </w:pPr>
      <w:r w:rsidRPr="0084450A">
        <w:rPr>
          <w:sz w:val="24"/>
          <w:szCs w:val="24"/>
          <w:lang w:eastAsia="zh-CN"/>
        </w:rPr>
        <w:t>1)</w:t>
      </w:r>
      <w:r w:rsidRPr="0084450A">
        <w:rPr>
          <w:sz w:val="24"/>
          <w:szCs w:val="24"/>
          <w:lang w:eastAsia="zh-CN"/>
        </w:rPr>
        <w:tab/>
        <w:t>Lorsque des dispositions réglementaires, nouvelles ou modifiées, entrent en vigueur, le Bureau revoit et met à jour les conclusions relatives aux assignations inscrites concernées, en vue de mettre en évidence leur conformité aux dispositions réglementaires/attributions modifiées.</w:t>
      </w:r>
    </w:p>
    <w:p w:rsidR="009B3BD8" w:rsidRPr="0084450A" w:rsidRDefault="009B3BD8" w:rsidP="009B3BD8">
      <w:pPr>
        <w:tabs>
          <w:tab w:val="clear" w:pos="794"/>
          <w:tab w:val="clear" w:pos="1191"/>
          <w:tab w:val="clear" w:pos="1588"/>
          <w:tab w:val="clear" w:pos="1985"/>
        </w:tabs>
        <w:overflowPunct/>
        <w:spacing w:before="120" w:line="240" w:lineRule="auto"/>
        <w:ind w:left="720" w:hanging="720"/>
        <w:textAlignment w:val="auto"/>
        <w:rPr>
          <w:sz w:val="24"/>
          <w:szCs w:val="24"/>
          <w:lang w:eastAsia="zh-CN"/>
        </w:rPr>
      </w:pPr>
      <w:r w:rsidRPr="0084450A">
        <w:rPr>
          <w:sz w:val="24"/>
          <w:szCs w:val="24"/>
          <w:lang w:eastAsia="zh-CN"/>
        </w:rPr>
        <w:t>2)</w:t>
      </w:r>
      <w:r w:rsidRPr="0084450A">
        <w:rPr>
          <w:sz w:val="24"/>
          <w:szCs w:val="24"/>
          <w:lang w:eastAsia="zh-CN"/>
        </w:rPr>
        <w:tab/>
        <w:t xml:space="preserve">Avant de prendre de quelconques mesures, le Bureau se met en rapport avec chaque administration </w:t>
      </w:r>
      <w:proofErr w:type="spellStart"/>
      <w:r w:rsidRPr="0084450A">
        <w:rPr>
          <w:sz w:val="24"/>
          <w:szCs w:val="24"/>
          <w:lang w:eastAsia="zh-CN"/>
        </w:rPr>
        <w:t>notificatrice</w:t>
      </w:r>
      <w:proofErr w:type="spellEnd"/>
      <w:r w:rsidRPr="0084450A">
        <w:rPr>
          <w:sz w:val="24"/>
          <w:szCs w:val="24"/>
          <w:lang w:eastAsia="zh-CN"/>
        </w:rPr>
        <w:t xml:space="preserve"> concernée au sujet de l'examen des conclusions et fournit des renseignements relatifs aux assignations à l'examen, en leur demandant de confirmer les mesures proposées. Si aucune réponse n'est reçue dans le délai fixé par le Bureau (qu</w:t>
      </w:r>
      <w:r w:rsidR="00693254" w:rsidRPr="0084450A">
        <w:rPr>
          <w:sz w:val="24"/>
          <w:szCs w:val="24"/>
          <w:lang w:eastAsia="zh-CN"/>
        </w:rPr>
        <w:t>i est en principe de 30 </w:t>
      </w:r>
      <w:r w:rsidRPr="0084450A">
        <w:rPr>
          <w:sz w:val="24"/>
          <w:szCs w:val="24"/>
          <w:lang w:eastAsia="zh-CN"/>
        </w:rPr>
        <w:t xml:space="preserve">jours à compter de la date de la communication du Bureau), le BR envoie un rappel. Si aucune réponse n'est reçue dans un délai de 15 jours à compter de la date du rappel, le BR met en </w:t>
      </w:r>
      <w:proofErr w:type="spellStart"/>
      <w:r w:rsidRPr="0084450A">
        <w:rPr>
          <w:sz w:val="24"/>
          <w:szCs w:val="24"/>
          <w:lang w:eastAsia="zh-CN"/>
        </w:rPr>
        <w:t>oeuvre</w:t>
      </w:r>
      <w:proofErr w:type="spellEnd"/>
      <w:r w:rsidRPr="0084450A">
        <w:rPr>
          <w:sz w:val="24"/>
          <w:szCs w:val="24"/>
          <w:lang w:eastAsia="zh-CN"/>
        </w:rPr>
        <w:t xml:space="preserve"> les mesures proposées décrites aux points 3</w:t>
      </w:r>
      <w:r w:rsidR="004A7220" w:rsidRPr="0084450A">
        <w:rPr>
          <w:sz w:val="24"/>
          <w:szCs w:val="24"/>
          <w:lang w:eastAsia="zh-CN"/>
        </w:rPr>
        <w:t>)</w:t>
      </w:r>
      <w:r w:rsidRPr="0084450A">
        <w:rPr>
          <w:sz w:val="24"/>
          <w:szCs w:val="24"/>
          <w:lang w:eastAsia="zh-CN"/>
        </w:rPr>
        <w:t xml:space="preserve"> à 6</w:t>
      </w:r>
      <w:r w:rsidR="004A7220" w:rsidRPr="0084450A">
        <w:rPr>
          <w:sz w:val="24"/>
          <w:szCs w:val="24"/>
          <w:lang w:eastAsia="zh-CN"/>
        </w:rPr>
        <w:t>)</w:t>
      </w:r>
      <w:r w:rsidRPr="0084450A">
        <w:rPr>
          <w:sz w:val="24"/>
          <w:szCs w:val="24"/>
          <w:lang w:eastAsia="zh-CN"/>
        </w:rPr>
        <w:t xml:space="preserve"> ci-dessous.</w:t>
      </w:r>
    </w:p>
    <w:p w:rsidR="009B3BD8" w:rsidRPr="0084450A" w:rsidRDefault="009B3BD8" w:rsidP="004A7220">
      <w:pPr>
        <w:tabs>
          <w:tab w:val="clear" w:pos="794"/>
          <w:tab w:val="clear" w:pos="1191"/>
          <w:tab w:val="clear" w:pos="1588"/>
          <w:tab w:val="clear" w:pos="1985"/>
        </w:tabs>
        <w:overflowPunct/>
        <w:spacing w:before="120" w:line="240" w:lineRule="auto"/>
        <w:ind w:left="720" w:hanging="720"/>
        <w:textAlignment w:val="auto"/>
        <w:rPr>
          <w:sz w:val="24"/>
          <w:szCs w:val="24"/>
          <w:lang w:eastAsia="zh-CN"/>
        </w:rPr>
      </w:pPr>
      <w:r w:rsidRPr="0084450A">
        <w:rPr>
          <w:sz w:val="24"/>
          <w:szCs w:val="24"/>
          <w:lang w:eastAsia="zh-CN"/>
        </w:rPr>
        <w:t>3)</w:t>
      </w:r>
      <w:r w:rsidRPr="0084450A">
        <w:rPr>
          <w:sz w:val="24"/>
          <w:szCs w:val="24"/>
          <w:lang w:eastAsia="zh-CN"/>
        </w:rPr>
        <w:tab/>
        <w:t xml:space="preserve">Lorsqu'une modification apportée à l'Article </w:t>
      </w:r>
      <w:r w:rsidRPr="0084450A">
        <w:rPr>
          <w:b/>
          <w:bCs/>
          <w:sz w:val="24"/>
          <w:szCs w:val="24"/>
          <w:lang w:eastAsia="zh-CN"/>
        </w:rPr>
        <w:t>5</w:t>
      </w:r>
      <w:r w:rsidRPr="0084450A">
        <w:rPr>
          <w:sz w:val="24"/>
          <w:szCs w:val="24"/>
          <w:lang w:eastAsia="zh-CN"/>
        </w:rPr>
        <w:t xml:space="preserve"> aboutit à la suppression d'une attribution à un service de radiocommunication, l'assignation inscrite concernée devrait être supprimée du Fichier de référence. Si l'administration </w:t>
      </w:r>
      <w:proofErr w:type="spellStart"/>
      <w:r w:rsidRPr="0084450A">
        <w:rPr>
          <w:sz w:val="24"/>
          <w:szCs w:val="24"/>
          <w:lang w:eastAsia="zh-CN"/>
        </w:rPr>
        <w:t>notificatrice</w:t>
      </w:r>
      <w:proofErr w:type="spellEnd"/>
      <w:r w:rsidRPr="0084450A">
        <w:rPr>
          <w:sz w:val="24"/>
          <w:szCs w:val="24"/>
          <w:lang w:eastAsia="zh-CN"/>
        </w:rPr>
        <w:t xml:space="preserve"> demande expressément le maintien de l'assignation et indique que celle-ci sera exploitée conformément au numéro </w:t>
      </w:r>
      <w:r w:rsidRPr="0084450A">
        <w:rPr>
          <w:b/>
          <w:bCs/>
          <w:sz w:val="24"/>
          <w:szCs w:val="24"/>
          <w:lang w:eastAsia="zh-CN"/>
        </w:rPr>
        <w:t>4.4</w:t>
      </w:r>
      <w:r w:rsidRPr="0084450A">
        <w:rPr>
          <w:sz w:val="24"/>
          <w:szCs w:val="24"/>
          <w:lang w:eastAsia="zh-CN"/>
        </w:rPr>
        <w:t>, l'assignation est maintenue dans le Fichier de référence à titre d'information, conformément aux conditions énoncées au numéro</w:t>
      </w:r>
      <w:r w:rsidR="004A7220" w:rsidRPr="0084450A">
        <w:rPr>
          <w:sz w:val="24"/>
          <w:szCs w:val="24"/>
          <w:lang w:eastAsia="zh-CN"/>
        </w:rPr>
        <w:t> </w:t>
      </w:r>
      <w:r w:rsidRPr="0084450A">
        <w:rPr>
          <w:b/>
          <w:bCs/>
          <w:sz w:val="24"/>
          <w:szCs w:val="24"/>
          <w:lang w:eastAsia="zh-CN"/>
        </w:rPr>
        <w:t>8.5</w:t>
      </w:r>
      <w:r w:rsidRPr="0084450A">
        <w:rPr>
          <w:sz w:val="24"/>
          <w:szCs w:val="24"/>
          <w:lang w:eastAsia="zh-CN"/>
        </w:rPr>
        <w:t>.</w:t>
      </w:r>
    </w:p>
    <w:p w:rsidR="009B3BD8" w:rsidRPr="0084450A" w:rsidRDefault="009B3BD8" w:rsidP="001E0B86">
      <w:pPr>
        <w:tabs>
          <w:tab w:val="clear" w:pos="794"/>
          <w:tab w:val="clear" w:pos="1191"/>
          <w:tab w:val="clear" w:pos="1588"/>
          <w:tab w:val="clear" w:pos="1985"/>
        </w:tabs>
        <w:overflowPunct/>
        <w:spacing w:before="120" w:line="240" w:lineRule="auto"/>
        <w:ind w:left="720" w:hanging="720"/>
        <w:textAlignment w:val="auto"/>
        <w:rPr>
          <w:sz w:val="24"/>
          <w:szCs w:val="24"/>
          <w:lang w:eastAsia="zh-CN"/>
        </w:rPr>
      </w:pPr>
      <w:r w:rsidRPr="0084450A">
        <w:rPr>
          <w:sz w:val="24"/>
          <w:szCs w:val="24"/>
          <w:lang w:eastAsia="zh-CN"/>
        </w:rPr>
        <w:t>4)</w:t>
      </w:r>
      <w:r w:rsidRPr="0084450A">
        <w:rPr>
          <w:sz w:val="24"/>
          <w:szCs w:val="24"/>
          <w:lang w:eastAsia="zh-CN"/>
        </w:rPr>
        <w:tab/>
        <w:t xml:space="preserve">Lorsqu'une modification apportée à l'Article </w:t>
      </w:r>
      <w:r w:rsidRPr="0084450A">
        <w:rPr>
          <w:b/>
          <w:bCs/>
          <w:sz w:val="24"/>
          <w:szCs w:val="24"/>
          <w:lang w:eastAsia="zh-CN"/>
        </w:rPr>
        <w:t>5</w:t>
      </w:r>
      <w:r w:rsidRPr="0084450A">
        <w:rPr>
          <w:sz w:val="24"/>
          <w:szCs w:val="24"/>
          <w:lang w:eastAsia="zh-CN"/>
        </w:rPr>
        <w:t xml:space="preserve"> a pour effet de conférer à la catégorie d'attribution un statut inférieur et que l'attribution reléguée à un statut inférieur n'est pas subordonnée à d'autres conditions, l'assignation inscrite concernée obtient en conséquence un statut inférieur et l'assignation est maintenue dans le Fichier de référence, sauf si l'administration </w:t>
      </w:r>
      <w:proofErr w:type="spellStart"/>
      <w:r w:rsidRPr="0084450A">
        <w:rPr>
          <w:sz w:val="24"/>
          <w:szCs w:val="24"/>
          <w:lang w:eastAsia="zh-CN"/>
        </w:rPr>
        <w:t>notificatrice</w:t>
      </w:r>
      <w:proofErr w:type="spellEnd"/>
      <w:r w:rsidRPr="0084450A">
        <w:rPr>
          <w:sz w:val="24"/>
          <w:szCs w:val="24"/>
          <w:lang w:eastAsia="zh-CN"/>
        </w:rPr>
        <w:t xml:space="preserve"> demande sa suppression. Lorsque l'attribution reléguée à un statut inférieur est subordonnée à d'autres conditions, l'assignation n'est maintenue dans le Fichier de référence avec un statut inférieur que si toutes les dispositions pertinentes du RR ont été respectées et si toutes les procédures de coordination applicables ont été menées à bonne fin. Si les conditions n'ont pas été respectées, les mesures qui seront prises en ce qui concerne l'assignation dépendront du type d'examen effectué par le Bureau, à savoir:</w:t>
      </w:r>
    </w:p>
    <w:p w:rsidR="009B3BD8" w:rsidRPr="0084450A" w:rsidRDefault="009B3BD8" w:rsidP="009B3BD8">
      <w:pPr>
        <w:keepLines/>
        <w:tabs>
          <w:tab w:val="clear" w:pos="794"/>
          <w:tab w:val="clear" w:pos="1191"/>
          <w:tab w:val="clear" w:pos="1588"/>
          <w:tab w:val="clear" w:pos="1985"/>
        </w:tabs>
        <w:overflowPunct/>
        <w:spacing w:before="120" w:line="240" w:lineRule="auto"/>
        <w:ind w:left="720" w:hanging="720"/>
        <w:textAlignment w:val="auto"/>
        <w:rPr>
          <w:sz w:val="24"/>
          <w:szCs w:val="24"/>
          <w:lang w:eastAsia="zh-CN"/>
        </w:rPr>
      </w:pPr>
      <w:r w:rsidRPr="0084450A">
        <w:rPr>
          <w:sz w:val="24"/>
          <w:szCs w:val="24"/>
          <w:lang w:eastAsia="zh-CN"/>
        </w:rPr>
        <w:lastRenderedPageBreak/>
        <w:tab/>
        <w:t>4.1</w:t>
      </w:r>
      <w:r w:rsidR="004A7220" w:rsidRPr="0084450A">
        <w:rPr>
          <w:sz w:val="24"/>
          <w:szCs w:val="24"/>
          <w:lang w:eastAsia="zh-CN"/>
        </w:rPr>
        <w:t>)</w:t>
      </w:r>
      <w:r w:rsidRPr="0084450A">
        <w:rPr>
          <w:sz w:val="24"/>
          <w:szCs w:val="24"/>
          <w:lang w:eastAsia="zh-CN"/>
        </w:rPr>
        <w:tab/>
        <w:t xml:space="preserve">Lorsque les conditions prescrites dans le RR concernant l'examen réglementaire au titre du numéro </w:t>
      </w:r>
      <w:r w:rsidRPr="0084450A">
        <w:rPr>
          <w:b/>
          <w:bCs/>
          <w:sz w:val="24"/>
          <w:szCs w:val="24"/>
          <w:lang w:eastAsia="zh-CN"/>
        </w:rPr>
        <w:t>11.31</w:t>
      </w:r>
      <w:r w:rsidRPr="0084450A">
        <w:rPr>
          <w:sz w:val="24"/>
          <w:szCs w:val="24"/>
          <w:lang w:eastAsia="zh-CN"/>
        </w:rPr>
        <w:t xml:space="preserve"> (limites de puissance, restrictions imposées à l'exploitation nationale, nécessité de rechercher un accord conformément au numéro </w:t>
      </w:r>
      <w:r w:rsidRPr="0084450A">
        <w:rPr>
          <w:b/>
          <w:bCs/>
          <w:sz w:val="24"/>
          <w:szCs w:val="24"/>
          <w:lang w:eastAsia="zh-CN"/>
        </w:rPr>
        <w:t>9.21</w:t>
      </w:r>
      <w:r w:rsidRPr="0084450A">
        <w:rPr>
          <w:sz w:val="24"/>
          <w:szCs w:val="24"/>
          <w:lang w:eastAsia="zh-CN"/>
        </w:rPr>
        <w:t xml:space="preserve">, distances de séparation par exemple, etc.) ne sont pas respectées, le Bureau propose à l'administration </w:t>
      </w:r>
      <w:proofErr w:type="spellStart"/>
      <w:r w:rsidRPr="0084450A">
        <w:rPr>
          <w:sz w:val="24"/>
          <w:szCs w:val="24"/>
          <w:lang w:eastAsia="zh-CN"/>
        </w:rPr>
        <w:t>notificatrice</w:t>
      </w:r>
      <w:proofErr w:type="spellEnd"/>
      <w:r w:rsidRPr="0084450A">
        <w:rPr>
          <w:sz w:val="24"/>
          <w:szCs w:val="24"/>
          <w:lang w:eastAsia="zh-CN"/>
        </w:rPr>
        <w:t xml:space="preserve"> de supprimer l'assignation. Si l'administration demande expressément le maintien de l'assignation et indique que celle-ci sera exploitée conformément au numéro </w:t>
      </w:r>
      <w:r w:rsidRPr="0084450A">
        <w:rPr>
          <w:b/>
          <w:bCs/>
          <w:sz w:val="24"/>
          <w:szCs w:val="24"/>
          <w:lang w:eastAsia="zh-CN"/>
        </w:rPr>
        <w:t>4.4</w:t>
      </w:r>
      <w:r w:rsidRPr="0084450A">
        <w:rPr>
          <w:sz w:val="24"/>
          <w:szCs w:val="24"/>
          <w:lang w:eastAsia="zh-CN"/>
        </w:rPr>
        <w:t xml:space="preserve">, l'assignation est maintenue dans le Fichier de référence à titre d'information, conformément aux conditions énoncées au numéro </w:t>
      </w:r>
      <w:r w:rsidRPr="0084450A">
        <w:rPr>
          <w:b/>
          <w:bCs/>
          <w:sz w:val="24"/>
          <w:szCs w:val="24"/>
          <w:lang w:eastAsia="zh-CN"/>
        </w:rPr>
        <w:t>8.5</w:t>
      </w:r>
      <w:r w:rsidRPr="0084450A">
        <w:rPr>
          <w:sz w:val="24"/>
          <w:szCs w:val="24"/>
          <w:lang w:eastAsia="zh-CN"/>
        </w:rPr>
        <w:t>.</w:t>
      </w:r>
    </w:p>
    <w:p w:rsidR="009B3BD8" w:rsidRPr="0084450A" w:rsidRDefault="009B3BD8" w:rsidP="009B3BD8">
      <w:pPr>
        <w:tabs>
          <w:tab w:val="clear" w:pos="794"/>
          <w:tab w:val="clear" w:pos="1191"/>
          <w:tab w:val="clear" w:pos="1588"/>
          <w:tab w:val="clear" w:pos="1985"/>
        </w:tabs>
        <w:overflowPunct/>
        <w:spacing w:before="120" w:line="240" w:lineRule="auto"/>
        <w:ind w:left="720" w:hanging="720"/>
        <w:textAlignment w:val="auto"/>
        <w:rPr>
          <w:sz w:val="24"/>
          <w:szCs w:val="24"/>
          <w:lang w:eastAsia="zh-CN"/>
        </w:rPr>
      </w:pPr>
      <w:r w:rsidRPr="0084450A">
        <w:rPr>
          <w:sz w:val="24"/>
          <w:szCs w:val="24"/>
          <w:lang w:eastAsia="zh-CN"/>
        </w:rPr>
        <w:tab/>
        <w:t>4.2</w:t>
      </w:r>
      <w:r w:rsidR="004A7220" w:rsidRPr="0084450A">
        <w:rPr>
          <w:sz w:val="24"/>
          <w:szCs w:val="24"/>
          <w:lang w:eastAsia="zh-CN"/>
        </w:rPr>
        <w:t>)</w:t>
      </w:r>
      <w:r w:rsidRPr="0084450A">
        <w:rPr>
          <w:sz w:val="24"/>
          <w:szCs w:val="24"/>
          <w:lang w:eastAsia="zh-CN"/>
        </w:rPr>
        <w:tab/>
        <w:t xml:space="preserve">Lorsque les autres procédures de coordinations applicables à l'examen de la coordination conformément au numéro </w:t>
      </w:r>
      <w:r w:rsidRPr="0084450A">
        <w:rPr>
          <w:b/>
          <w:bCs/>
          <w:sz w:val="24"/>
          <w:szCs w:val="24"/>
          <w:lang w:eastAsia="zh-CN"/>
        </w:rPr>
        <w:t>11.32</w:t>
      </w:r>
      <w:r w:rsidRPr="0084450A">
        <w:rPr>
          <w:sz w:val="24"/>
          <w:szCs w:val="24"/>
          <w:lang w:eastAsia="zh-CN"/>
        </w:rPr>
        <w:t xml:space="preserve"> n'ont pas été appliquées avec succès, le Bureau supprime l'assignation et propose qu'elle soit présentée à nouveau, aux fins de l'application des procédures de coordination. En ce qui concerne les stations des services de Terre, si l'administration </w:t>
      </w:r>
      <w:proofErr w:type="spellStart"/>
      <w:r w:rsidRPr="0084450A">
        <w:rPr>
          <w:sz w:val="24"/>
          <w:szCs w:val="24"/>
          <w:lang w:eastAsia="zh-CN"/>
        </w:rPr>
        <w:t>notificatrice</w:t>
      </w:r>
      <w:proofErr w:type="spellEnd"/>
      <w:r w:rsidRPr="0084450A">
        <w:rPr>
          <w:sz w:val="24"/>
          <w:szCs w:val="24"/>
          <w:lang w:eastAsia="zh-CN"/>
        </w:rPr>
        <w:t xml:space="preserve"> demande que l'assignation soit examinée du point de vue de la probabilité de brouillage préjudiciable conformément au numéro </w:t>
      </w:r>
      <w:r w:rsidRPr="0084450A">
        <w:rPr>
          <w:b/>
          <w:bCs/>
          <w:sz w:val="24"/>
          <w:szCs w:val="24"/>
          <w:lang w:eastAsia="zh-CN"/>
        </w:rPr>
        <w:t>11.33</w:t>
      </w:r>
      <w:r w:rsidRPr="0084450A">
        <w:rPr>
          <w:sz w:val="24"/>
          <w:szCs w:val="24"/>
          <w:lang w:eastAsia="zh-CN"/>
        </w:rPr>
        <w:t xml:space="preserve"> et que cet examen aboutit à une conclusion favorable, l'assignation est maintenue dans le Fichier de référence accompagnée des renseignements visés au numéro </w:t>
      </w:r>
      <w:r w:rsidRPr="0084450A">
        <w:rPr>
          <w:b/>
          <w:bCs/>
          <w:sz w:val="24"/>
          <w:szCs w:val="24"/>
          <w:lang w:eastAsia="zh-CN"/>
        </w:rPr>
        <w:t>11.38</w:t>
      </w:r>
      <w:r w:rsidR="004A7220" w:rsidRPr="0084450A">
        <w:rPr>
          <w:sz w:val="24"/>
          <w:szCs w:val="24"/>
          <w:lang w:eastAsia="zh-CN"/>
        </w:rPr>
        <w:t>.</w:t>
      </w:r>
    </w:p>
    <w:p w:rsidR="009B3BD8" w:rsidRPr="0084450A" w:rsidRDefault="009B3BD8" w:rsidP="004A7220">
      <w:pPr>
        <w:tabs>
          <w:tab w:val="clear" w:pos="794"/>
          <w:tab w:val="clear" w:pos="1191"/>
          <w:tab w:val="clear" w:pos="1588"/>
          <w:tab w:val="clear" w:pos="1985"/>
        </w:tabs>
        <w:overflowPunct/>
        <w:spacing w:before="120" w:line="240" w:lineRule="auto"/>
        <w:ind w:left="720" w:hanging="720"/>
        <w:textAlignment w:val="auto"/>
        <w:rPr>
          <w:sz w:val="24"/>
          <w:szCs w:val="24"/>
          <w:lang w:eastAsia="zh-CN"/>
        </w:rPr>
      </w:pPr>
      <w:r w:rsidRPr="0084450A">
        <w:rPr>
          <w:sz w:val="24"/>
          <w:szCs w:val="24"/>
          <w:lang w:eastAsia="zh-CN"/>
        </w:rPr>
        <w:t>5)</w:t>
      </w:r>
      <w:r w:rsidRPr="0084450A">
        <w:rPr>
          <w:sz w:val="24"/>
          <w:szCs w:val="24"/>
          <w:lang w:eastAsia="zh-CN"/>
        </w:rPr>
        <w:tab/>
        <w:t xml:space="preserve">Lorsqu'une modification apportée à l'Article </w:t>
      </w:r>
      <w:r w:rsidRPr="0084450A">
        <w:rPr>
          <w:b/>
          <w:bCs/>
          <w:sz w:val="24"/>
          <w:szCs w:val="24"/>
          <w:lang w:eastAsia="zh-CN"/>
        </w:rPr>
        <w:t>5</w:t>
      </w:r>
      <w:r w:rsidRPr="0084450A">
        <w:rPr>
          <w:sz w:val="24"/>
          <w:szCs w:val="24"/>
          <w:lang w:eastAsia="zh-CN"/>
        </w:rPr>
        <w:t xml:space="preserve"> aboutit à l'attribution à un nouveau service ou a pour effet de relever l</w:t>
      </w:r>
      <w:r w:rsidR="001E0B86" w:rsidRPr="0084450A">
        <w:rPr>
          <w:sz w:val="24"/>
          <w:szCs w:val="24"/>
          <w:lang w:eastAsia="zh-CN"/>
        </w:rPr>
        <w:t xml:space="preserve">a catégorie </w:t>
      </w:r>
      <w:r w:rsidRPr="0084450A">
        <w:rPr>
          <w:sz w:val="24"/>
          <w:szCs w:val="24"/>
          <w:lang w:eastAsia="zh-CN"/>
        </w:rPr>
        <w:t xml:space="preserve">d'un service existant et que la nouvelle attribution, ou l'attribution qui a obtenu un statut supérieur, n'est pas subordonnée à des conditions additionnelles, l'assignation inscrite concernée, qui avait été inscrite précédemment conformément aux conditions énoncées au numéro </w:t>
      </w:r>
      <w:r w:rsidRPr="0084450A">
        <w:rPr>
          <w:b/>
          <w:bCs/>
          <w:sz w:val="24"/>
          <w:szCs w:val="24"/>
          <w:lang w:eastAsia="zh-CN"/>
        </w:rPr>
        <w:t>4.4</w:t>
      </w:r>
      <w:r w:rsidRPr="0084450A">
        <w:rPr>
          <w:sz w:val="24"/>
          <w:szCs w:val="24"/>
          <w:lang w:eastAsia="zh-CN"/>
        </w:rPr>
        <w:t xml:space="preserve"> ou qui avait un statut secondaire, obtient un statut supérieur. Lorsque la nouvelle attribution/l'attribution ayant obtenu un statut supérieur est subordonnée à des conditions additionnelles, le statut de l'assignation ne devrait être relevé que si toutes les dispositions pertinentes du RR ont été respectées et si toutes les procédures de coordination applicable</w:t>
      </w:r>
      <w:r w:rsidR="001E0B86" w:rsidRPr="0084450A">
        <w:rPr>
          <w:sz w:val="24"/>
          <w:szCs w:val="24"/>
          <w:lang w:eastAsia="zh-CN"/>
        </w:rPr>
        <w:t>s</w:t>
      </w:r>
      <w:r w:rsidRPr="0084450A">
        <w:rPr>
          <w:sz w:val="24"/>
          <w:szCs w:val="24"/>
          <w:lang w:eastAsia="zh-CN"/>
        </w:rPr>
        <w:t xml:space="preserve"> ont été menées à bonne fin. Si les conditions n'ont pas été respectées, les mesures qui seront prises en ce qui concerne l'assignation dépendront du type d'examen effectué par le Bureau, comme indiqué aux points 4.1</w:t>
      </w:r>
      <w:r w:rsidR="004A7220" w:rsidRPr="0084450A">
        <w:rPr>
          <w:sz w:val="24"/>
          <w:szCs w:val="24"/>
          <w:lang w:eastAsia="zh-CN"/>
        </w:rPr>
        <w:t>)</w:t>
      </w:r>
      <w:r w:rsidRPr="0084450A">
        <w:rPr>
          <w:sz w:val="24"/>
          <w:szCs w:val="24"/>
          <w:lang w:eastAsia="zh-CN"/>
        </w:rPr>
        <w:t xml:space="preserve"> et 4.2</w:t>
      </w:r>
      <w:r w:rsidR="004A7220" w:rsidRPr="0084450A">
        <w:rPr>
          <w:sz w:val="24"/>
          <w:szCs w:val="24"/>
          <w:lang w:eastAsia="zh-CN"/>
        </w:rPr>
        <w:t>)</w:t>
      </w:r>
      <w:r w:rsidRPr="0084450A">
        <w:rPr>
          <w:sz w:val="24"/>
          <w:szCs w:val="24"/>
          <w:lang w:eastAsia="zh-CN"/>
        </w:rPr>
        <w:t xml:space="preserve"> ci-dessus.</w:t>
      </w:r>
    </w:p>
    <w:p w:rsidR="009B3BD8" w:rsidRPr="0084450A" w:rsidRDefault="009B3BD8" w:rsidP="009B3BD8">
      <w:pPr>
        <w:tabs>
          <w:tab w:val="clear" w:pos="794"/>
          <w:tab w:val="clear" w:pos="1191"/>
          <w:tab w:val="clear" w:pos="1588"/>
          <w:tab w:val="clear" w:pos="1985"/>
        </w:tabs>
        <w:overflowPunct/>
        <w:spacing w:before="120" w:line="240" w:lineRule="auto"/>
        <w:ind w:left="720" w:hanging="720"/>
        <w:textAlignment w:val="auto"/>
        <w:rPr>
          <w:sz w:val="24"/>
          <w:szCs w:val="24"/>
          <w:lang w:eastAsia="zh-CN"/>
        </w:rPr>
      </w:pPr>
      <w:r w:rsidRPr="0084450A">
        <w:rPr>
          <w:sz w:val="24"/>
          <w:szCs w:val="24"/>
          <w:lang w:eastAsia="zh-CN"/>
        </w:rPr>
        <w:t>6)</w:t>
      </w:r>
      <w:r w:rsidRPr="0084450A">
        <w:rPr>
          <w:sz w:val="24"/>
          <w:szCs w:val="24"/>
          <w:lang w:eastAsia="zh-CN"/>
        </w:rPr>
        <w:tab/>
        <w:t xml:space="preserve">Lorsqu'une modification apportée à l'Article </w:t>
      </w:r>
      <w:r w:rsidRPr="0084450A">
        <w:rPr>
          <w:b/>
          <w:bCs/>
          <w:sz w:val="24"/>
          <w:szCs w:val="24"/>
          <w:lang w:eastAsia="zh-CN"/>
        </w:rPr>
        <w:t>5</w:t>
      </w:r>
      <w:r w:rsidRPr="0084450A">
        <w:rPr>
          <w:sz w:val="24"/>
          <w:szCs w:val="24"/>
          <w:lang w:eastAsia="zh-CN"/>
        </w:rPr>
        <w:t xml:space="preserve"> aboutit à la modification des conditions applicables à une attribution, sans que soit modifiée la catégorie d'attribution (restrictions réglementaires ou techniques additionnelles ou procédures de coordination nouvelles ou modifiées par exemple), les conclusions initiales relatives à l'assignation inscrite concernée ne peuvent être maintenues qu'à condition d'être conformes aux nouvelles conditions. Si les conditions n'ont pas été respectées, les mesures à prendre en ce qui concerne l'assignation dépendront du type d'examen effectué par le Bureau, comme indiqué aux points 4.1</w:t>
      </w:r>
      <w:r w:rsidR="004A7220" w:rsidRPr="0084450A">
        <w:rPr>
          <w:sz w:val="24"/>
          <w:szCs w:val="24"/>
          <w:lang w:eastAsia="zh-CN"/>
        </w:rPr>
        <w:t>)</w:t>
      </w:r>
      <w:r w:rsidRPr="0084450A">
        <w:rPr>
          <w:sz w:val="24"/>
          <w:szCs w:val="24"/>
          <w:lang w:eastAsia="zh-CN"/>
        </w:rPr>
        <w:t xml:space="preserve"> et 4.2</w:t>
      </w:r>
      <w:r w:rsidR="004A7220" w:rsidRPr="0084450A">
        <w:rPr>
          <w:sz w:val="24"/>
          <w:szCs w:val="24"/>
          <w:lang w:eastAsia="zh-CN"/>
        </w:rPr>
        <w:t>)</w:t>
      </w:r>
      <w:r w:rsidRPr="0084450A">
        <w:rPr>
          <w:sz w:val="24"/>
          <w:szCs w:val="24"/>
          <w:lang w:eastAsia="zh-CN"/>
        </w:rPr>
        <w:t xml:space="preserve"> ci-dessus.</w:t>
      </w:r>
    </w:p>
    <w:p w:rsidR="009B3BD8" w:rsidRPr="0084450A" w:rsidRDefault="009B3BD8" w:rsidP="001E0B86">
      <w:pPr>
        <w:tabs>
          <w:tab w:val="clear" w:pos="794"/>
          <w:tab w:val="clear" w:pos="1191"/>
          <w:tab w:val="clear" w:pos="1588"/>
          <w:tab w:val="clear" w:pos="1985"/>
        </w:tabs>
        <w:overflowPunct/>
        <w:spacing w:before="120" w:line="240" w:lineRule="auto"/>
        <w:ind w:left="720" w:hanging="720"/>
        <w:textAlignment w:val="auto"/>
        <w:rPr>
          <w:sz w:val="24"/>
          <w:szCs w:val="24"/>
          <w:lang w:eastAsia="zh-CN"/>
        </w:rPr>
      </w:pPr>
      <w:r w:rsidRPr="0084450A">
        <w:rPr>
          <w:sz w:val="24"/>
          <w:szCs w:val="24"/>
          <w:lang w:eastAsia="zh-CN"/>
        </w:rPr>
        <w:t>7)</w:t>
      </w:r>
      <w:r w:rsidRPr="0084450A">
        <w:rPr>
          <w:sz w:val="24"/>
          <w:szCs w:val="24"/>
          <w:lang w:eastAsia="zh-CN"/>
        </w:rPr>
        <w:tab/>
        <w:t xml:space="preserve">Le Comité a noté que </w:t>
      </w:r>
      <w:r w:rsidR="001E0B86" w:rsidRPr="0084450A">
        <w:rPr>
          <w:sz w:val="24"/>
          <w:szCs w:val="24"/>
          <w:lang w:eastAsia="zh-CN"/>
        </w:rPr>
        <w:t>l'Article</w:t>
      </w:r>
      <w:r w:rsidRPr="0084450A">
        <w:rPr>
          <w:sz w:val="24"/>
          <w:szCs w:val="24"/>
          <w:lang w:eastAsia="zh-CN"/>
        </w:rPr>
        <w:t xml:space="preserve"> </w:t>
      </w:r>
      <w:r w:rsidRPr="0084450A">
        <w:rPr>
          <w:b/>
          <w:bCs/>
          <w:sz w:val="24"/>
          <w:szCs w:val="24"/>
          <w:lang w:eastAsia="zh-CN"/>
        </w:rPr>
        <w:t>5</w:t>
      </w:r>
      <w:r w:rsidRPr="0084450A">
        <w:rPr>
          <w:sz w:val="24"/>
          <w:szCs w:val="24"/>
          <w:lang w:eastAsia="zh-CN"/>
        </w:rPr>
        <w:t xml:space="preserve"> comprend un certain nombre de dispositions, par exemple les numéros </w:t>
      </w:r>
      <w:r w:rsidRPr="0084450A">
        <w:rPr>
          <w:b/>
          <w:bCs/>
          <w:sz w:val="24"/>
          <w:szCs w:val="24"/>
          <w:lang w:eastAsia="zh-CN"/>
        </w:rPr>
        <w:t>5.175</w:t>
      </w:r>
      <w:r w:rsidRPr="0084450A">
        <w:rPr>
          <w:sz w:val="24"/>
          <w:szCs w:val="24"/>
          <w:lang w:eastAsia="zh-CN"/>
        </w:rPr>
        <w:t xml:space="preserve">, </w:t>
      </w:r>
      <w:r w:rsidRPr="0084450A">
        <w:rPr>
          <w:b/>
          <w:bCs/>
          <w:sz w:val="24"/>
          <w:szCs w:val="24"/>
          <w:lang w:eastAsia="zh-CN"/>
        </w:rPr>
        <w:t>5.188</w:t>
      </w:r>
      <w:r w:rsidRPr="0084450A">
        <w:rPr>
          <w:sz w:val="24"/>
          <w:szCs w:val="24"/>
          <w:lang w:eastAsia="zh-CN"/>
        </w:rPr>
        <w:t>, etc., aux termes desquelles une attribution à un service de radiocommunication est subordonnée à l</w:t>
      </w:r>
      <w:r w:rsidR="001E0B86" w:rsidRPr="0084450A">
        <w:rPr>
          <w:sz w:val="24"/>
          <w:szCs w:val="24"/>
          <w:lang w:eastAsia="zh-CN"/>
        </w:rPr>
        <w:t>'</w:t>
      </w:r>
      <w:r w:rsidRPr="0084450A">
        <w:rPr>
          <w:sz w:val="24"/>
          <w:szCs w:val="24"/>
          <w:lang w:eastAsia="zh-CN"/>
        </w:rPr>
        <w:t>obtention de l</w:t>
      </w:r>
      <w:r w:rsidR="001E0B86" w:rsidRPr="0084450A">
        <w:rPr>
          <w:sz w:val="24"/>
          <w:szCs w:val="24"/>
          <w:lang w:eastAsia="zh-CN"/>
        </w:rPr>
        <w:t>'</w:t>
      </w:r>
      <w:r w:rsidRPr="0084450A">
        <w:rPr>
          <w:sz w:val="24"/>
          <w:szCs w:val="24"/>
          <w:lang w:eastAsia="zh-CN"/>
        </w:rPr>
        <w:t xml:space="preserve">accord des administrations </w:t>
      </w:r>
      <w:r w:rsidR="001E0B86" w:rsidRPr="0084450A">
        <w:rPr>
          <w:sz w:val="24"/>
          <w:szCs w:val="24"/>
          <w:lang w:eastAsia="zh-CN"/>
        </w:rPr>
        <w:t xml:space="preserve">concernées. </w:t>
      </w:r>
      <w:r w:rsidRPr="0084450A">
        <w:rPr>
          <w:sz w:val="24"/>
          <w:szCs w:val="24"/>
          <w:lang w:eastAsia="zh-CN"/>
        </w:rPr>
        <w:t>L</w:t>
      </w:r>
      <w:r w:rsidR="001E0B86" w:rsidRPr="0084450A">
        <w:rPr>
          <w:sz w:val="24"/>
          <w:szCs w:val="24"/>
          <w:lang w:eastAsia="zh-CN"/>
        </w:rPr>
        <w:t>'</w:t>
      </w:r>
      <w:r w:rsidRPr="0084450A">
        <w:rPr>
          <w:sz w:val="24"/>
          <w:szCs w:val="24"/>
          <w:lang w:eastAsia="zh-CN"/>
        </w:rPr>
        <w:t>obtention d</w:t>
      </w:r>
      <w:r w:rsidR="001E0B86" w:rsidRPr="0084450A">
        <w:rPr>
          <w:sz w:val="24"/>
          <w:szCs w:val="24"/>
          <w:lang w:eastAsia="zh-CN"/>
        </w:rPr>
        <w:t>'</w:t>
      </w:r>
      <w:r w:rsidRPr="0084450A">
        <w:rPr>
          <w:sz w:val="24"/>
          <w:szCs w:val="24"/>
          <w:lang w:eastAsia="zh-CN"/>
        </w:rPr>
        <w:t>un tel accord n</w:t>
      </w:r>
      <w:r w:rsidR="001E0B86" w:rsidRPr="0084450A">
        <w:rPr>
          <w:sz w:val="24"/>
          <w:szCs w:val="24"/>
          <w:lang w:eastAsia="zh-CN"/>
        </w:rPr>
        <w:t>'</w:t>
      </w:r>
      <w:r w:rsidRPr="0084450A">
        <w:rPr>
          <w:sz w:val="24"/>
          <w:szCs w:val="24"/>
          <w:lang w:eastAsia="zh-CN"/>
        </w:rPr>
        <w:t>est régie ni par les procédures de l</w:t>
      </w:r>
      <w:r w:rsidR="001E0B86" w:rsidRPr="0084450A">
        <w:rPr>
          <w:sz w:val="24"/>
          <w:szCs w:val="24"/>
          <w:lang w:eastAsia="zh-CN"/>
        </w:rPr>
        <w:t>'</w:t>
      </w:r>
      <w:r w:rsidRPr="0084450A">
        <w:rPr>
          <w:sz w:val="24"/>
          <w:szCs w:val="24"/>
          <w:lang w:eastAsia="zh-CN"/>
        </w:rPr>
        <w:t xml:space="preserve">Article </w:t>
      </w:r>
      <w:r w:rsidRPr="0084450A">
        <w:rPr>
          <w:b/>
          <w:bCs/>
          <w:sz w:val="24"/>
          <w:szCs w:val="24"/>
          <w:lang w:eastAsia="zh-CN"/>
        </w:rPr>
        <w:t>9</w:t>
      </w:r>
      <w:r w:rsidRPr="0084450A">
        <w:rPr>
          <w:sz w:val="24"/>
          <w:szCs w:val="24"/>
          <w:lang w:eastAsia="zh-CN"/>
        </w:rPr>
        <w:t>, ni par les Règles de procédure, et doit être traitée directement entre les administrations concernées. En outre, lorsqu</w:t>
      </w:r>
      <w:r w:rsidR="001E0B86" w:rsidRPr="0084450A">
        <w:rPr>
          <w:sz w:val="24"/>
          <w:szCs w:val="24"/>
          <w:lang w:eastAsia="zh-CN"/>
        </w:rPr>
        <w:t>'</w:t>
      </w:r>
      <w:r w:rsidRPr="0084450A">
        <w:rPr>
          <w:sz w:val="24"/>
          <w:szCs w:val="24"/>
          <w:lang w:eastAsia="zh-CN"/>
        </w:rPr>
        <w:t>il examine les fiches de notification des assignations correspondantes, le Bureau ne vérifie pas ces accords. Dans ce contexte, le Comité a décidé qu</w:t>
      </w:r>
      <w:r w:rsidR="001E0B86" w:rsidRPr="0084450A">
        <w:rPr>
          <w:sz w:val="24"/>
          <w:szCs w:val="24"/>
          <w:lang w:eastAsia="zh-CN"/>
        </w:rPr>
        <w:t>'</w:t>
      </w:r>
      <w:r w:rsidRPr="0084450A">
        <w:rPr>
          <w:sz w:val="24"/>
          <w:szCs w:val="24"/>
          <w:lang w:eastAsia="zh-CN"/>
        </w:rPr>
        <w:t>en cas de réexamen des conclusions concernant les assignations pertinentes, le Bureau ne tiendra pas compte de la pr</w:t>
      </w:r>
      <w:r w:rsidR="001E0B86" w:rsidRPr="0084450A">
        <w:rPr>
          <w:sz w:val="24"/>
          <w:szCs w:val="24"/>
          <w:lang w:eastAsia="zh-CN"/>
        </w:rPr>
        <w:t>é</w:t>
      </w:r>
      <w:r w:rsidRPr="0084450A">
        <w:rPr>
          <w:sz w:val="24"/>
          <w:szCs w:val="24"/>
          <w:lang w:eastAsia="zh-CN"/>
        </w:rPr>
        <w:t>sence ou de l</w:t>
      </w:r>
      <w:r w:rsidR="001E0B86" w:rsidRPr="0084450A">
        <w:rPr>
          <w:sz w:val="24"/>
          <w:szCs w:val="24"/>
          <w:lang w:eastAsia="zh-CN"/>
        </w:rPr>
        <w:t>'</w:t>
      </w:r>
      <w:r w:rsidRPr="0084450A">
        <w:rPr>
          <w:sz w:val="24"/>
          <w:szCs w:val="24"/>
          <w:lang w:eastAsia="zh-CN"/>
        </w:rPr>
        <w:t>absence d</w:t>
      </w:r>
      <w:r w:rsidR="001E0B86" w:rsidRPr="0084450A">
        <w:rPr>
          <w:sz w:val="24"/>
          <w:szCs w:val="24"/>
          <w:lang w:eastAsia="zh-CN"/>
        </w:rPr>
        <w:t>'</w:t>
      </w:r>
      <w:r w:rsidRPr="0084450A">
        <w:rPr>
          <w:sz w:val="24"/>
          <w:szCs w:val="24"/>
          <w:lang w:eastAsia="zh-CN"/>
        </w:rPr>
        <w:t>accords d</w:t>
      </w:r>
      <w:r w:rsidR="001E0B86" w:rsidRPr="0084450A">
        <w:rPr>
          <w:sz w:val="24"/>
          <w:szCs w:val="24"/>
          <w:lang w:eastAsia="zh-CN"/>
        </w:rPr>
        <w:t>'</w:t>
      </w:r>
      <w:r w:rsidRPr="0084450A">
        <w:rPr>
          <w:sz w:val="24"/>
          <w:szCs w:val="24"/>
          <w:lang w:eastAsia="zh-CN"/>
        </w:rPr>
        <w:t>autres administrations lorsqu</w:t>
      </w:r>
      <w:r w:rsidR="001E0B86" w:rsidRPr="0084450A">
        <w:rPr>
          <w:sz w:val="24"/>
          <w:szCs w:val="24"/>
          <w:lang w:eastAsia="zh-CN"/>
        </w:rPr>
        <w:t>'</w:t>
      </w:r>
      <w:r w:rsidRPr="0084450A">
        <w:rPr>
          <w:sz w:val="24"/>
          <w:szCs w:val="24"/>
          <w:lang w:eastAsia="zh-CN"/>
        </w:rPr>
        <w:t xml:space="preserve">il formulera de nouvelles conclusions. </w:t>
      </w:r>
    </w:p>
    <w:p w:rsidR="009B3BD8" w:rsidRPr="0084450A" w:rsidRDefault="009B3BD8" w:rsidP="009B3BD8">
      <w:pPr>
        <w:tabs>
          <w:tab w:val="clear" w:pos="794"/>
          <w:tab w:val="clear" w:pos="1191"/>
          <w:tab w:val="clear" w:pos="1588"/>
          <w:tab w:val="clear" w:pos="1985"/>
        </w:tabs>
        <w:overflowPunct/>
        <w:spacing w:before="120" w:line="240" w:lineRule="auto"/>
        <w:ind w:left="720" w:hanging="720"/>
        <w:textAlignment w:val="auto"/>
        <w:rPr>
          <w:sz w:val="24"/>
          <w:szCs w:val="24"/>
          <w:lang w:eastAsia="zh-CN"/>
        </w:rPr>
      </w:pPr>
      <w:r w:rsidRPr="0084450A">
        <w:rPr>
          <w:sz w:val="24"/>
          <w:szCs w:val="24"/>
          <w:lang w:eastAsia="zh-CN"/>
        </w:rPr>
        <w:lastRenderedPageBreak/>
        <w:t>8)</w:t>
      </w:r>
      <w:r w:rsidRPr="0084450A">
        <w:rPr>
          <w:sz w:val="24"/>
          <w:szCs w:val="24"/>
          <w:lang w:eastAsia="zh-CN"/>
        </w:rPr>
        <w:tab/>
        <w:t>Une fois l'examen des conclusions effectué, les assignations de fréquence concernées, assorties des conclusions modifiées, sont publiées dans la Partie IIB/Partie II-S de la Circulaire BR IFIC et une Note d'information est insérée dans la Circulaire BR IFIC, pour attirer l'attention des administrations sur l'examen des conclusions et exposer les motifs ainsi que la teneur de l'examen.</w:t>
      </w:r>
    </w:p>
    <w:p w:rsidR="009B3BD8" w:rsidRPr="0084450A" w:rsidRDefault="009B3BD8" w:rsidP="009B3BD8">
      <w:pPr>
        <w:tabs>
          <w:tab w:val="clear" w:pos="794"/>
          <w:tab w:val="clear" w:pos="1191"/>
          <w:tab w:val="clear" w:pos="1588"/>
          <w:tab w:val="clear" w:pos="1985"/>
        </w:tabs>
        <w:overflowPunct/>
        <w:spacing w:before="120" w:line="240" w:lineRule="auto"/>
        <w:textAlignment w:val="auto"/>
        <w:rPr>
          <w:sz w:val="24"/>
          <w:szCs w:val="24"/>
          <w:lang w:eastAsia="zh-CN"/>
        </w:rPr>
      </w:pPr>
    </w:p>
    <w:p w:rsidR="009B3BD8" w:rsidRPr="0084450A" w:rsidRDefault="009B3BD8" w:rsidP="009B3BD8">
      <w:pPr>
        <w:tabs>
          <w:tab w:val="clear" w:pos="794"/>
          <w:tab w:val="clear" w:pos="1191"/>
          <w:tab w:val="clear" w:pos="1588"/>
          <w:tab w:val="clear" w:pos="1985"/>
        </w:tabs>
        <w:overflowPunct/>
        <w:spacing w:before="120" w:line="240" w:lineRule="auto"/>
        <w:textAlignment w:val="auto"/>
        <w:rPr>
          <w:i/>
          <w:iCs/>
          <w:sz w:val="24"/>
          <w:szCs w:val="24"/>
          <w:lang w:eastAsia="zh-CN"/>
        </w:rPr>
      </w:pPr>
      <w:r w:rsidRPr="0084450A">
        <w:rPr>
          <w:i/>
          <w:iCs/>
          <w:sz w:val="24"/>
          <w:szCs w:val="24"/>
          <w:lang w:eastAsia="zh-CN"/>
        </w:rPr>
        <w:t>Motifs:</w:t>
      </w:r>
      <w:r w:rsidRPr="0084450A">
        <w:rPr>
          <w:i/>
          <w:iCs/>
          <w:sz w:val="24"/>
          <w:szCs w:val="24"/>
          <w:lang w:eastAsia="zh-CN"/>
        </w:rPr>
        <w:tab/>
        <w:t>La présente Règle de procédure a été élaborée conformément à la décision de la CMR-12, (Document 491 de la plénière) visant à établir une Règle de procédure sur l'application du numéro 11.50. L'objectif de cette Règle de procédure est de définir et d'expliquer les principaux éléments dont le Bureau doit tenir compte lors de l'application du numéro 11.50 s'agissant des assignations de fréquence inscrites dans le Fichier de référence.</w:t>
      </w:r>
    </w:p>
    <w:p w:rsidR="009B3BD8" w:rsidRPr="0084450A" w:rsidRDefault="009B3BD8" w:rsidP="009B3BD8">
      <w:pPr>
        <w:tabs>
          <w:tab w:val="clear" w:pos="794"/>
          <w:tab w:val="left" w:pos="426"/>
        </w:tabs>
        <w:spacing w:before="120"/>
        <w:jc w:val="left"/>
        <w:rPr>
          <w:i/>
          <w:iCs/>
          <w:sz w:val="24"/>
          <w:szCs w:val="24"/>
        </w:rPr>
      </w:pPr>
      <w:r w:rsidRPr="0084450A">
        <w:rPr>
          <w:i/>
          <w:iCs/>
          <w:sz w:val="24"/>
          <w:szCs w:val="24"/>
          <w:lang w:eastAsia="zh-CN"/>
        </w:rPr>
        <w:t>Date d'entrée en vigueur de cette Règle: immédiatement après l'approbation de la Règle.</w:t>
      </w:r>
    </w:p>
    <w:p w:rsidR="009B3BD8" w:rsidRPr="001E0B86" w:rsidRDefault="009B3BD8" w:rsidP="004A7220"/>
    <w:p w:rsidR="009B3BD8" w:rsidRPr="001E0B86" w:rsidRDefault="009B3BD8" w:rsidP="0032202E">
      <w:pPr>
        <w:pStyle w:val="Reasons"/>
        <w:rPr>
          <w:lang w:val="fr-FR"/>
        </w:rPr>
      </w:pPr>
    </w:p>
    <w:p w:rsidR="009B3BD8" w:rsidRPr="001E0B86" w:rsidRDefault="009B3BD8">
      <w:pPr>
        <w:jc w:val="center"/>
      </w:pPr>
      <w:r w:rsidRPr="001E0B86">
        <w:t>______________</w:t>
      </w:r>
    </w:p>
    <w:p w:rsidR="009B3BD8" w:rsidRPr="001E0B86" w:rsidRDefault="009B3BD8">
      <w:pPr>
        <w:tabs>
          <w:tab w:val="clear" w:pos="794"/>
          <w:tab w:val="left" w:pos="426"/>
        </w:tabs>
        <w:spacing w:before="120"/>
        <w:jc w:val="left"/>
      </w:pPr>
    </w:p>
    <w:sectPr w:rsidR="009B3BD8" w:rsidRPr="001E0B86" w:rsidSect="00834D16">
      <w:headerReference w:type="first" r:id="rId13"/>
      <w:footerReference w:type="first" r:id="rId14"/>
      <w:pgSz w:w="11907" w:h="16834" w:code="9"/>
      <w:pgMar w:top="1134" w:right="1134" w:bottom="1134" w:left="1134" w:header="567" w:footer="567" w:gutter="0"/>
      <w:paperSrc w:first="4" w:other="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F62" w:rsidRDefault="00844F62">
      <w:r>
        <w:separator/>
      </w:r>
    </w:p>
  </w:endnote>
  <w:endnote w:type="continuationSeparator" w:id="0">
    <w:p w:rsidR="00844F62" w:rsidRDefault="0084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FF" w:rsidRPr="009E2358" w:rsidRDefault="008D08FF" w:rsidP="00F914DD">
    <w:pPr>
      <w:pStyle w:val="FirstFooter"/>
      <w:spacing w:line="240" w:lineRule="auto"/>
      <w:ind w:left="-397" w:right="-397"/>
      <w:jc w:val="center"/>
      <w:rPr>
        <w:sz w:val="18"/>
        <w:szCs w:val="18"/>
        <w:lang w:val="fr-CH"/>
      </w:rPr>
    </w:pPr>
    <w:r w:rsidRPr="009E2358">
      <w:rPr>
        <w:sz w:val="18"/>
        <w:szCs w:val="18"/>
      </w:rPr>
      <w:t>Union internationale des télécommunications</w:t>
    </w:r>
    <w:r w:rsidRPr="009E2358">
      <w:rPr>
        <w:sz w:val="18"/>
        <w:szCs w:val="18"/>
        <w:lang w:val="fr-CH"/>
      </w:rPr>
      <w:t xml:space="preserve"> • Place des Nations • CH</w:t>
    </w:r>
    <w:r w:rsidRPr="009E2358">
      <w:rPr>
        <w:sz w:val="18"/>
        <w:szCs w:val="18"/>
        <w:lang w:val="fr-CH"/>
      </w:rPr>
      <w:noBreakHyphen/>
      <w:t xml:space="preserve">1211 </w:t>
    </w:r>
    <w:r w:rsidRPr="009E2358">
      <w:rPr>
        <w:sz w:val="18"/>
        <w:szCs w:val="18"/>
      </w:rPr>
      <w:t xml:space="preserve">Genève </w:t>
    </w:r>
    <w:r w:rsidRPr="009E2358">
      <w:rPr>
        <w:sz w:val="18"/>
        <w:szCs w:val="18"/>
        <w:lang w:val="fr-CH"/>
      </w:rPr>
      <w:t>20 • Suisse</w:t>
    </w:r>
    <w:r>
      <w:rPr>
        <w:sz w:val="18"/>
        <w:szCs w:val="18"/>
        <w:lang w:val="fr-CH"/>
      </w:rPr>
      <w:t xml:space="preserve"> </w:t>
    </w:r>
    <w:r w:rsidRPr="009E2358">
      <w:rPr>
        <w:sz w:val="18"/>
        <w:szCs w:val="18"/>
        <w:lang w:val="fr-CH"/>
      </w:rPr>
      <w:br/>
      <w:t xml:space="preserve">Tél: +41 22 730 5111 • Fax: +41 22 733 7256 </w:t>
    </w:r>
    <w:r w:rsidRPr="009E2358">
      <w:rPr>
        <w:sz w:val="18"/>
        <w:szCs w:val="18"/>
      </w:rPr>
      <w:t xml:space="preserve">• Courriel: </w:t>
    </w:r>
    <w:hyperlink r:id="rId1" w:history="1">
      <w:r w:rsidRPr="009E2358">
        <w:rPr>
          <w:rStyle w:val="Hyperlink"/>
          <w:sz w:val="18"/>
          <w:szCs w:val="18"/>
        </w:rPr>
        <w:t>itumail@itu.int</w:t>
      </w:r>
    </w:hyperlink>
    <w:r w:rsidRPr="009E2358">
      <w:rPr>
        <w:sz w:val="18"/>
        <w:szCs w:val="18"/>
      </w:rPr>
      <w:t xml:space="preserve"> • </w:t>
    </w:r>
    <w:hyperlink r:id="rId2" w:history="1">
      <w:r w:rsidRPr="009E2358">
        <w:rPr>
          <w:rStyle w:val="Hyperlink"/>
          <w:sz w:val="18"/>
          <w:szCs w:val="18"/>
        </w:rPr>
        <w:t>www.itu.int</w:t>
      </w:r>
    </w:hyperlink>
    <w:r w:rsidRPr="009E2358">
      <w:rPr>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D16" w:rsidRPr="00653F26" w:rsidRDefault="00834D16" w:rsidP="00653F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F62" w:rsidRDefault="00844F62">
      <w:r>
        <w:t>____________________</w:t>
      </w:r>
    </w:p>
  </w:footnote>
  <w:footnote w:type="continuationSeparator" w:id="0">
    <w:p w:rsidR="00844F62" w:rsidRDefault="00844F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FF" w:rsidRPr="00235A29" w:rsidRDefault="008D08FF">
    <w:pPr>
      <w:pStyle w:val="Header"/>
    </w:pPr>
    <w:r>
      <w:tab/>
    </w:r>
    <w:r>
      <w:tab/>
      <w:t xml:space="preserve">– </w:t>
    </w:r>
    <w:r>
      <w:rPr>
        <w:rStyle w:val="PageNumber"/>
      </w:rPr>
      <w:fldChar w:fldCharType="begin"/>
    </w:r>
    <w:r>
      <w:rPr>
        <w:rStyle w:val="PageNumber"/>
      </w:rPr>
      <w:instrText xml:space="preserve"> PAGE </w:instrText>
    </w:r>
    <w:r>
      <w:rPr>
        <w:rStyle w:val="PageNumber"/>
      </w:rPr>
      <w:fldChar w:fldCharType="separate"/>
    </w:r>
    <w:r w:rsidR="001E0B86">
      <w:rPr>
        <w:rStyle w:val="PageNumber"/>
        <w:noProof/>
      </w:rPr>
      <w:t>2</w:t>
    </w:r>
    <w:r>
      <w:rPr>
        <w:rStyle w:val="PageNumber"/>
      </w:rPr>
      <w:fldChar w:fldCharType="end"/>
    </w:r>
    <w:r>
      <w:rPr>
        <w:rStyle w:val="PageNumbe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FF" w:rsidRPr="00653F26" w:rsidRDefault="00653F26" w:rsidP="00653F26">
    <w:pPr>
      <w:pStyle w:val="Header"/>
      <w:jc w:val="center"/>
      <w:rPr>
        <w:iCs/>
        <w:sz w:val="18"/>
        <w:szCs w:val="18"/>
      </w:rPr>
    </w:pPr>
    <w:r w:rsidRPr="00653F26">
      <w:rPr>
        <w:sz w:val="18"/>
        <w:szCs w:val="18"/>
      </w:rPr>
      <w:t>-</w:t>
    </w:r>
    <w:r w:rsidR="008D08FF" w:rsidRPr="00653F26">
      <w:rPr>
        <w:iCs/>
        <w:sz w:val="18"/>
        <w:szCs w:val="18"/>
      </w:rPr>
      <w:fldChar w:fldCharType="begin"/>
    </w:r>
    <w:r w:rsidR="008D08FF" w:rsidRPr="00653F26">
      <w:rPr>
        <w:iCs/>
        <w:sz w:val="18"/>
        <w:szCs w:val="18"/>
      </w:rPr>
      <w:instrText xml:space="preserve"> PAGE  \* MERGEFORMAT </w:instrText>
    </w:r>
    <w:r w:rsidR="008D08FF" w:rsidRPr="00653F26">
      <w:rPr>
        <w:iCs/>
        <w:sz w:val="18"/>
        <w:szCs w:val="18"/>
      </w:rPr>
      <w:fldChar w:fldCharType="separate"/>
    </w:r>
    <w:r w:rsidR="00746414">
      <w:rPr>
        <w:iCs/>
        <w:noProof/>
        <w:sz w:val="18"/>
        <w:szCs w:val="18"/>
      </w:rPr>
      <w:t>4</w:t>
    </w:r>
    <w:r w:rsidR="008D08FF" w:rsidRPr="00653F26">
      <w:rPr>
        <w:iCs/>
        <w:sz w:val="18"/>
        <w:szCs w:val="18"/>
      </w:rPr>
      <w:fldChar w:fldCharType="end"/>
    </w:r>
    <w:r w:rsidRPr="00653F26">
      <w:rPr>
        <w:iCs/>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08FF" w:rsidRPr="00EA15B3" w:rsidRDefault="008D08FF" w:rsidP="00EA15B3">
    <w:pPr>
      <w:pStyle w:val="Header"/>
      <w:spacing w:line="360" w:lineRule="auto"/>
    </w:pPr>
    <w:r>
      <w:tab/>
    </w:r>
    <w:r>
      <w:tab/>
    </w:r>
    <w:r>
      <w:rPr>
        <w:b/>
        <w:bCs/>
        <w:noProof/>
        <w:lang w:val="en-US" w:eastAsia="zh-CN"/>
      </w:rPr>
      <w:drawing>
        <wp:inline distT="0" distB="0" distL="0" distR="0" wp14:anchorId="651FCB26" wp14:editId="0FC1695E">
          <wp:extent cx="638175" cy="7239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D16" w:rsidRPr="00653F26" w:rsidRDefault="00653F26" w:rsidP="00653F26">
    <w:pPr>
      <w:pStyle w:val="Header"/>
      <w:tabs>
        <w:tab w:val="clear" w:pos="794"/>
      </w:tabs>
      <w:ind w:left="720"/>
      <w:jc w:val="center"/>
      <w:rPr>
        <w:sz w:val="18"/>
        <w:szCs w:val="18"/>
        <w:lang w:val="en-US"/>
      </w:rPr>
    </w:pPr>
    <w:r>
      <w:rPr>
        <w:sz w:val="18"/>
        <w:szCs w:val="18"/>
        <w:lang w:val="en-US"/>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2D71877"/>
    <w:multiLevelType w:val="hybridMultilevel"/>
    <w:tmpl w:val="252430F2"/>
    <w:lvl w:ilvl="0" w:tplc="4662A136">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5E45A3"/>
    <w:multiLevelType w:val="hybridMultilevel"/>
    <w:tmpl w:val="6D6093F8"/>
    <w:lvl w:ilvl="0" w:tplc="4328BB0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871B35"/>
    <w:multiLevelType w:val="hybridMultilevel"/>
    <w:tmpl w:val="5036B174"/>
    <w:lvl w:ilvl="0" w:tplc="19169FAE">
      <w:start w:val="2"/>
      <w:numFmt w:val="bullet"/>
      <w:lvlText w:val="-"/>
      <w:lvlJc w:val="left"/>
      <w:pPr>
        <w:ind w:left="1440" w:hanging="36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AAD3B4E"/>
    <w:multiLevelType w:val="hybridMultilevel"/>
    <w:tmpl w:val="7992450E"/>
    <w:lvl w:ilvl="0" w:tplc="293C5F90">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E22683"/>
    <w:multiLevelType w:val="hybridMultilevel"/>
    <w:tmpl w:val="D8A24D10"/>
    <w:lvl w:ilvl="0" w:tplc="95CADEA4">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DCB535B"/>
    <w:multiLevelType w:val="hybridMultilevel"/>
    <w:tmpl w:val="FB8CB3AA"/>
    <w:lvl w:ilvl="0" w:tplc="A26236B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2D63E8"/>
    <w:multiLevelType w:val="hybridMultilevel"/>
    <w:tmpl w:val="8C1EF004"/>
    <w:lvl w:ilvl="0" w:tplc="BF884FF2">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E3064E4"/>
    <w:multiLevelType w:val="hybridMultilevel"/>
    <w:tmpl w:val="960A6C78"/>
    <w:lvl w:ilvl="0" w:tplc="5B66C78A">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BE26BA"/>
    <w:multiLevelType w:val="hybridMultilevel"/>
    <w:tmpl w:val="1EA86F62"/>
    <w:lvl w:ilvl="0" w:tplc="15688412">
      <w:start w:val="2"/>
      <w:numFmt w:val="bullet"/>
      <w:lvlText w:val="-"/>
      <w:lvlJc w:val="left"/>
      <w:pPr>
        <w:ind w:left="1800" w:hanging="360"/>
      </w:pPr>
      <w:rPr>
        <w:rFonts w:ascii="Calibri" w:eastAsia="Times New Roman"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E043394"/>
    <w:multiLevelType w:val="hybridMultilevel"/>
    <w:tmpl w:val="919A57CA"/>
    <w:lvl w:ilvl="0" w:tplc="B720D302">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9"/>
  </w:num>
  <w:num w:numId="4">
    <w:abstractNumId w:val="7"/>
  </w:num>
  <w:num w:numId="5">
    <w:abstractNumId w:val="13"/>
  </w:num>
  <w:num w:numId="6">
    <w:abstractNumId w:val="10"/>
  </w:num>
  <w:num w:numId="7">
    <w:abstractNumId w:val="6"/>
  </w:num>
  <w:num w:numId="8">
    <w:abstractNumId w:val="12"/>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844F62"/>
    <w:rsid w:val="00010E30"/>
    <w:rsid w:val="00026CF8"/>
    <w:rsid w:val="000479AD"/>
    <w:rsid w:val="00070258"/>
    <w:rsid w:val="0007323C"/>
    <w:rsid w:val="0008311E"/>
    <w:rsid w:val="00086D03"/>
    <w:rsid w:val="000A7051"/>
    <w:rsid w:val="000B7CE2"/>
    <w:rsid w:val="000C03C7"/>
    <w:rsid w:val="000E3DEE"/>
    <w:rsid w:val="000E4B79"/>
    <w:rsid w:val="0010107B"/>
    <w:rsid w:val="00103C76"/>
    <w:rsid w:val="0011265F"/>
    <w:rsid w:val="00196710"/>
    <w:rsid w:val="00197324"/>
    <w:rsid w:val="00197DCF"/>
    <w:rsid w:val="001A37CA"/>
    <w:rsid w:val="001B5841"/>
    <w:rsid w:val="001D7070"/>
    <w:rsid w:val="001E0B86"/>
    <w:rsid w:val="001F5A49"/>
    <w:rsid w:val="00201097"/>
    <w:rsid w:val="00201B6E"/>
    <w:rsid w:val="00235A29"/>
    <w:rsid w:val="0026128B"/>
    <w:rsid w:val="00276B8B"/>
    <w:rsid w:val="002861E6"/>
    <w:rsid w:val="002F0890"/>
    <w:rsid w:val="003169E3"/>
    <w:rsid w:val="003370B8"/>
    <w:rsid w:val="003666FF"/>
    <w:rsid w:val="003B2BDA"/>
    <w:rsid w:val="003B55EC"/>
    <w:rsid w:val="003C4471"/>
    <w:rsid w:val="003E504F"/>
    <w:rsid w:val="00400F78"/>
    <w:rsid w:val="004326DB"/>
    <w:rsid w:val="0043682E"/>
    <w:rsid w:val="00467A97"/>
    <w:rsid w:val="004815EB"/>
    <w:rsid w:val="00496920"/>
    <w:rsid w:val="004A7220"/>
    <w:rsid w:val="004B7001"/>
    <w:rsid w:val="004B7C9A"/>
    <w:rsid w:val="004D1579"/>
    <w:rsid w:val="004E0DC4"/>
    <w:rsid w:val="004E0FB5"/>
    <w:rsid w:val="004E43BB"/>
    <w:rsid w:val="004F178E"/>
    <w:rsid w:val="00505309"/>
    <w:rsid w:val="0050789B"/>
    <w:rsid w:val="00543DF8"/>
    <w:rsid w:val="00546101"/>
    <w:rsid w:val="00553DD7"/>
    <w:rsid w:val="0057469A"/>
    <w:rsid w:val="00580814"/>
    <w:rsid w:val="005A03A3"/>
    <w:rsid w:val="005B214C"/>
    <w:rsid w:val="00602D53"/>
    <w:rsid w:val="00650BA9"/>
    <w:rsid w:val="00651777"/>
    <w:rsid w:val="00653F26"/>
    <w:rsid w:val="00691AA6"/>
    <w:rsid w:val="00693254"/>
    <w:rsid w:val="006B0590"/>
    <w:rsid w:val="006B49DA"/>
    <w:rsid w:val="007234B1"/>
    <w:rsid w:val="00730B9A"/>
    <w:rsid w:val="00746414"/>
    <w:rsid w:val="00757EEE"/>
    <w:rsid w:val="007921A7"/>
    <w:rsid w:val="007B3DB1"/>
    <w:rsid w:val="007D183E"/>
    <w:rsid w:val="007E3F13"/>
    <w:rsid w:val="007E6AB2"/>
    <w:rsid w:val="00800012"/>
    <w:rsid w:val="0081513E"/>
    <w:rsid w:val="0083382E"/>
    <w:rsid w:val="00834D16"/>
    <w:rsid w:val="0084450A"/>
    <w:rsid w:val="00844F62"/>
    <w:rsid w:val="00854131"/>
    <w:rsid w:val="0085652D"/>
    <w:rsid w:val="0087694B"/>
    <w:rsid w:val="0088293A"/>
    <w:rsid w:val="008D08FF"/>
    <w:rsid w:val="008F4F21"/>
    <w:rsid w:val="00904D4A"/>
    <w:rsid w:val="009151BA"/>
    <w:rsid w:val="009277BC"/>
    <w:rsid w:val="00927D57"/>
    <w:rsid w:val="00963D9D"/>
    <w:rsid w:val="00981B54"/>
    <w:rsid w:val="009842C3"/>
    <w:rsid w:val="009A6BB6"/>
    <w:rsid w:val="009B3BD8"/>
    <w:rsid w:val="009C161F"/>
    <w:rsid w:val="009E2358"/>
    <w:rsid w:val="009E4AEC"/>
    <w:rsid w:val="009E5BD8"/>
    <w:rsid w:val="009E5F24"/>
    <w:rsid w:val="009E681E"/>
    <w:rsid w:val="00A34D6F"/>
    <w:rsid w:val="00A41F91"/>
    <w:rsid w:val="00A7494A"/>
    <w:rsid w:val="00A963DF"/>
    <w:rsid w:val="00AC3896"/>
    <w:rsid w:val="00AC3F9B"/>
    <w:rsid w:val="00AF06E1"/>
    <w:rsid w:val="00AF3325"/>
    <w:rsid w:val="00B34CF9"/>
    <w:rsid w:val="00B83793"/>
    <w:rsid w:val="00B90C45"/>
    <w:rsid w:val="00B933BE"/>
    <w:rsid w:val="00BA03DB"/>
    <w:rsid w:val="00BA6C35"/>
    <w:rsid w:val="00BD7E5E"/>
    <w:rsid w:val="00BE055F"/>
    <w:rsid w:val="00BE6574"/>
    <w:rsid w:val="00C43807"/>
    <w:rsid w:val="00C57E2C"/>
    <w:rsid w:val="00C608B7"/>
    <w:rsid w:val="00C66F24"/>
    <w:rsid w:val="00C9291E"/>
    <w:rsid w:val="00CA3F44"/>
    <w:rsid w:val="00CA4E58"/>
    <w:rsid w:val="00CB3771"/>
    <w:rsid w:val="00CB5153"/>
    <w:rsid w:val="00CE2753"/>
    <w:rsid w:val="00CE685A"/>
    <w:rsid w:val="00D10BA0"/>
    <w:rsid w:val="00D20741"/>
    <w:rsid w:val="00D24EB5"/>
    <w:rsid w:val="00D41571"/>
    <w:rsid w:val="00D416A0"/>
    <w:rsid w:val="00D47672"/>
    <w:rsid w:val="00D5123C"/>
    <w:rsid w:val="00D55560"/>
    <w:rsid w:val="00D61C5A"/>
    <w:rsid w:val="00DE66A5"/>
    <w:rsid w:val="00DF2B50"/>
    <w:rsid w:val="00E04C86"/>
    <w:rsid w:val="00E14BA3"/>
    <w:rsid w:val="00E20F30"/>
    <w:rsid w:val="00E27BBA"/>
    <w:rsid w:val="00E35E8F"/>
    <w:rsid w:val="00E438E8"/>
    <w:rsid w:val="00E520E2"/>
    <w:rsid w:val="00E64254"/>
    <w:rsid w:val="00EA15B3"/>
    <w:rsid w:val="00EB2358"/>
    <w:rsid w:val="00EB3EB8"/>
    <w:rsid w:val="00EB6A5A"/>
    <w:rsid w:val="00EC69FC"/>
    <w:rsid w:val="00ED73BA"/>
    <w:rsid w:val="00F468C5"/>
    <w:rsid w:val="00F52F39"/>
    <w:rsid w:val="00F55EF6"/>
    <w:rsid w:val="00F914DD"/>
    <w:rsid w:val="00FA2358"/>
    <w:rsid w:val="00FB2592"/>
    <w:rsid w:val="00FB2810"/>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F9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character" w:styleId="PlaceholderText">
    <w:name w:val="Placeholder Text"/>
    <w:basedOn w:val="DefaultParagraphFont"/>
    <w:uiPriority w:val="99"/>
    <w:semiHidden/>
    <w:rsid w:val="00650BA9"/>
    <w:rPr>
      <w:color w:val="808080"/>
    </w:rPr>
  </w:style>
  <w:style w:type="character" w:customStyle="1" w:styleId="HeaderChar">
    <w:name w:val="Header Char"/>
    <w:basedOn w:val="DefaultParagraphFont"/>
    <w:link w:val="Header"/>
    <w:uiPriority w:val="99"/>
    <w:rsid w:val="00834D16"/>
    <w:rPr>
      <w:sz w:val="22"/>
      <w:szCs w:val="22"/>
      <w:lang w:val="fr-FR" w:eastAsia="en-US"/>
    </w:rPr>
  </w:style>
  <w:style w:type="character" w:customStyle="1" w:styleId="Heading8Char">
    <w:name w:val="Heading 8 Char"/>
    <w:link w:val="Heading8"/>
    <w:rsid w:val="009B3BD8"/>
    <w:rPr>
      <w:b/>
      <w:sz w:val="24"/>
      <w:szCs w:val="22"/>
      <w:lang w:val="fr-FR" w:eastAsia="en-US"/>
    </w:rPr>
  </w:style>
  <w:style w:type="paragraph" w:customStyle="1" w:styleId="Reasons">
    <w:name w:val="Reasons"/>
    <w:basedOn w:val="Normal"/>
    <w:qFormat/>
    <w:rsid w:val="009B3BD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3F9B"/>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fr-FR"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character" w:styleId="PlaceholderText">
    <w:name w:val="Placeholder Text"/>
    <w:basedOn w:val="DefaultParagraphFont"/>
    <w:uiPriority w:val="99"/>
    <w:semiHidden/>
    <w:rsid w:val="00650BA9"/>
    <w:rPr>
      <w:color w:val="808080"/>
    </w:rPr>
  </w:style>
  <w:style w:type="character" w:customStyle="1" w:styleId="HeaderChar">
    <w:name w:val="Header Char"/>
    <w:basedOn w:val="DefaultParagraphFont"/>
    <w:link w:val="Header"/>
    <w:uiPriority w:val="99"/>
    <w:rsid w:val="00834D16"/>
    <w:rPr>
      <w:sz w:val="22"/>
      <w:szCs w:val="22"/>
      <w:lang w:val="fr-FR" w:eastAsia="en-US"/>
    </w:rPr>
  </w:style>
  <w:style w:type="character" w:customStyle="1" w:styleId="Heading8Char">
    <w:name w:val="Heading 8 Char"/>
    <w:link w:val="Heading8"/>
    <w:rsid w:val="009B3BD8"/>
    <w:rPr>
      <w:b/>
      <w:sz w:val="24"/>
      <w:szCs w:val="22"/>
      <w:lang w:val="fr-FR" w:eastAsia="en-US"/>
    </w:rPr>
  </w:style>
  <w:style w:type="paragraph" w:customStyle="1" w:styleId="Reasons">
    <w:name w:val="Reasons"/>
    <w:basedOn w:val="Normal"/>
    <w:qFormat/>
    <w:rsid w:val="009B3BD8"/>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blue\dfs\pool\FRA\ITU-R\BR\DIR\CCRR\000\brmail@itu.int" TargetMode="External"/><Relationship Id="rId13" Type="http://schemas.openxmlformats.org/officeDocument/2006/relationships/header" Target="head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ITU\Letter-Fax-F.do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275F403E5E14BFBB9FEA40138D309C6"/>
        <w:category>
          <w:name w:val="General"/>
          <w:gallery w:val="placeholder"/>
        </w:category>
        <w:types>
          <w:type w:val="bbPlcHdr"/>
        </w:types>
        <w:behaviors>
          <w:behavior w:val="content"/>
        </w:behaviors>
        <w:guid w:val="{1C878843-1F6A-4A7E-9502-519AE4A5CB49}"/>
      </w:docPartPr>
      <w:docPartBody>
        <w:p w:rsidR="00B70743" w:rsidRDefault="00B70743">
          <w:pPr>
            <w:pStyle w:val="3275F403E5E14BFBB9FEA40138D309C6"/>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Simplified Arabic">
    <w:panose1 w:val="02010000000000000000"/>
    <w:charset w:val="B2"/>
    <w:family w:val="auto"/>
    <w:pitch w:val="variable"/>
    <w:sig w:usb0="00002001" w:usb1="00000000" w:usb2="00000000" w:usb3="00000000" w:csb0="0000004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743"/>
    <w:rsid w:val="00B707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275F403E5E14BFBB9FEA40138D309C6">
    <w:name w:val="3275F403E5E14BFBB9FEA40138D309C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3275F403E5E14BFBB9FEA40138D309C6">
    <w:name w:val="3275F403E5E14BFBB9FEA40138D309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Letter-Fax-F.dotm</Template>
  <TotalTime>0</TotalTime>
  <Pages>4</Pages>
  <Words>1489</Words>
  <Characters>8745</Characters>
  <Application>Microsoft Office Word</Application>
  <DocSecurity>0</DocSecurity>
  <Lines>72</Lines>
  <Paragraphs>20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(French)</vt:lpstr>
      <vt:lpstr>ITU-T Rec. Book 1 Resolutions ITU-T Series A Recommendations:</vt:lpstr>
    </vt:vector>
  </TitlesOfParts>
  <Company>International Telecommunication Union (ITU)</Company>
  <LinksUpToDate>false</LinksUpToDate>
  <CharactersWithSpaces>10214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(French)</dc:title>
  <dc:creator>Alidra, Patricia</dc:creator>
  <cp:lastModifiedBy>Gozal, Karine</cp:lastModifiedBy>
  <cp:revision>2</cp:revision>
  <cp:lastPrinted>2014-05-02T08:45:00Z</cp:lastPrinted>
  <dcterms:created xsi:type="dcterms:W3CDTF">2014-05-02T08:45:00Z</dcterms:created>
  <dcterms:modified xsi:type="dcterms:W3CDTF">2014-05-02T08:45:00Z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