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F96264" w:rsidRPr="00774335">
        <w:tc>
          <w:tcPr>
            <w:tcW w:w="9039" w:type="dxa"/>
            <w:vAlign w:val="center"/>
          </w:tcPr>
          <w:p w:rsidR="00F96264" w:rsidRPr="00774335" w:rsidRDefault="00BD5208" w:rsidP="00F96264">
            <w:pPr>
              <w:spacing w:before="0"/>
            </w:pPr>
            <w:r w:rsidRPr="00774335">
              <w:rPr>
                <w:rFonts w:asciiTheme="minorHAnsi" w:hAnsiTheme="minorHAnsi" w:cstheme="minorHAnsi"/>
                <w:spacing w:val="5"/>
                <w:sz w:val="52"/>
                <w:szCs w:val="24"/>
              </w:rPr>
              <w:t>U</w:t>
            </w:r>
            <w:r w:rsidRPr="00774335">
              <w:rPr>
                <w:rFonts w:asciiTheme="minorHAnsi" w:hAnsiTheme="minorHAnsi" w:cstheme="minorHAnsi"/>
                <w:spacing w:val="5"/>
                <w:sz w:val="40"/>
                <w:szCs w:val="40"/>
              </w:rPr>
              <w:t>NIÓN</w:t>
            </w:r>
            <w:r w:rsidRPr="00774335">
              <w:rPr>
                <w:rFonts w:asciiTheme="minorHAnsi" w:hAnsiTheme="minorHAnsi" w:cstheme="minorHAnsi"/>
                <w:spacing w:val="5"/>
                <w:sz w:val="44"/>
                <w:szCs w:val="24"/>
              </w:rPr>
              <w:t xml:space="preserve"> </w:t>
            </w:r>
            <w:r w:rsidRPr="00774335">
              <w:rPr>
                <w:rFonts w:asciiTheme="minorHAnsi" w:hAnsiTheme="minorHAnsi" w:cstheme="minorHAnsi"/>
                <w:spacing w:val="5"/>
                <w:sz w:val="52"/>
                <w:szCs w:val="24"/>
              </w:rPr>
              <w:t>I</w:t>
            </w:r>
            <w:r w:rsidRPr="00774335">
              <w:rPr>
                <w:rFonts w:asciiTheme="minorHAnsi" w:hAnsiTheme="minorHAnsi" w:cstheme="minorHAnsi"/>
                <w:spacing w:val="5"/>
                <w:sz w:val="40"/>
                <w:szCs w:val="40"/>
              </w:rPr>
              <w:t>NTERNACIONAL DE</w:t>
            </w:r>
            <w:r w:rsidRPr="00774335">
              <w:rPr>
                <w:rFonts w:asciiTheme="minorHAnsi" w:hAnsiTheme="minorHAnsi" w:cstheme="minorHAnsi"/>
                <w:spacing w:val="5"/>
                <w:sz w:val="44"/>
                <w:szCs w:val="24"/>
              </w:rPr>
              <w:t xml:space="preserve"> </w:t>
            </w:r>
            <w:r w:rsidRPr="00774335">
              <w:rPr>
                <w:rFonts w:asciiTheme="minorHAnsi" w:hAnsiTheme="minorHAnsi" w:cstheme="minorHAnsi"/>
                <w:spacing w:val="5"/>
                <w:sz w:val="52"/>
                <w:szCs w:val="24"/>
              </w:rPr>
              <w:t>T</w:t>
            </w:r>
            <w:r w:rsidRPr="00774335">
              <w:rPr>
                <w:rFonts w:asciiTheme="minorHAnsi" w:hAnsiTheme="minorHAnsi" w:cstheme="minorHAnsi"/>
                <w:spacing w:val="5"/>
                <w:sz w:val="40"/>
                <w:szCs w:val="40"/>
              </w:rPr>
              <w:t>ELECOMUNICACIONES</w:t>
            </w:r>
          </w:p>
        </w:tc>
        <w:tc>
          <w:tcPr>
            <w:tcW w:w="1559" w:type="dxa"/>
          </w:tcPr>
          <w:p w:rsidR="00F96264" w:rsidRPr="00774335" w:rsidRDefault="00BD0273" w:rsidP="00F96264">
            <w:pPr>
              <w:spacing w:before="0"/>
              <w:jc w:val="right"/>
            </w:pPr>
            <w:r w:rsidRPr="00774335">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774335">
        <w:trPr>
          <w:cantSplit/>
        </w:trPr>
        <w:tc>
          <w:tcPr>
            <w:tcW w:w="5075" w:type="dxa"/>
          </w:tcPr>
          <w:p w:rsidR="00F96264" w:rsidRPr="00774335" w:rsidRDefault="00F96264" w:rsidP="00F96264">
            <w:pPr>
              <w:spacing w:before="0"/>
              <w:rPr>
                <w:i/>
                <w:smallCaps/>
                <w:sz w:val="28"/>
                <w:szCs w:val="28"/>
              </w:rPr>
            </w:pPr>
            <w:r w:rsidRPr="00774335">
              <w:rPr>
                <w:i/>
                <w:sz w:val="28"/>
                <w:szCs w:val="28"/>
              </w:rPr>
              <w:t>Oficina de Radiocomunicaciones</w:t>
            </w:r>
          </w:p>
          <w:p w:rsidR="00F96264" w:rsidRPr="00774335" w:rsidRDefault="00F96264" w:rsidP="00F96264">
            <w:pPr>
              <w:tabs>
                <w:tab w:val="clear" w:pos="794"/>
                <w:tab w:val="clear" w:pos="1191"/>
                <w:tab w:val="clear" w:pos="1588"/>
                <w:tab w:val="clear" w:pos="1985"/>
                <w:tab w:val="center" w:pos="1701"/>
              </w:tabs>
              <w:spacing w:before="0"/>
              <w:rPr>
                <w:b/>
                <w:smallCaps/>
                <w:sz w:val="18"/>
                <w:szCs w:val="18"/>
              </w:rPr>
            </w:pPr>
            <w:r w:rsidRPr="00774335">
              <w:rPr>
                <w:i/>
                <w:sz w:val="18"/>
                <w:szCs w:val="18"/>
              </w:rPr>
              <w:tab/>
              <w:t>(N° de Fax directo +41 22 730 57 85)</w:t>
            </w:r>
          </w:p>
        </w:tc>
      </w:tr>
    </w:tbl>
    <w:p w:rsidR="00F96264" w:rsidRPr="00774335" w:rsidRDefault="00F96264" w:rsidP="00F96264">
      <w:pPr>
        <w:tabs>
          <w:tab w:val="left" w:pos="7513"/>
        </w:tabs>
      </w:pPr>
    </w:p>
    <w:tbl>
      <w:tblPr>
        <w:tblW w:w="10020" w:type="dxa"/>
        <w:tblLayout w:type="fixed"/>
        <w:tblLook w:val="0000"/>
      </w:tblPr>
      <w:tblGrid>
        <w:gridCol w:w="2518"/>
        <w:gridCol w:w="7502"/>
      </w:tblGrid>
      <w:tr w:rsidR="00F96264" w:rsidRPr="00774335">
        <w:trPr>
          <w:cantSplit/>
        </w:trPr>
        <w:tc>
          <w:tcPr>
            <w:tcW w:w="2518" w:type="dxa"/>
          </w:tcPr>
          <w:p w:rsidR="00F96264" w:rsidRPr="00774335" w:rsidRDefault="008A272D" w:rsidP="00F96264">
            <w:pPr>
              <w:tabs>
                <w:tab w:val="left" w:pos="7513"/>
              </w:tabs>
              <w:jc w:val="center"/>
              <w:rPr>
                <w:b/>
              </w:rPr>
            </w:pPr>
            <w:bookmarkStart w:id="0" w:name="dletter"/>
            <w:bookmarkEnd w:id="0"/>
            <w:r w:rsidRPr="00774335">
              <w:t>Carta Circular</w:t>
            </w:r>
          </w:p>
          <w:p w:rsidR="00F96264" w:rsidRPr="00774335" w:rsidRDefault="008A272D" w:rsidP="002347C8">
            <w:pPr>
              <w:tabs>
                <w:tab w:val="clear" w:pos="794"/>
                <w:tab w:val="clear" w:pos="1191"/>
              </w:tabs>
              <w:spacing w:before="0"/>
              <w:jc w:val="center"/>
              <w:rPr>
                <w:b/>
                <w:bCs/>
              </w:rPr>
            </w:pPr>
            <w:bookmarkStart w:id="1" w:name="dnum"/>
            <w:bookmarkEnd w:id="1"/>
            <w:r w:rsidRPr="00774335">
              <w:rPr>
                <w:b/>
                <w:bCs/>
              </w:rPr>
              <w:t>CCRR/4</w:t>
            </w:r>
            <w:r w:rsidR="002347C8" w:rsidRPr="00774335">
              <w:rPr>
                <w:b/>
                <w:bCs/>
              </w:rPr>
              <w:t>7</w:t>
            </w:r>
          </w:p>
        </w:tc>
        <w:tc>
          <w:tcPr>
            <w:tcW w:w="7502" w:type="dxa"/>
          </w:tcPr>
          <w:p w:rsidR="00F96264" w:rsidRPr="00774335" w:rsidRDefault="002347C8" w:rsidP="002347C8">
            <w:pPr>
              <w:tabs>
                <w:tab w:val="left" w:pos="7513"/>
              </w:tabs>
              <w:jc w:val="right"/>
              <w:rPr>
                <w:bCs/>
              </w:rPr>
            </w:pPr>
            <w:bookmarkStart w:id="2" w:name="ddate"/>
            <w:bookmarkEnd w:id="2"/>
            <w:r w:rsidRPr="00774335">
              <w:rPr>
                <w:bCs/>
              </w:rPr>
              <w:t>7</w:t>
            </w:r>
            <w:r w:rsidR="008A272D" w:rsidRPr="00774335">
              <w:rPr>
                <w:bCs/>
              </w:rPr>
              <w:t xml:space="preserve"> de </w:t>
            </w:r>
            <w:r w:rsidRPr="00774335">
              <w:rPr>
                <w:bCs/>
              </w:rPr>
              <w:t>enero</w:t>
            </w:r>
            <w:r w:rsidR="008A272D" w:rsidRPr="00774335">
              <w:rPr>
                <w:bCs/>
              </w:rPr>
              <w:t xml:space="preserve"> de 201</w:t>
            </w:r>
            <w:r w:rsidRPr="00774335">
              <w:rPr>
                <w:bCs/>
              </w:rPr>
              <w:t>3</w:t>
            </w:r>
          </w:p>
        </w:tc>
      </w:tr>
    </w:tbl>
    <w:p w:rsidR="00F96264" w:rsidRPr="00774335" w:rsidRDefault="00F96264" w:rsidP="00E95F12">
      <w:pPr>
        <w:tabs>
          <w:tab w:val="left" w:pos="7513"/>
        </w:tabs>
        <w:spacing w:before="360"/>
        <w:jc w:val="center"/>
        <w:rPr>
          <w:b/>
          <w:bCs/>
        </w:rPr>
      </w:pPr>
      <w:r w:rsidRPr="00774335">
        <w:rPr>
          <w:b/>
        </w:rPr>
        <w:t>A las Administraciones de los Estados Miembros de la UIT</w:t>
      </w:r>
    </w:p>
    <w:p w:rsidR="00F96264" w:rsidRPr="00774335" w:rsidRDefault="00F96264" w:rsidP="00673217">
      <w:pPr>
        <w:tabs>
          <w:tab w:val="clear" w:pos="794"/>
          <w:tab w:val="clear" w:pos="1191"/>
          <w:tab w:val="clear" w:pos="1588"/>
          <w:tab w:val="clear" w:pos="1985"/>
          <w:tab w:val="left" w:pos="709"/>
        </w:tabs>
        <w:spacing w:before="400"/>
        <w:ind w:left="1440" w:hanging="1440"/>
      </w:pPr>
      <w:r w:rsidRPr="00774335">
        <w:rPr>
          <w:b/>
        </w:rPr>
        <w:t>Asunto</w:t>
      </w:r>
      <w:r w:rsidRPr="00774335">
        <w:t>:</w:t>
      </w:r>
      <w:r w:rsidRPr="00774335">
        <w:tab/>
      </w:r>
      <w:bookmarkStart w:id="3" w:name="dtitle1"/>
      <w:bookmarkEnd w:id="3"/>
      <w:r w:rsidR="002347C8" w:rsidRPr="00774335">
        <w:t>Proyecto de Reglas de Procedimiento para contemplar las decisiones de la CMR-12 y Reglas existentes que pueden necesitar una actualización</w:t>
      </w:r>
    </w:p>
    <w:p w:rsidR="00F96264" w:rsidRPr="00774335" w:rsidRDefault="00F96264" w:rsidP="008424EA">
      <w:pPr>
        <w:tabs>
          <w:tab w:val="clear" w:pos="794"/>
          <w:tab w:val="clear" w:pos="1191"/>
          <w:tab w:val="clear" w:pos="1588"/>
          <w:tab w:val="clear" w:pos="1985"/>
          <w:tab w:val="left" w:pos="709"/>
        </w:tabs>
        <w:spacing w:before="320"/>
        <w:ind w:left="709" w:hanging="709"/>
      </w:pPr>
      <w:r w:rsidRPr="00774335">
        <w:rPr>
          <w:b/>
        </w:rPr>
        <w:t>Al Director General</w:t>
      </w:r>
    </w:p>
    <w:p w:rsidR="00F96264" w:rsidRPr="00774335" w:rsidRDefault="00CF5CB2" w:rsidP="004F4E91">
      <w:pPr>
        <w:tabs>
          <w:tab w:val="clear" w:pos="794"/>
          <w:tab w:val="clear" w:pos="1191"/>
          <w:tab w:val="clear" w:pos="1588"/>
          <w:tab w:val="clear" w:pos="1985"/>
          <w:tab w:val="left" w:pos="709"/>
        </w:tabs>
        <w:spacing w:before="360"/>
        <w:ind w:left="709" w:hanging="709"/>
      </w:pPr>
      <w:r>
        <w:t>Muy Señora mía/muy Señor mío</w:t>
      </w:r>
      <w:r w:rsidR="00F96264" w:rsidRPr="00774335">
        <w:t>:</w:t>
      </w:r>
    </w:p>
    <w:p w:rsidR="002347C8" w:rsidRPr="00774335" w:rsidRDefault="002347C8" w:rsidP="002347C8">
      <w:r w:rsidRPr="00774335">
        <w:t xml:space="preserve">En su 59ª reunión (14-18 de mayo de 2012), la Junta del Reglamento de Radiocomunicaciones estudió la repercusión de las decisiones adoptadas por la CMR-12 con respecto a las actuales Reglas de Procedimiento y estableció un calendario para el examen de los proyectos de Reglas de Procedimiento nuevas y modificadas a partir del documento presentado por la BR (ver Documento RRB12-1/4) y otras contribuciones de los miembros de la Junta. La Junta encargó a la Oficina que procediese convenientemente, entendiéndose que dicho calendario podría eventualmente ajustarse en función de estudios adicionales (ver Revisión 4 al Documento RRB12-1/4). </w:t>
      </w:r>
    </w:p>
    <w:p w:rsidR="002347C8" w:rsidRPr="00774335" w:rsidRDefault="002347C8" w:rsidP="002347C8">
      <w:r w:rsidRPr="00774335">
        <w:t>Por consiguiente, la Oficina ha preparado una tercera serie de proyectos de Reglas de Procedimiento nuevas o modificadas en respuesta a las decisiones adoptadas por la CMR-12.</w:t>
      </w:r>
    </w:p>
    <w:p w:rsidR="002347C8" w:rsidRPr="00774335" w:rsidRDefault="002347C8" w:rsidP="002347C8">
      <w:pPr>
        <w:pStyle w:val="Normalaftertitle"/>
        <w:spacing w:before="120"/>
      </w:pPr>
      <w:r w:rsidRPr="00774335">
        <w:t xml:space="preserve">De conformidad con el número </w:t>
      </w:r>
      <w:r w:rsidRPr="00774335">
        <w:rPr>
          <w:b/>
          <w:bCs/>
        </w:rPr>
        <w:t>13.17</w:t>
      </w:r>
      <w:r w:rsidRPr="00774335">
        <w:t xml:space="preserve"> del Reglamento de Radiocomunicaciones, estos proyectos de Reglas de Procedimiento se presentan a las administraciones para que formulen comentarios antes de remitirlas a la RRB con arreglo al número </w:t>
      </w:r>
      <w:r w:rsidRPr="00774335">
        <w:rPr>
          <w:b/>
          <w:bCs/>
        </w:rPr>
        <w:t>13.14</w:t>
      </w:r>
      <w:r w:rsidRPr="00774335">
        <w:t xml:space="preserve">. Como se indica en el número </w:t>
      </w:r>
      <w:r w:rsidRPr="00774335">
        <w:rPr>
          <w:b/>
          <w:bCs/>
        </w:rPr>
        <w:t xml:space="preserve">13.12A </w:t>
      </w:r>
      <w:r w:rsidRPr="00774335">
        <w:rPr>
          <w:i/>
          <w:iCs/>
        </w:rPr>
        <w:t xml:space="preserve">d) </w:t>
      </w:r>
      <w:r w:rsidRPr="00774335">
        <w:t xml:space="preserve">del Reglamento de Radiocomunicaciones, todo comentario que desee formular se hará llegar a la Oficina el </w:t>
      </w:r>
      <w:r w:rsidRPr="00774335">
        <w:rPr>
          <w:b/>
          <w:bCs/>
        </w:rPr>
        <w:t xml:space="preserve">18 de febrero de 2013 </w:t>
      </w:r>
      <w:r w:rsidRPr="00774335">
        <w:t xml:space="preserve">a más tardar para que sea examinado en la 62ª reunión de la RRB, prevista para el 18-22 de marzo de 2013. Los comentarios por correo electrónico deben enviarse a: </w:t>
      </w:r>
      <w:hyperlink r:id="rId9" w:history="1">
        <w:r w:rsidRPr="00774335">
          <w:rPr>
            <w:color w:val="0000FF"/>
            <w:u w:val="single"/>
          </w:rPr>
          <w:t>brmail@itu.int</w:t>
        </w:r>
      </w:hyperlink>
      <w:r w:rsidRPr="00774335">
        <w:t>.</w:t>
      </w:r>
    </w:p>
    <w:p w:rsidR="007670C3" w:rsidRPr="00774335" w:rsidRDefault="007670C3" w:rsidP="007670C3">
      <w:pPr>
        <w:spacing w:before="80"/>
      </w:pPr>
      <w:r w:rsidRPr="00774335">
        <w:t>Atentamente,</w:t>
      </w:r>
    </w:p>
    <w:p w:rsidR="00F96264" w:rsidRPr="00774335" w:rsidRDefault="00F96264" w:rsidP="007307DE">
      <w:pPr>
        <w:tabs>
          <w:tab w:val="clear" w:pos="794"/>
          <w:tab w:val="clear" w:pos="1191"/>
          <w:tab w:val="clear" w:pos="1588"/>
          <w:tab w:val="clear" w:pos="1985"/>
          <w:tab w:val="center" w:pos="7088"/>
        </w:tabs>
        <w:spacing w:before="840"/>
      </w:pPr>
      <w:r w:rsidRPr="00774335">
        <w:tab/>
      </w:r>
      <w:r w:rsidR="005C68B5" w:rsidRPr="00774335">
        <w:t>François Rancy</w:t>
      </w:r>
      <w:r w:rsidRPr="00774335">
        <w:br/>
      </w:r>
      <w:r w:rsidRPr="00774335">
        <w:tab/>
        <w:t>Director de la Oficina de Radiocomunicaciones</w:t>
      </w:r>
    </w:p>
    <w:p w:rsidR="008424EA" w:rsidRPr="00774335" w:rsidRDefault="008424EA" w:rsidP="00ED7AB5">
      <w:pPr>
        <w:tabs>
          <w:tab w:val="clear" w:pos="794"/>
          <w:tab w:val="clear" w:pos="1191"/>
          <w:tab w:val="clear" w:pos="1588"/>
          <w:tab w:val="clear" w:pos="1985"/>
          <w:tab w:val="center" w:pos="7088"/>
        </w:tabs>
      </w:pPr>
      <w:r w:rsidRPr="00774335">
        <w:rPr>
          <w:b/>
          <w:bCs/>
        </w:rPr>
        <w:t>Anexo:</w:t>
      </w:r>
      <w:r w:rsidRPr="00774335">
        <w:t xml:space="preserve"> </w:t>
      </w:r>
      <w:r w:rsidR="008B779D" w:rsidRPr="00774335">
        <w:t>1</w:t>
      </w:r>
    </w:p>
    <w:p w:rsidR="00F96264" w:rsidRPr="00774335" w:rsidRDefault="00F96264" w:rsidP="00E95F12">
      <w:pPr>
        <w:spacing w:before="0"/>
        <w:rPr>
          <w:sz w:val="12"/>
          <w:szCs w:val="12"/>
        </w:rPr>
      </w:pPr>
    </w:p>
    <w:p w:rsidR="00C87E99" w:rsidRPr="00774335" w:rsidRDefault="00C87E99" w:rsidP="00A45DFE">
      <w:pPr>
        <w:tabs>
          <w:tab w:val="clear" w:pos="794"/>
          <w:tab w:val="left" w:pos="284"/>
        </w:tabs>
        <w:spacing w:before="0"/>
        <w:rPr>
          <w:sz w:val="16"/>
          <w:szCs w:val="16"/>
        </w:rPr>
      </w:pPr>
    </w:p>
    <w:p w:rsidR="006B4FBC" w:rsidRPr="00774335" w:rsidRDefault="006B4FBC" w:rsidP="00A45DFE">
      <w:pPr>
        <w:tabs>
          <w:tab w:val="clear" w:pos="794"/>
          <w:tab w:val="left" w:pos="284"/>
        </w:tabs>
        <w:spacing w:before="0"/>
        <w:rPr>
          <w:sz w:val="16"/>
          <w:szCs w:val="16"/>
        </w:rPr>
      </w:pPr>
    </w:p>
    <w:p w:rsidR="00A45DFE" w:rsidRPr="00774335" w:rsidRDefault="00A45DFE" w:rsidP="00A45DFE">
      <w:pPr>
        <w:tabs>
          <w:tab w:val="clear" w:pos="794"/>
          <w:tab w:val="left" w:pos="284"/>
        </w:tabs>
        <w:spacing w:before="0"/>
        <w:rPr>
          <w:b/>
          <w:bCs/>
          <w:sz w:val="16"/>
          <w:szCs w:val="16"/>
        </w:rPr>
      </w:pPr>
      <w:r w:rsidRPr="00774335">
        <w:rPr>
          <w:b/>
          <w:bCs/>
          <w:sz w:val="16"/>
          <w:szCs w:val="16"/>
        </w:rPr>
        <w:t>Distribución:</w:t>
      </w:r>
    </w:p>
    <w:p w:rsidR="00A45DFE" w:rsidRPr="00774335" w:rsidRDefault="00A45DFE" w:rsidP="00A45DFE">
      <w:pPr>
        <w:tabs>
          <w:tab w:val="clear" w:pos="794"/>
          <w:tab w:val="left" w:pos="284"/>
        </w:tabs>
        <w:spacing w:before="0"/>
        <w:rPr>
          <w:sz w:val="16"/>
          <w:szCs w:val="16"/>
        </w:rPr>
      </w:pPr>
      <w:r w:rsidRPr="00774335">
        <w:rPr>
          <w:sz w:val="16"/>
          <w:szCs w:val="16"/>
        </w:rPr>
        <w:t>–</w:t>
      </w:r>
      <w:r w:rsidRPr="00774335">
        <w:rPr>
          <w:sz w:val="16"/>
          <w:szCs w:val="16"/>
        </w:rPr>
        <w:tab/>
        <w:t>Administraciones de los Estados Miembros de la UIT</w:t>
      </w:r>
    </w:p>
    <w:p w:rsidR="00A45DFE" w:rsidRPr="00774335" w:rsidRDefault="00A45DFE" w:rsidP="00A45DFE">
      <w:pPr>
        <w:tabs>
          <w:tab w:val="clear" w:pos="794"/>
          <w:tab w:val="left" w:pos="284"/>
        </w:tabs>
        <w:spacing w:before="0"/>
        <w:rPr>
          <w:sz w:val="16"/>
          <w:szCs w:val="16"/>
        </w:rPr>
      </w:pPr>
      <w:r w:rsidRPr="00774335">
        <w:rPr>
          <w:sz w:val="16"/>
          <w:szCs w:val="16"/>
        </w:rPr>
        <w:t>–</w:t>
      </w:r>
      <w:r w:rsidRPr="00774335">
        <w:rPr>
          <w:sz w:val="16"/>
          <w:szCs w:val="16"/>
        </w:rPr>
        <w:tab/>
        <w:t>Miembros de la Junta del Reglamento de Radiocomunicaciones</w:t>
      </w:r>
    </w:p>
    <w:p w:rsidR="008A272D" w:rsidRPr="00774335" w:rsidRDefault="00A45DFE" w:rsidP="00E95F12">
      <w:pPr>
        <w:tabs>
          <w:tab w:val="clear" w:pos="794"/>
          <w:tab w:val="left" w:pos="284"/>
        </w:tabs>
        <w:spacing w:before="0"/>
        <w:rPr>
          <w:sz w:val="16"/>
          <w:szCs w:val="16"/>
        </w:rPr>
      </w:pPr>
      <w:r w:rsidRPr="00774335">
        <w:rPr>
          <w:sz w:val="16"/>
          <w:szCs w:val="16"/>
        </w:rPr>
        <w:t>–</w:t>
      </w:r>
      <w:r w:rsidRPr="00774335">
        <w:rPr>
          <w:sz w:val="16"/>
          <w:szCs w:val="16"/>
        </w:rPr>
        <w:tab/>
        <w:t>Director y Jefes de Departamento de la Oficina de Radiocomunicaciones</w:t>
      </w:r>
      <w:bookmarkStart w:id="4" w:name="ddistribution"/>
      <w:bookmarkEnd w:id="4"/>
      <w:r w:rsidR="008A272D" w:rsidRPr="00774335">
        <w:br w:type="page"/>
      </w:r>
    </w:p>
    <w:p w:rsidR="002347C8" w:rsidRPr="00774335" w:rsidRDefault="002347C8" w:rsidP="002347C8">
      <w:pPr>
        <w:keepNext/>
        <w:keepLines/>
        <w:tabs>
          <w:tab w:val="left" w:pos="1134"/>
          <w:tab w:val="left" w:pos="1871"/>
          <w:tab w:val="left" w:pos="2268"/>
        </w:tabs>
        <w:spacing w:after="80"/>
        <w:jc w:val="center"/>
        <w:rPr>
          <w:caps/>
          <w:sz w:val="28"/>
        </w:rPr>
      </w:pPr>
      <w:r w:rsidRPr="00774335">
        <w:rPr>
          <w:caps/>
          <w:sz w:val="28"/>
        </w:rPr>
        <w:lastRenderedPageBreak/>
        <w:t>ANEXO 1</w:t>
      </w:r>
    </w:p>
    <w:p w:rsidR="002347C8" w:rsidRPr="00774335" w:rsidRDefault="002347C8" w:rsidP="002347C8">
      <w:pPr>
        <w:keepNext/>
        <w:keepLines/>
        <w:spacing w:before="360"/>
        <w:ind w:left="794" w:hanging="794"/>
        <w:jc w:val="center"/>
        <w:outlineLvl w:val="0"/>
        <w:rPr>
          <w:b/>
          <w:szCs w:val="24"/>
        </w:rPr>
      </w:pPr>
      <w:r w:rsidRPr="00774335">
        <w:rPr>
          <w:b/>
          <w:szCs w:val="24"/>
        </w:rPr>
        <w:t>Reglas relativas al</w:t>
      </w:r>
    </w:p>
    <w:p w:rsidR="002347C8" w:rsidRPr="00774335" w:rsidRDefault="002347C8" w:rsidP="002347C8">
      <w:pPr>
        <w:keepNext/>
        <w:keepLines/>
        <w:spacing w:before="240"/>
        <w:ind w:left="794" w:hanging="794"/>
        <w:jc w:val="center"/>
        <w:outlineLvl w:val="1"/>
        <w:rPr>
          <w:b/>
          <w:szCs w:val="24"/>
        </w:rPr>
      </w:pPr>
      <w:r w:rsidRPr="00774335">
        <w:rPr>
          <w:b/>
          <w:szCs w:val="24"/>
        </w:rPr>
        <w:t>ARTÍCULO 9 del RR</w:t>
      </w:r>
      <w:r w:rsidRPr="00774335">
        <w:rPr>
          <w:b/>
          <w:position w:val="6"/>
          <w:sz w:val="18"/>
          <w:szCs w:val="24"/>
        </w:rPr>
        <w:footnoteReference w:id="1"/>
      </w:r>
    </w:p>
    <w:p w:rsidR="00DA7572" w:rsidRPr="00774335" w:rsidRDefault="00DA7572" w:rsidP="00DA7572">
      <w:pPr>
        <w:pStyle w:val="Proposal"/>
        <w:rPr>
          <w:b/>
          <w:bCs/>
        </w:rPr>
      </w:pPr>
      <w:r w:rsidRPr="00774335">
        <w:rPr>
          <w:b/>
          <w:bCs/>
        </w:rPr>
        <w:t>ADD</w:t>
      </w:r>
    </w:p>
    <w:p w:rsidR="002347C8" w:rsidRPr="00774335" w:rsidRDefault="002347C8" w:rsidP="002347C8">
      <w:pPr>
        <w:keepNext/>
        <w:keepLines/>
        <w:spacing w:before="360"/>
        <w:ind w:left="794" w:hanging="794"/>
        <w:jc w:val="center"/>
        <w:outlineLvl w:val="0"/>
        <w:rPr>
          <w:rFonts w:hAnsi="Times New Roman Bold"/>
          <w:b/>
          <w:bCs/>
        </w:rPr>
      </w:pPr>
      <w:r w:rsidRPr="00774335">
        <w:rPr>
          <w:rFonts w:hAnsi="Times New Roman Bold"/>
          <w:b/>
          <w:bCs/>
        </w:rPr>
        <w:t>Reglas relativas a los atrasos en el pago de las tasas de recuperaci</w:t>
      </w:r>
      <w:r w:rsidRPr="00774335">
        <w:rPr>
          <w:rFonts w:hAnsi="Times New Roman Bold"/>
          <w:b/>
          <w:bCs/>
        </w:rPr>
        <w:t>ó</w:t>
      </w:r>
      <w:r w:rsidRPr="00774335">
        <w:rPr>
          <w:rFonts w:hAnsi="Times New Roman Bold"/>
          <w:b/>
          <w:bCs/>
        </w:rPr>
        <w:t>n de costes y la cancelaci</w:t>
      </w:r>
      <w:r w:rsidRPr="00774335">
        <w:rPr>
          <w:rFonts w:hAnsi="Times New Roman Bold"/>
          <w:b/>
          <w:bCs/>
        </w:rPr>
        <w:t>ó</w:t>
      </w:r>
      <w:r w:rsidRPr="00774335">
        <w:rPr>
          <w:rFonts w:hAnsi="Times New Roman Bold"/>
          <w:b/>
          <w:bCs/>
        </w:rPr>
        <w:t>n de las notificaciones de redes de sat</w:t>
      </w:r>
      <w:r w:rsidRPr="00774335">
        <w:rPr>
          <w:rFonts w:hAnsi="Times New Roman Bold"/>
          <w:b/>
          <w:bCs/>
        </w:rPr>
        <w:t>é</w:t>
      </w:r>
      <w:r w:rsidRPr="00774335">
        <w:rPr>
          <w:rFonts w:hAnsi="Times New Roman Bold"/>
          <w:b/>
          <w:bCs/>
        </w:rPr>
        <w:t>lites debido al impago de las tasas de recuperaci</w:t>
      </w:r>
      <w:r w:rsidRPr="00774335">
        <w:rPr>
          <w:rFonts w:hAnsi="Times New Roman Bold"/>
          <w:b/>
          <w:bCs/>
        </w:rPr>
        <w:t>ó</w:t>
      </w:r>
      <w:r w:rsidRPr="00774335">
        <w:rPr>
          <w:rFonts w:hAnsi="Times New Roman Bold"/>
          <w:b/>
          <w:bCs/>
        </w:rPr>
        <w:t>n de costes con arreglo al Acuerdo 482 del Consejo</w:t>
      </w:r>
    </w:p>
    <w:p w:rsidR="002347C8" w:rsidRPr="00774335" w:rsidRDefault="002347C8" w:rsidP="00673217">
      <w:pPr>
        <w:spacing w:before="240"/>
      </w:pPr>
      <w:r w:rsidRPr="00774335">
        <w:t>1</w:t>
      </w:r>
      <w:r w:rsidRPr="00774335">
        <w:tab/>
        <w:t>Las disposiciones de los número 9.2B.1 y 9.38.1 del Artículo 9, A.11.6 del Artículo 11, notas 7 al § 4.1.5, 8 al § 4.1.15, 16 al § 4.2.8, 17 al § 4.2.19, 18 al título del Artículo 5, del Apéndice 30, notas 9 al § 4.1.5, 10 al § 4.1.15, 19 al § 4.2.8, 20 al § 4.2.19, 22 al título del Artículo</w:t>
      </w:r>
      <w:r w:rsidR="00673217" w:rsidRPr="00774335">
        <w:t> </w:t>
      </w:r>
      <w:r w:rsidRPr="00774335">
        <w:t xml:space="preserve">5, del Apéndice 30A y nota 1 al título del Artículo 6, nota 11 al título del Artículo 8 del Apéndice 30B, establecen que </w:t>
      </w:r>
      <w:r w:rsidRPr="00774335">
        <w:rPr>
          <w:color w:val="000000"/>
        </w:rPr>
        <w:t xml:space="preserve">de no recibirse los pagos por una notificación presentada con arreglo a las disposiciones indicadas </w:t>
      </w:r>
      <w:r w:rsidRPr="00774335">
        <w:rPr>
          <w:i/>
          <w:iCs/>
          <w:color w:val="000000"/>
        </w:rPr>
        <w:t xml:space="preserve">supra </w:t>
      </w:r>
      <w:r w:rsidRPr="00774335">
        <w:rPr>
          <w:color w:val="000000"/>
        </w:rPr>
        <w:t>de conformidad con lo dispuesto en el Acuerdo 482 del Consejo, modificado, sobre aplicación de la recuperación de costes a las notificaciones de redes de satélites, la Oficina anulará la publicación tras haber informado a las administraciones afectadas</w:t>
      </w:r>
      <w:r w:rsidRPr="00774335">
        <w:t xml:space="preserve">. </w:t>
      </w:r>
    </w:p>
    <w:p w:rsidR="002347C8" w:rsidRPr="00774335" w:rsidRDefault="002347C8" w:rsidP="002347C8">
      <w:r w:rsidRPr="00774335">
        <w:rPr>
          <w:rFonts w:eastAsia="SimSun"/>
        </w:rPr>
        <w:t>2</w:t>
      </w:r>
      <w:r w:rsidRPr="00774335">
        <w:rPr>
          <w:rFonts w:eastAsia="SimSun"/>
        </w:rPr>
        <w:tab/>
        <w:t xml:space="preserve">El Acuerdo 482 estipula que el pago de las cantidades se efectúe sobre la base de una factura enviada a la administración notificante tras su recepción por la Oficina, en el plazo de seis meses a partir de la fecha de la factura. </w:t>
      </w:r>
    </w:p>
    <w:p w:rsidR="002347C8" w:rsidRPr="00774335" w:rsidRDefault="002347C8" w:rsidP="002347C8">
      <w:pPr>
        <w:rPr>
          <w:rFonts w:eastAsia="SimSun"/>
        </w:rPr>
      </w:pPr>
      <w:r w:rsidRPr="00774335">
        <w:rPr>
          <w:rFonts w:eastAsia="SimSun"/>
        </w:rPr>
        <w:t>3</w:t>
      </w:r>
      <w:r w:rsidRPr="00774335">
        <w:rPr>
          <w:rFonts w:eastAsia="SimSun"/>
        </w:rPr>
        <w:tab/>
        <w:t>Debido al retraso administrativo vinculado principalmente a la confirmación del pago por las instituciones financieras y la validación interna entre la Oficina y el Departamento de Gestión de Recursos Financieros de la Secretaría General, la decisión de la Oficina sobre el retraso o impago de una notificación de redes de satélites se somete normalmente a consideración y confirmación en una reunión de la BR IFIC que tiene lugar a más tardar seis semanas después del plazo de seis meses fijado para las tasas de recuperación de costes de las notificaciones consideradas.</w:t>
      </w:r>
    </w:p>
    <w:p w:rsidR="002347C8" w:rsidRPr="00774335" w:rsidRDefault="002347C8" w:rsidP="002347C8">
      <w:pPr>
        <w:rPr>
          <w:rFonts w:eastAsia="SimSun"/>
        </w:rPr>
      </w:pPr>
      <w:r w:rsidRPr="00774335">
        <w:rPr>
          <w:rFonts w:eastAsia="SimSun"/>
        </w:rPr>
        <w:t>4</w:t>
      </w:r>
      <w:r w:rsidRPr="00774335">
        <w:rPr>
          <w:rFonts w:eastAsia="SimSun"/>
        </w:rPr>
        <w:tab/>
        <w:t xml:space="preserve">En vista de lo indicado </w:t>
      </w:r>
      <w:r w:rsidRPr="00774335">
        <w:rPr>
          <w:rFonts w:eastAsia="SimSun"/>
          <w:i/>
          <w:iCs/>
        </w:rPr>
        <w:t>supra</w:t>
      </w:r>
      <w:r w:rsidRPr="00774335">
        <w:rPr>
          <w:rFonts w:eastAsia="SimSun"/>
        </w:rPr>
        <w:t>, la Junta decidió que las notificaciones de redes de satélites cuyo pago se recibió después del plazo de seis meses pero antes de la reunión de la BR IFIC en la que se considera el retraso en el pago, seguirán teniéndose en cuenta.</w:t>
      </w:r>
    </w:p>
    <w:p w:rsidR="002347C8" w:rsidRPr="00774335" w:rsidRDefault="002347C8" w:rsidP="002347C8">
      <w:pPr>
        <w:rPr>
          <w:rFonts w:eastAsia="SimSun"/>
        </w:rPr>
      </w:pPr>
      <w:r w:rsidRPr="00774335">
        <w:rPr>
          <w:rFonts w:eastAsia="SimSun"/>
        </w:rPr>
        <w:t>5</w:t>
      </w:r>
      <w:r w:rsidRPr="00774335">
        <w:rPr>
          <w:rFonts w:eastAsia="SimSun"/>
        </w:rPr>
        <w:tab/>
        <w:t>Toda notificación de redes de satélites cuyo pago se recibe después de la reunión de la BR IFIC en la que se ha tomado la decisión de cancelar esa notificación por impago, dejará de tenerse en cuenta, y el asunto será notificado a una reunión de la Junta del Reglamento de Radiocomunicaciones, si la administración interesada así lo desea.</w:t>
      </w:r>
    </w:p>
    <w:p w:rsidR="002347C8" w:rsidRPr="00774335" w:rsidRDefault="002347C8" w:rsidP="002347C8">
      <w:pPr>
        <w:shd w:val="solid" w:color="FFFFFF" w:fill="FFFFFF"/>
        <w:spacing w:after="240"/>
        <w:rPr>
          <w:i/>
          <w:iCs/>
          <w:szCs w:val="24"/>
        </w:rPr>
      </w:pPr>
      <w:r w:rsidRPr="00774335">
        <w:rPr>
          <w:b/>
          <w:bCs/>
          <w:i/>
          <w:iCs/>
          <w:szCs w:val="24"/>
        </w:rPr>
        <w:t>Motivos</w:t>
      </w:r>
      <w:r w:rsidRPr="00774335">
        <w:rPr>
          <w:i/>
          <w:iCs/>
          <w:szCs w:val="24"/>
        </w:rPr>
        <w:t xml:space="preserve">: Dar respuesta a la petición de la RRB en el Documento RRB12-1/4 y revisiones posteriores </w:t>
      </w:r>
    </w:p>
    <w:p w:rsidR="002347C8" w:rsidRPr="00774335" w:rsidRDefault="002347C8" w:rsidP="00673217">
      <w:pPr>
        <w:spacing w:after="240"/>
        <w:rPr>
          <w:rFonts w:eastAsia="SimSun"/>
          <w:szCs w:val="24"/>
        </w:rPr>
      </w:pPr>
      <w:r w:rsidRPr="00774335">
        <w:rPr>
          <w:rFonts w:eastAsia="SimSun"/>
          <w:i/>
          <w:iCs/>
          <w:szCs w:val="24"/>
        </w:rPr>
        <w:t xml:space="preserve">Fecha efectiva de </w:t>
      </w:r>
      <w:r w:rsidR="00673217" w:rsidRPr="00774335">
        <w:rPr>
          <w:rFonts w:eastAsia="SimSun"/>
          <w:i/>
          <w:iCs/>
          <w:szCs w:val="24"/>
        </w:rPr>
        <w:t>aplicac</w:t>
      </w:r>
      <w:r w:rsidRPr="00774335">
        <w:rPr>
          <w:rFonts w:eastAsia="SimSun"/>
          <w:i/>
          <w:iCs/>
          <w:szCs w:val="24"/>
        </w:rPr>
        <w:t xml:space="preserve">ión de esta Regla: inmediatamente después de la aprobación. </w:t>
      </w:r>
    </w:p>
    <w:p w:rsidR="002347C8" w:rsidRPr="00774335" w:rsidRDefault="002347C8" w:rsidP="002347C8">
      <w:pPr>
        <w:keepNext/>
        <w:keepLines/>
        <w:spacing w:after="240"/>
        <w:ind w:left="794" w:hanging="794"/>
        <w:jc w:val="center"/>
        <w:outlineLvl w:val="0"/>
        <w:rPr>
          <w:b/>
          <w:szCs w:val="24"/>
        </w:rPr>
      </w:pPr>
      <w:r w:rsidRPr="00774335">
        <w:rPr>
          <w:b/>
          <w:szCs w:val="24"/>
        </w:rPr>
        <w:br w:type="page"/>
      </w:r>
      <w:r w:rsidRPr="00774335">
        <w:rPr>
          <w:b/>
          <w:szCs w:val="24"/>
        </w:rPr>
        <w:lastRenderedPageBreak/>
        <w:t xml:space="preserve">Reglas relativas al </w:t>
      </w:r>
    </w:p>
    <w:p w:rsidR="002347C8" w:rsidRPr="00774335" w:rsidRDefault="002347C8" w:rsidP="002347C8">
      <w:pPr>
        <w:keepNext/>
        <w:keepLines/>
        <w:spacing w:before="240"/>
        <w:ind w:left="794" w:hanging="794"/>
        <w:jc w:val="center"/>
        <w:outlineLvl w:val="1"/>
        <w:rPr>
          <w:b/>
          <w:szCs w:val="24"/>
        </w:rPr>
      </w:pPr>
      <w:r w:rsidRPr="00774335">
        <w:rPr>
          <w:b/>
          <w:szCs w:val="24"/>
        </w:rPr>
        <w:t>ARTÍCULO 11 del RR</w:t>
      </w:r>
    </w:p>
    <w:p w:rsidR="00DA7572" w:rsidRPr="00774335" w:rsidRDefault="00DA7572" w:rsidP="00DA7572">
      <w:pPr>
        <w:pStyle w:val="Proposal"/>
        <w:rPr>
          <w:rFonts w:eastAsia="SimSun"/>
          <w:b/>
          <w:bCs/>
          <w:kern w:val="32"/>
          <w:szCs w:val="24"/>
        </w:rPr>
      </w:pPr>
      <w:r w:rsidRPr="00774335">
        <w:rPr>
          <w:b/>
          <w:bCs/>
        </w:rPr>
        <w:t>ADD</w:t>
      </w:r>
      <w:r w:rsidRPr="00774335">
        <w:rPr>
          <w:rFonts w:eastAsia="SimSun"/>
          <w:b/>
          <w:bCs/>
          <w:kern w:val="32"/>
          <w:szCs w:val="24"/>
        </w:rPr>
        <w:t xml:space="preserve"> </w:t>
      </w:r>
    </w:p>
    <w:p w:rsidR="002347C8" w:rsidRPr="00774335" w:rsidRDefault="002347C8" w:rsidP="002347C8">
      <w:pPr>
        <w:keepNext/>
        <w:spacing w:before="240" w:after="60"/>
        <w:jc w:val="center"/>
        <w:outlineLvl w:val="0"/>
        <w:rPr>
          <w:rFonts w:eastAsia="SimSun"/>
          <w:b/>
          <w:bCs/>
          <w:kern w:val="32"/>
          <w:szCs w:val="24"/>
        </w:rPr>
      </w:pPr>
      <w:r w:rsidRPr="00774335">
        <w:rPr>
          <w:rFonts w:eastAsia="SimSun"/>
          <w:b/>
          <w:bCs/>
          <w:kern w:val="32"/>
          <w:szCs w:val="24"/>
        </w:rPr>
        <w:t>Consolidación de asignaciones de frecuencias de diferentes redes OSG presentadas por una administración en la misma posición orbital, en asignaciones de frecuencias de una única red de satélites</w:t>
      </w:r>
    </w:p>
    <w:p w:rsidR="002347C8" w:rsidRPr="00774335" w:rsidRDefault="002347C8" w:rsidP="002347C8">
      <w:pPr>
        <w:pStyle w:val="Heading1"/>
        <w:rPr>
          <w:rFonts w:eastAsia="SimSun"/>
        </w:rPr>
      </w:pPr>
      <w:r w:rsidRPr="00774335">
        <w:rPr>
          <w:rFonts w:eastAsia="SimSun"/>
        </w:rPr>
        <w:t>1</w:t>
      </w:r>
      <w:r w:rsidRPr="00774335">
        <w:rPr>
          <w:rFonts w:eastAsia="SimSun"/>
        </w:rPr>
        <w:tab/>
        <w:t>Introducción</w:t>
      </w:r>
    </w:p>
    <w:p w:rsidR="002347C8" w:rsidRPr="00774335" w:rsidRDefault="002347C8" w:rsidP="002347C8">
      <w:pPr>
        <w:rPr>
          <w:rFonts w:eastAsia="SimSun"/>
        </w:rPr>
      </w:pPr>
      <w:r w:rsidRPr="00774335">
        <w:rPr>
          <w:rFonts w:eastAsia="SimSun"/>
        </w:rPr>
        <w:t>La Junta tomó nota de que la CMR-12 necesita una descripción detallada de las medidas adoptadas por la Oficina de Radiocomunicaciones con respecto a la consolidación de las asignaciones de frecuencias de diferentes redes de la órbita de satélites geoestacionarios (OSG) presentadas por una administración en la misma posición orbital, en asignaciones de frecuencias de una única red de satélites.</w:t>
      </w:r>
    </w:p>
    <w:p w:rsidR="002347C8" w:rsidRPr="00774335" w:rsidRDefault="002347C8" w:rsidP="002347C8">
      <w:pPr>
        <w:rPr>
          <w:rFonts w:eastAsia="SimSun"/>
        </w:rPr>
      </w:pPr>
      <w:r w:rsidRPr="00774335">
        <w:rPr>
          <w:rFonts w:eastAsia="SimSun"/>
        </w:rPr>
        <w:t xml:space="preserve">En este sentido, la Junta entiende que la consolidación de redes de satélites será posible a petición  de una administración notificante con respecto a asignaciones de frecuencias de redes OSG ya inscritas en el Registro tras la aplicación satisfactoria de los procedimientos de notificación, y que se aplicarán los siguientes principios. </w:t>
      </w:r>
    </w:p>
    <w:p w:rsidR="002347C8" w:rsidRPr="00774335" w:rsidRDefault="002347C8" w:rsidP="002347C8">
      <w:pPr>
        <w:pStyle w:val="Heading1"/>
        <w:rPr>
          <w:rFonts w:eastAsia="SimSun"/>
        </w:rPr>
      </w:pPr>
      <w:r w:rsidRPr="00774335">
        <w:rPr>
          <w:rFonts w:eastAsia="SimSun"/>
        </w:rPr>
        <w:t>2</w:t>
      </w:r>
      <w:r w:rsidRPr="00774335">
        <w:rPr>
          <w:rFonts w:eastAsia="SimSun"/>
        </w:rPr>
        <w:tab/>
        <w:t xml:space="preserve">Estructura de la notificación </w:t>
      </w:r>
    </w:p>
    <w:p w:rsidR="002347C8" w:rsidRPr="00774335" w:rsidRDefault="002347C8" w:rsidP="002347C8">
      <w:pPr>
        <w:rPr>
          <w:rFonts w:eastAsia="SimSun"/>
        </w:rPr>
      </w:pPr>
      <w:r w:rsidRPr="00774335">
        <w:rPr>
          <w:rFonts w:eastAsia="SimSun"/>
        </w:rPr>
        <w:t>La consolidación de las asignaciones de frecuencias inscritas de varias redes de satélites en una única red consistirá en combinar todos los datos alfanuméricos relativos a las asignaciones de frecuencias de las redes OSG correspondientes que figuran en la base de datos de los sistemas de redes espaciales de la Oficina de Radiocomunicaciones y los datos gráficos asociados contenidos en la base de datos de referencia del programa informático del sistema gráfico de gestión de interferencias (GIMS).</w:t>
      </w:r>
    </w:p>
    <w:p w:rsidR="002347C8" w:rsidRPr="00774335" w:rsidRDefault="002347C8" w:rsidP="002347C8">
      <w:pPr>
        <w:pStyle w:val="Heading2"/>
        <w:rPr>
          <w:rFonts w:eastAsia="SimSun"/>
        </w:rPr>
      </w:pPr>
      <w:r w:rsidRPr="00774335">
        <w:rPr>
          <w:rFonts w:eastAsia="SimSun"/>
        </w:rPr>
        <w:t>2.1</w:t>
      </w:r>
      <w:r w:rsidRPr="00774335">
        <w:rPr>
          <w:rFonts w:eastAsia="SimSun"/>
        </w:rPr>
        <w:tab/>
        <w:t>Identidad de la red de satélites (Apéndice 4, Anexo 2, A1)</w:t>
      </w:r>
    </w:p>
    <w:p w:rsidR="002347C8" w:rsidRPr="00774335" w:rsidRDefault="002347C8" w:rsidP="002347C8">
      <w:pPr>
        <w:rPr>
          <w:rFonts w:eastAsia="SimSun"/>
        </w:rPr>
      </w:pPr>
      <w:r w:rsidRPr="00774335">
        <w:rPr>
          <w:rFonts w:eastAsia="SimSun"/>
        </w:rPr>
        <w:t>Se clasificarán para la consolidación únicamente las redes de satélites con idéntica información relativa a la administración notificante:</w:t>
      </w:r>
    </w:p>
    <w:p w:rsidR="002347C8" w:rsidRPr="00774335" w:rsidRDefault="002347C8" w:rsidP="002347C8">
      <w:pPr>
        <w:pStyle w:val="enumlev1"/>
        <w:rPr>
          <w:rFonts w:eastAsia="SimSun"/>
        </w:rPr>
      </w:pPr>
      <w:r w:rsidRPr="00774335">
        <w:rPr>
          <w:rFonts w:eastAsia="SimSun"/>
        </w:rPr>
        <w:t>–</w:t>
      </w:r>
      <w:r w:rsidRPr="00774335">
        <w:rPr>
          <w:rFonts w:eastAsia="SimSun"/>
        </w:rPr>
        <w:tab/>
        <w:t xml:space="preserve">A.1.f.1 </w:t>
      </w:r>
      <w:r w:rsidRPr="00774335">
        <w:rPr>
          <w:rFonts w:eastAsia="SimSun"/>
        </w:rPr>
        <w:tab/>
        <w:t xml:space="preserve">Administración notificante </w:t>
      </w:r>
    </w:p>
    <w:p w:rsidR="002347C8" w:rsidRPr="00774335" w:rsidRDefault="002347C8" w:rsidP="002347C8">
      <w:pPr>
        <w:pStyle w:val="enumlev1"/>
        <w:rPr>
          <w:rFonts w:eastAsia="SimSun"/>
        </w:rPr>
      </w:pPr>
      <w:r w:rsidRPr="00774335">
        <w:rPr>
          <w:rFonts w:eastAsia="SimSun"/>
        </w:rPr>
        <w:t>–</w:t>
      </w:r>
      <w:r w:rsidRPr="00774335">
        <w:rPr>
          <w:rFonts w:eastAsia="SimSun"/>
        </w:rPr>
        <w:tab/>
        <w:t xml:space="preserve">A.1.f.2 </w:t>
      </w:r>
      <w:r w:rsidRPr="00774335">
        <w:rPr>
          <w:rFonts w:eastAsia="SimSun"/>
        </w:rPr>
        <w:tab/>
        <w:t xml:space="preserve">Grupo de Administraciones </w:t>
      </w:r>
    </w:p>
    <w:p w:rsidR="002347C8" w:rsidRPr="00774335" w:rsidRDefault="002347C8" w:rsidP="002347C8">
      <w:pPr>
        <w:pStyle w:val="enumlev1"/>
        <w:rPr>
          <w:rFonts w:eastAsia="SimSun"/>
        </w:rPr>
      </w:pPr>
      <w:r w:rsidRPr="00774335">
        <w:rPr>
          <w:rFonts w:eastAsia="SimSun"/>
        </w:rPr>
        <w:t>–</w:t>
      </w:r>
      <w:r w:rsidRPr="00774335">
        <w:rPr>
          <w:rFonts w:eastAsia="SimSun"/>
        </w:rPr>
        <w:tab/>
        <w:t>A.1.f.3</w:t>
      </w:r>
      <w:r w:rsidRPr="00774335">
        <w:rPr>
          <w:rFonts w:eastAsia="SimSun"/>
        </w:rPr>
        <w:tab/>
        <w:t xml:space="preserve">Organización intergubernamental de satélites </w:t>
      </w:r>
    </w:p>
    <w:p w:rsidR="002347C8" w:rsidRPr="00774335" w:rsidRDefault="002347C8" w:rsidP="002347C8">
      <w:pPr>
        <w:pStyle w:val="Heading2"/>
        <w:rPr>
          <w:rFonts w:eastAsia="SimSun"/>
        </w:rPr>
      </w:pPr>
      <w:r w:rsidRPr="00774335">
        <w:rPr>
          <w:rFonts w:eastAsia="SimSun"/>
        </w:rPr>
        <w:t>2.2</w:t>
      </w:r>
      <w:r w:rsidRPr="00774335">
        <w:rPr>
          <w:rFonts w:eastAsia="SimSun"/>
        </w:rPr>
        <w:tab/>
        <w:t>Información orbital (Apéndice 4, Anexo 2, A4)</w:t>
      </w:r>
    </w:p>
    <w:p w:rsidR="002347C8" w:rsidRPr="00774335" w:rsidRDefault="002347C8" w:rsidP="00673217">
      <w:pPr>
        <w:rPr>
          <w:rFonts w:eastAsia="SimSun"/>
          <w:szCs w:val="24"/>
        </w:rPr>
      </w:pPr>
      <w:r w:rsidRPr="00774335">
        <w:rPr>
          <w:rFonts w:eastAsia="SimSun"/>
          <w:szCs w:val="24"/>
        </w:rPr>
        <w:t xml:space="preserve">Las redes de satélites que se consolidarán tendrán las mismas características orbitales: </w:t>
      </w:r>
    </w:p>
    <w:p w:rsidR="002347C8" w:rsidRPr="00774335" w:rsidRDefault="002347C8" w:rsidP="00673217">
      <w:pPr>
        <w:pStyle w:val="enumlev1"/>
        <w:tabs>
          <w:tab w:val="clear" w:pos="1191"/>
          <w:tab w:val="clear" w:pos="1588"/>
          <w:tab w:val="clear" w:pos="1985"/>
          <w:tab w:val="left" w:pos="2127"/>
        </w:tabs>
        <w:rPr>
          <w:rFonts w:eastAsia="SimSun"/>
        </w:rPr>
      </w:pPr>
      <w:r w:rsidRPr="00774335">
        <w:rPr>
          <w:rFonts w:eastAsia="SimSun"/>
        </w:rPr>
        <w:t>–</w:t>
      </w:r>
      <w:r w:rsidRPr="00774335">
        <w:rPr>
          <w:rFonts w:eastAsia="SimSun"/>
        </w:rPr>
        <w:tab/>
        <w:t xml:space="preserve">A.4.a.1 </w:t>
      </w:r>
      <w:r w:rsidRPr="00774335">
        <w:rPr>
          <w:rFonts w:eastAsia="SimSun"/>
        </w:rPr>
        <w:tab/>
        <w:t xml:space="preserve">Posición orbital </w:t>
      </w:r>
    </w:p>
    <w:p w:rsidR="002347C8" w:rsidRPr="00774335" w:rsidRDefault="002347C8" w:rsidP="00673217">
      <w:pPr>
        <w:pStyle w:val="enumlev1"/>
        <w:tabs>
          <w:tab w:val="clear" w:pos="1985"/>
          <w:tab w:val="left" w:pos="2127"/>
        </w:tabs>
        <w:rPr>
          <w:rFonts w:eastAsia="SimSun"/>
        </w:rPr>
      </w:pPr>
      <w:r w:rsidRPr="00774335">
        <w:rPr>
          <w:rFonts w:eastAsia="SimSun"/>
        </w:rPr>
        <w:t>–</w:t>
      </w:r>
      <w:r w:rsidRPr="00774335">
        <w:rPr>
          <w:rFonts w:eastAsia="SimSun"/>
        </w:rPr>
        <w:tab/>
        <w:t xml:space="preserve">A.4.a.2.a , b </w:t>
      </w:r>
      <w:r w:rsidRPr="00774335">
        <w:rPr>
          <w:rFonts w:eastAsia="SimSun"/>
        </w:rPr>
        <w:tab/>
        <w:t xml:space="preserve">Tolerancia longitudinal </w:t>
      </w:r>
    </w:p>
    <w:p w:rsidR="002347C8" w:rsidRPr="00774335" w:rsidRDefault="002347C8" w:rsidP="00673217">
      <w:pPr>
        <w:pStyle w:val="enumlev1"/>
        <w:tabs>
          <w:tab w:val="clear" w:pos="1985"/>
          <w:tab w:val="left" w:pos="2127"/>
        </w:tabs>
        <w:rPr>
          <w:rFonts w:eastAsia="SimSun"/>
        </w:rPr>
      </w:pPr>
      <w:r w:rsidRPr="00774335">
        <w:rPr>
          <w:rFonts w:eastAsia="SimSun"/>
        </w:rPr>
        <w:t>–</w:t>
      </w:r>
      <w:r w:rsidRPr="00774335">
        <w:rPr>
          <w:rFonts w:eastAsia="SimSun"/>
        </w:rPr>
        <w:tab/>
        <w:t xml:space="preserve">A.4.a.2.c </w:t>
      </w:r>
      <w:r w:rsidRPr="00774335">
        <w:rPr>
          <w:rFonts w:eastAsia="SimSun"/>
        </w:rPr>
        <w:tab/>
        <w:t xml:space="preserve">Excursión de inclinación </w:t>
      </w:r>
    </w:p>
    <w:p w:rsidR="002347C8" w:rsidRPr="00774335" w:rsidRDefault="002347C8" w:rsidP="002347C8">
      <w:pPr>
        <w:rPr>
          <w:rFonts w:eastAsia="SimSun"/>
        </w:rPr>
      </w:pPr>
      <w:r w:rsidRPr="00774335">
        <w:rPr>
          <w:rFonts w:eastAsia="SimSun"/>
        </w:rPr>
        <w:t>En caso de diferentes valores para la tolerancia longitudinal y la excursión de inclinación, se utilizarán los valores más pequeños de una red consolidada.</w:t>
      </w:r>
    </w:p>
    <w:p w:rsidR="002347C8" w:rsidRPr="00774335" w:rsidRDefault="002347C8" w:rsidP="002347C8">
      <w:pPr>
        <w:pStyle w:val="Heading2"/>
        <w:rPr>
          <w:rFonts w:eastAsia="SimSun"/>
        </w:rPr>
      </w:pPr>
      <w:r w:rsidRPr="00774335">
        <w:rPr>
          <w:rFonts w:eastAsia="SimSun"/>
        </w:rPr>
        <w:lastRenderedPageBreak/>
        <w:t>2.3</w:t>
      </w:r>
      <w:r w:rsidRPr="00774335">
        <w:rPr>
          <w:rFonts w:eastAsia="SimSun"/>
        </w:rPr>
        <w:tab/>
        <w:t xml:space="preserve">Características del haz de antena y del Grupo de asignaciones de frecuencias (Apéndice 4, Anexo 2, B y C) </w:t>
      </w:r>
    </w:p>
    <w:p w:rsidR="002347C8" w:rsidRPr="00774335" w:rsidRDefault="002347C8" w:rsidP="002347C8">
      <w:pPr>
        <w:rPr>
          <w:rFonts w:eastAsia="SimSun"/>
          <w:szCs w:val="24"/>
        </w:rPr>
      </w:pPr>
      <w:r w:rsidRPr="00774335">
        <w:rPr>
          <w:rFonts w:eastAsia="SimSun"/>
          <w:szCs w:val="24"/>
        </w:rPr>
        <w:t>La designación del haz de antena de satélite y las características individuales asociadas (diagramas de ganancia y de contorno de ganancia, diagramas de radiación de antena y diagramas de ganancia de la antena en la dirección de las partes de la órbita de satélites geoestacionarios que no están obstruidas por la Tierra, zona de servicio) se mantendrán sin cambios como haces separados en la única notificación de las redes de satélites consolidadas, a menos que la administración notificante solicite otra cosa.</w:t>
      </w:r>
    </w:p>
    <w:p w:rsidR="002347C8" w:rsidRPr="00774335" w:rsidRDefault="002347C8" w:rsidP="002347C8">
      <w:pPr>
        <w:rPr>
          <w:rFonts w:eastAsia="SimSun"/>
          <w:szCs w:val="24"/>
        </w:rPr>
      </w:pPr>
      <w:r w:rsidRPr="00774335">
        <w:rPr>
          <w:rFonts w:eastAsia="SimSun"/>
          <w:szCs w:val="24"/>
        </w:rPr>
        <w:t xml:space="preserve">Cada grupo de asignaciones de frecuencias, incluida la fecha de recepción de la información completa con arreglo al número </w:t>
      </w:r>
      <w:r w:rsidRPr="00774335">
        <w:rPr>
          <w:rFonts w:eastAsia="SimSun"/>
          <w:b/>
          <w:bCs/>
          <w:szCs w:val="24"/>
        </w:rPr>
        <w:t>9.34</w:t>
      </w:r>
      <w:r w:rsidRPr="00774335">
        <w:rPr>
          <w:rFonts w:eastAsia="SimSun"/>
          <w:szCs w:val="24"/>
        </w:rPr>
        <w:t>, para un haz de antena de satélite se mantendrá sin cambios y separado, independientemente de sus características.</w:t>
      </w:r>
    </w:p>
    <w:p w:rsidR="002347C8" w:rsidRPr="00774335" w:rsidRDefault="002347C8" w:rsidP="002347C8">
      <w:pPr>
        <w:rPr>
          <w:rFonts w:eastAsia="SimSun"/>
          <w:szCs w:val="24"/>
        </w:rPr>
      </w:pPr>
      <w:r w:rsidRPr="00774335">
        <w:rPr>
          <w:rFonts w:eastAsia="SimSun"/>
          <w:szCs w:val="24"/>
        </w:rPr>
        <w:t xml:space="preserve">Para la consolidación de notificaciones de redes de satélites que incluyen cuadros de conexión de haces, se realizarán estudios específicos caso por caso. </w:t>
      </w:r>
    </w:p>
    <w:p w:rsidR="002347C8" w:rsidRPr="00774335" w:rsidRDefault="002347C8" w:rsidP="002347C8">
      <w:pPr>
        <w:pStyle w:val="Heading2"/>
        <w:rPr>
          <w:rFonts w:eastAsia="SimSun"/>
        </w:rPr>
      </w:pPr>
      <w:r w:rsidRPr="00774335">
        <w:rPr>
          <w:rFonts w:eastAsia="SimSun"/>
        </w:rPr>
        <w:t>2.4</w:t>
      </w:r>
      <w:r w:rsidRPr="00774335">
        <w:rPr>
          <w:rFonts w:eastAsia="SimSun"/>
        </w:rPr>
        <w:tab/>
        <w:t xml:space="preserve">Identificador de la notificación y los grupos </w:t>
      </w:r>
    </w:p>
    <w:p w:rsidR="002347C8" w:rsidRPr="00774335" w:rsidRDefault="002347C8" w:rsidP="002347C8">
      <w:pPr>
        <w:rPr>
          <w:rFonts w:eastAsia="SimSun"/>
          <w:szCs w:val="24"/>
        </w:rPr>
      </w:pPr>
      <w:r w:rsidRPr="00774335">
        <w:rPr>
          <w:rFonts w:eastAsia="SimSun"/>
          <w:szCs w:val="24"/>
        </w:rPr>
        <w:t xml:space="preserve">Se mantendrá un sólo identificador para la notificación consolidada (ID de notificación); los ID de notificación de las demás redes implicadas inscritas en el Registro se eliminarán del sistema. Se mantendrá el identificador original único de los grupos de asignaciones de frecuencias (ID de grupo). </w:t>
      </w:r>
    </w:p>
    <w:p w:rsidR="002347C8" w:rsidRPr="00774335" w:rsidRDefault="002347C8" w:rsidP="002347C8">
      <w:pPr>
        <w:pStyle w:val="Heading1"/>
        <w:rPr>
          <w:rFonts w:eastAsia="SimSun"/>
        </w:rPr>
      </w:pPr>
      <w:r w:rsidRPr="00774335">
        <w:rPr>
          <w:rFonts w:eastAsia="SimSun"/>
        </w:rPr>
        <w:t>3</w:t>
      </w:r>
      <w:r w:rsidRPr="00774335">
        <w:rPr>
          <w:rFonts w:eastAsia="SimSun"/>
        </w:rPr>
        <w:tab/>
        <w:t>BR IFIC (Servicios espaciales) y Anexo a la BR IFIC</w:t>
      </w:r>
    </w:p>
    <w:p w:rsidR="002347C8" w:rsidRPr="00774335" w:rsidRDefault="002347C8" w:rsidP="002347C8">
      <w:pPr>
        <w:pStyle w:val="Heading2"/>
        <w:rPr>
          <w:rFonts w:eastAsia="SimSun"/>
        </w:rPr>
      </w:pPr>
      <w:r w:rsidRPr="00774335">
        <w:rPr>
          <w:rFonts w:eastAsia="SimSun"/>
        </w:rPr>
        <w:t>3.1</w:t>
      </w:r>
      <w:r w:rsidRPr="00774335">
        <w:rPr>
          <w:rFonts w:eastAsia="SimSun"/>
        </w:rPr>
        <w:tab/>
        <w:t xml:space="preserve">Parte I-S </w:t>
      </w:r>
    </w:p>
    <w:p w:rsidR="002347C8" w:rsidRPr="00774335" w:rsidRDefault="002347C8" w:rsidP="002347C8">
      <w:pPr>
        <w:rPr>
          <w:rFonts w:eastAsia="SimSun"/>
        </w:rPr>
      </w:pPr>
      <w:r w:rsidRPr="00774335">
        <w:rPr>
          <w:rFonts w:eastAsia="SimSun"/>
        </w:rPr>
        <w:t xml:space="preserve">La información en la red consolidada, incluidas referencias a las redes de satélites implicadas, será publicada en la Parte I-S de la BR IFIC (Servicios Espaciales) y se distribuirá con las respectivas bases de datos (SRS, SPS, AP30B, GIMS, SNL) en el DVD de la BR IFIC sobre servicios espaciales. </w:t>
      </w:r>
    </w:p>
    <w:p w:rsidR="002347C8" w:rsidRPr="00774335" w:rsidRDefault="002347C8" w:rsidP="002347C8">
      <w:pPr>
        <w:pStyle w:val="Heading2"/>
        <w:rPr>
          <w:rFonts w:eastAsia="SimSun"/>
        </w:rPr>
      </w:pPr>
      <w:r w:rsidRPr="00774335">
        <w:rPr>
          <w:rFonts w:eastAsia="SimSun"/>
        </w:rPr>
        <w:t>3.2</w:t>
      </w:r>
      <w:r w:rsidRPr="00774335">
        <w:rPr>
          <w:rFonts w:eastAsia="SimSun"/>
        </w:rPr>
        <w:tab/>
        <w:t xml:space="preserve">Secciones especiales </w:t>
      </w:r>
    </w:p>
    <w:p w:rsidR="002347C8" w:rsidRPr="00774335" w:rsidRDefault="002347C8" w:rsidP="00673217">
      <w:pPr>
        <w:rPr>
          <w:rFonts w:eastAsia="SimSun"/>
          <w:szCs w:val="24"/>
        </w:rPr>
      </w:pPr>
      <w:r w:rsidRPr="00774335">
        <w:rPr>
          <w:rFonts w:eastAsia="SimSun"/>
          <w:szCs w:val="24"/>
        </w:rPr>
        <w:t>No será necesaria una nueva publicación de las secciones especiales (API/A, CR/C, CR/D, AP30/E, AP30A/E, AP30-30A/E/, AP30B/A6B ...) de las diferentes redes de satélites mencionadas en la red de satélites consolidada inscrita en el Registro. La información relativa a las secciones especiales asociadas y la Parte I-S de las redes de satélites consolidadas se indicará en el Artículo A.13 del Apéndice 4 (Referencia a las secciones especiales publicadas de la BR IFIC).</w:t>
      </w:r>
    </w:p>
    <w:p w:rsidR="002347C8" w:rsidRPr="00774335" w:rsidRDefault="002347C8" w:rsidP="002347C8">
      <w:pPr>
        <w:pStyle w:val="Heading1"/>
        <w:rPr>
          <w:rFonts w:eastAsia="SimSun"/>
        </w:rPr>
      </w:pPr>
      <w:r w:rsidRPr="00774335">
        <w:rPr>
          <w:rFonts w:eastAsia="SimSun"/>
        </w:rPr>
        <w:t>4</w:t>
      </w:r>
      <w:r w:rsidRPr="00774335">
        <w:rPr>
          <w:rFonts w:eastAsia="SimSun"/>
        </w:rPr>
        <w:tab/>
        <w:t xml:space="preserve">Recuperación de costes </w:t>
      </w:r>
    </w:p>
    <w:p w:rsidR="002347C8" w:rsidRPr="00774335" w:rsidRDefault="002347C8" w:rsidP="002347C8">
      <w:pPr>
        <w:rPr>
          <w:rFonts w:eastAsia="SimSun"/>
          <w:szCs w:val="24"/>
        </w:rPr>
      </w:pPr>
      <w:r w:rsidRPr="00774335">
        <w:rPr>
          <w:rFonts w:eastAsia="SimSun"/>
          <w:szCs w:val="24"/>
        </w:rPr>
        <w:t>La consolidación de las asignaciones de frecuencias registradas de diferentes notificaciones de redes de satélites en una notificación implicará un tratamiento de datos importante y la publicación de la Oficina entrañará tasas de recuperación de costes que debe establecer el Consejo con arreglo al Acuerdo 482.</w:t>
      </w:r>
    </w:p>
    <w:p w:rsidR="002347C8" w:rsidRPr="00774335" w:rsidRDefault="002347C8" w:rsidP="002347C8">
      <w:pPr>
        <w:tabs>
          <w:tab w:val="left" w:pos="1418"/>
          <w:tab w:val="left" w:pos="1871"/>
          <w:tab w:val="left" w:pos="2608"/>
          <w:tab w:val="left" w:pos="3345"/>
        </w:tabs>
        <w:rPr>
          <w:i/>
          <w:iCs/>
          <w:szCs w:val="24"/>
        </w:rPr>
      </w:pPr>
      <w:r w:rsidRPr="00774335">
        <w:rPr>
          <w:b/>
          <w:bCs/>
          <w:i/>
          <w:iCs/>
          <w:szCs w:val="24"/>
        </w:rPr>
        <w:t>Motivos</w:t>
      </w:r>
      <w:r w:rsidRPr="00774335">
        <w:rPr>
          <w:i/>
          <w:iCs/>
          <w:szCs w:val="24"/>
        </w:rPr>
        <w:t>: Dar respuesta a la decisión de la CMR-12 adoptada en su decimotercera Sesión Plenaria  (Doc.554, Par.3.16, 3.17):</w:t>
      </w:r>
    </w:p>
    <w:p w:rsidR="002347C8" w:rsidRPr="00774335" w:rsidRDefault="00BF3BA1" w:rsidP="002347C8">
      <w:pPr>
        <w:rPr>
          <w:rFonts w:eastAsia="SimSun"/>
          <w:i/>
          <w:iCs/>
          <w:szCs w:val="24"/>
        </w:rPr>
      </w:pPr>
      <w:r w:rsidRPr="00774335">
        <w:rPr>
          <w:rFonts w:eastAsia="SimSun"/>
          <w:i/>
          <w:iCs/>
          <w:szCs w:val="24"/>
        </w:rPr>
        <w:t>"</w:t>
      </w:r>
      <w:r w:rsidR="002347C8" w:rsidRPr="00774335">
        <w:rPr>
          <w:rFonts w:eastAsia="SimSun"/>
          <w:i/>
          <w:iCs/>
          <w:szCs w:val="24"/>
        </w:rPr>
        <w:t xml:space="preserve">Tras considerar los Addenda 1 a 28 del Documento 6, se ha señalado a la atención de la Conferencia que no existe ninguna documentación disponible de inmediato para las administraciones sobre los métodos aplicados y medidas adoptadas por la Oficina para consolidar las asignaciones de frecuencias de diferentes redes OSG, presentadas por una administración en la </w:t>
      </w:r>
      <w:r w:rsidR="002347C8" w:rsidRPr="00774335">
        <w:rPr>
          <w:rFonts w:eastAsia="SimSun"/>
          <w:i/>
          <w:iCs/>
          <w:szCs w:val="24"/>
        </w:rPr>
        <w:lastRenderedPageBreak/>
        <w:t>misma posición orbital, en asignaciones de frecuencias de una única red de satélites. Por consiguiente se encarga a:</w:t>
      </w:r>
    </w:p>
    <w:p w:rsidR="002347C8" w:rsidRPr="00774335" w:rsidRDefault="002347C8" w:rsidP="002347C8">
      <w:pPr>
        <w:spacing w:after="240"/>
        <w:ind w:left="426"/>
        <w:rPr>
          <w:rFonts w:eastAsia="SimSun"/>
          <w:i/>
          <w:iCs/>
          <w:szCs w:val="24"/>
        </w:rPr>
      </w:pPr>
      <w:r w:rsidRPr="00774335">
        <w:rPr>
          <w:rFonts w:eastAsia="SimSun"/>
          <w:i/>
          <w:iCs/>
          <w:szCs w:val="24"/>
        </w:rPr>
        <w:t>a)</w:t>
      </w:r>
      <w:r w:rsidRPr="00774335">
        <w:rPr>
          <w:rFonts w:eastAsia="SimSun"/>
          <w:i/>
          <w:iCs/>
          <w:szCs w:val="24"/>
        </w:rPr>
        <w:tab/>
        <w:t>la Oficina que elabore y presente a la Junta del Reglamento de Radiocomunicaciones la descripción detallada de los métodos aplicados y medidas adoptadas por la Oficina, en particular en lo que respecta a la consolidación de asignaciones de frecuencias de diferentes redes OSG, presentadas por una administración en la misma posición orbital, en asignaciones de frecuencias de una única red de satélites;</w:t>
      </w:r>
    </w:p>
    <w:p w:rsidR="002347C8" w:rsidRPr="00774335" w:rsidRDefault="002347C8" w:rsidP="00BF3BA1">
      <w:pPr>
        <w:spacing w:after="240"/>
        <w:ind w:left="426"/>
        <w:rPr>
          <w:rFonts w:eastAsia="SimSun"/>
          <w:i/>
          <w:iCs/>
          <w:szCs w:val="24"/>
        </w:rPr>
      </w:pPr>
      <w:r w:rsidRPr="00774335">
        <w:rPr>
          <w:rFonts w:eastAsia="SimSun"/>
          <w:i/>
          <w:iCs/>
          <w:szCs w:val="24"/>
        </w:rPr>
        <w:t>b)</w:t>
      </w:r>
      <w:r w:rsidRPr="00774335">
        <w:rPr>
          <w:rFonts w:eastAsia="SimSun"/>
          <w:i/>
          <w:iCs/>
          <w:szCs w:val="24"/>
        </w:rPr>
        <w:tab/>
        <w:t>la Junta del Reglamento de Radiocomunicaciones que elabore las Reglas de Procedimiento pertinentes.</w:t>
      </w:r>
      <w:r w:rsidR="00BF3BA1" w:rsidRPr="00774335">
        <w:rPr>
          <w:rFonts w:eastAsia="SimSun"/>
          <w:i/>
          <w:iCs/>
          <w:szCs w:val="24"/>
        </w:rPr>
        <w:t>"</w:t>
      </w:r>
    </w:p>
    <w:p w:rsidR="002347C8" w:rsidRPr="00774335" w:rsidRDefault="002347C8" w:rsidP="002347C8">
      <w:pPr>
        <w:spacing w:after="240"/>
        <w:rPr>
          <w:rFonts w:eastAsia="SimSun"/>
          <w:i/>
          <w:iCs/>
          <w:szCs w:val="24"/>
        </w:rPr>
      </w:pPr>
      <w:r w:rsidRPr="00774335">
        <w:rPr>
          <w:rFonts w:eastAsia="SimSun"/>
          <w:i/>
          <w:iCs/>
          <w:szCs w:val="24"/>
        </w:rPr>
        <w:t>Dicha medida de consolidación de asignaciones de frecuencias de diferentes notificaciones en una sola implicará un tratamiento de datos importante y la publicación de la Oficina que estarán sujetos a tasas de recuperación de costes que debe establecer el Consejo, con arreglo al Acuerdo 482, en una reunión posterior.</w:t>
      </w:r>
    </w:p>
    <w:p w:rsidR="002347C8" w:rsidRPr="00774335" w:rsidRDefault="002347C8" w:rsidP="004B4EC0">
      <w:pPr>
        <w:spacing w:after="240"/>
        <w:rPr>
          <w:i/>
          <w:iCs/>
        </w:rPr>
      </w:pPr>
      <w:r w:rsidRPr="00774335">
        <w:rPr>
          <w:i/>
          <w:iCs/>
        </w:rPr>
        <w:t>Fecha de aplicación efectiva de la Regla</w:t>
      </w:r>
      <w:r w:rsidR="004B4EC0">
        <w:rPr>
          <w:i/>
          <w:iCs/>
        </w:rPr>
        <w:t xml:space="preserve"> modificada</w:t>
      </w:r>
      <w:r w:rsidRPr="00774335">
        <w:rPr>
          <w:i/>
          <w:iCs/>
        </w:rPr>
        <w:t>: inmediatamente después de la aprobación de la Regla.</w:t>
      </w:r>
    </w:p>
    <w:p w:rsidR="00DA7572" w:rsidRPr="00774335" w:rsidRDefault="00DA7572" w:rsidP="00BF3BA1">
      <w:pPr>
        <w:spacing w:after="240"/>
        <w:rPr>
          <w:i/>
          <w:iCs/>
        </w:rPr>
      </w:pPr>
    </w:p>
    <w:p w:rsidR="00DA7572" w:rsidRPr="00774335" w:rsidRDefault="00DA7572" w:rsidP="00DA7572">
      <w:pPr>
        <w:pStyle w:val="Proposal"/>
        <w:rPr>
          <w:b/>
          <w:bCs/>
        </w:rPr>
      </w:pPr>
      <w:r w:rsidRPr="00774335">
        <w:rPr>
          <w:b/>
          <w:bCs/>
        </w:rPr>
        <w:t>MOD</w:t>
      </w:r>
    </w:p>
    <w:p w:rsidR="00DA7572" w:rsidRPr="00ED7AB5" w:rsidRDefault="00DA7572" w:rsidP="00DA7572">
      <w:pPr>
        <w:pStyle w:val="Heading8"/>
        <w:rPr>
          <w:color w:val="000000"/>
          <w:bdr w:val="double" w:sz="4" w:space="0" w:color="auto"/>
        </w:rPr>
      </w:pPr>
      <w:r w:rsidRPr="00ED7AB5">
        <w:rPr>
          <w:color w:val="000000"/>
          <w:bdr w:val="double" w:sz="4" w:space="0" w:color="auto"/>
        </w:rPr>
        <w:t>11.31</w:t>
      </w:r>
    </w:p>
    <w:p w:rsidR="00DA7572" w:rsidRPr="00774335" w:rsidRDefault="00DA7572" w:rsidP="00DA7572">
      <w:pPr>
        <w:rPr>
          <w:color w:val="000000"/>
        </w:rPr>
      </w:pPr>
      <w:r w:rsidRPr="00774335">
        <w:rPr>
          <w:color w:val="000000"/>
        </w:rPr>
        <w:t>2.4</w:t>
      </w:r>
      <w:r w:rsidRPr="00774335">
        <w:rPr>
          <w:color w:val="000000"/>
        </w:rPr>
        <w:tab/>
      </w:r>
      <w:r w:rsidRPr="00774335">
        <w:rPr>
          <w:i/>
          <w:color w:val="000000"/>
        </w:rPr>
        <w:t>Servicio móvil marítimo</w:t>
      </w:r>
      <w:r w:rsidRPr="00774335">
        <w:rPr>
          <w:color w:val="000000"/>
        </w:rPr>
        <w:t>: la mayoría de ellas se refieren a las bandas de frecuencia atribuidas con carácter exclusivo al servicio móvil marítimo (disposiciones de canales obliga</w:t>
      </w:r>
      <w:r w:rsidRPr="00774335">
        <w:rPr>
          <w:color w:val="000000"/>
        </w:rPr>
        <w:softHyphen/>
        <w:t>torias, clases de emisión permitidas, límites de potencia, etc.); no obstante, muchas de ellas se aplican también a las atribuciones no exclusivas del servicio móvil marítimo. En el cuadro siguiente se ofrece un resumen de las disposiciones aplicables a las asignaciones de frecuencia sujetas a notificación:</w:t>
      </w:r>
    </w:p>
    <w:p w:rsidR="00DA7572" w:rsidRPr="00774335" w:rsidRDefault="00DA7572" w:rsidP="00DA7572">
      <w:pPr>
        <w:pStyle w:val="Table"/>
        <w:spacing w:before="0"/>
        <w:rPr>
          <w:color w:val="000000"/>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835"/>
        <w:gridCol w:w="5919"/>
      </w:tblGrid>
      <w:tr w:rsidR="00DA7572" w:rsidRPr="00774335" w:rsidTr="00DA7572">
        <w:trPr>
          <w:cantSplit/>
          <w:jc w:val="center"/>
        </w:trPr>
        <w:tc>
          <w:tcPr>
            <w:tcW w:w="2835" w:type="dxa"/>
            <w:tcBorders>
              <w:top w:val="nil"/>
              <w:left w:val="nil"/>
            </w:tcBorders>
          </w:tcPr>
          <w:p w:rsidR="00DA7572" w:rsidRPr="00774335" w:rsidRDefault="00DA7572" w:rsidP="00613CC1">
            <w:pPr>
              <w:pStyle w:val="TableText0"/>
              <w:spacing w:before="120" w:after="120"/>
              <w:rPr>
                <w:color w:val="000000"/>
                <w:lang w:val="es-ES_tradnl"/>
              </w:rPr>
            </w:pPr>
          </w:p>
        </w:tc>
        <w:tc>
          <w:tcPr>
            <w:tcW w:w="5919" w:type="dxa"/>
            <w:tcBorders>
              <w:left w:val="nil"/>
              <w:right w:val="single" w:sz="6" w:space="0" w:color="auto"/>
            </w:tcBorders>
          </w:tcPr>
          <w:p w:rsidR="00DA7572" w:rsidRPr="00774335" w:rsidRDefault="00DA7572" w:rsidP="00613CC1">
            <w:pPr>
              <w:pStyle w:val="TableHead0"/>
              <w:spacing w:before="120" w:after="120"/>
              <w:rPr>
                <w:color w:val="000000"/>
                <w:lang w:val="es-ES_tradnl"/>
              </w:rPr>
            </w:pPr>
            <w:r w:rsidRPr="00774335">
              <w:rPr>
                <w:color w:val="000000"/>
                <w:lang w:val="es-ES_tradnl"/>
              </w:rPr>
              <w:t>Disposición número</w:t>
            </w:r>
          </w:p>
        </w:tc>
      </w:tr>
      <w:tr w:rsidR="00DA7572" w:rsidRPr="00774335" w:rsidTr="00DA7572">
        <w:trPr>
          <w:cantSplit/>
          <w:jc w:val="center"/>
        </w:trPr>
        <w:tc>
          <w:tcPr>
            <w:tcW w:w="2835" w:type="dxa"/>
          </w:tcPr>
          <w:p w:rsidR="00DA7572" w:rsidRPr="00774335" w:rsidRDefault="00DA7572" w:rsidP="00613CC1">
            <w:pPr>
              <w:pStyle w:val="TableText0"/>
              <w:spacing w:before="80" w:after="80"/>
              <w:rPr>
                <w:color w:val="000000"/>
                <w:lang w:val="es-ES_tradnl"/>
              </w:rPr>
            </w:pPr>
            <w:r w:rsidRPr="00774335">
              <w:rPr>
                <w:color w:val="000000"/>
                <w:lang w:val="es-ES_tradnl"/>
              </w:rPr>
              <w:t>Límites de potencia</w:t>
            </w:r>
          </w:p>
        </w:tc>
        <w:tc>
          <w:tcPr>
            <w:tcW w:w="5919" w:type="dxa"/>
            <w:tcBorders>
              <w:right w:val="single" w:sz="6" w:space="0" w:color="auto"/>
            </w:tcBorders>
          </w:tcPr>
          <w:p w:rsidR="00DA7572" w:rsidRPr="00774335" w:rsidRDefault="00DA7572" w:rsidP="00613CC1">
            <w:pPr>
              <w:pStyle w:val="TableText0"/>
              <w:spacing w:before="80" w:after="0"/>
              <w:rPr>
                <w:color w:val="000000"/>
                <w:lang w:val="es-ES_tradnl"/>
              </w:rPr>
            </w:pPr>
            <w:r w:rsidRPr="00774335">
              <w:rPr>
                <w:rStyle w:val="Artref"/>
                <w:color w:val="000000"/>
                <w:lang w:val="es-ES_tradnl"/>
              </w:rPr>
              <w:t>52.104</w:t>
            </w:r>
          </w:p>
          <w:p w:rsidR="00DA7572" w:rsidRPr="00774335" w:rsidRDefault="00DA7572" w:rsidP="00613CC1">
            <w:pPr>
              <w:pStyle w:val="TableText0"/>
              <w:spacing w:after="0"/>
              <w:rPr>
                <w:color w:val="000000"/>
                <w:lang w:val="es-ES_tradnl"/>
              </w:rPr>
            </w:pPr>
            <w:r w:rsidRPr="00774335">
              <w:rPr>
                <w:rStyle w:val="Artref"/>
                <w:color w:val="000000"/>
                <w:lang w:val="es-ES_tradnl"/>
              </w:rPr>
              <w:t>52.117</w:t>
            </w:r>
            <w:r w:rsidRPr="00774335">
              <w:rPr>
                <w:color w:val="000000"/>
                <w:lang w:val="es-ES_tradnl"/>
              </w:rPr>
              <w:t xml:space="preserve">, </w:t>
            </w:r>
            <w:r w:rsidRPr="00774335">
              <w:rPr>
                <w:rStyle w:val="Artref"/>
                <w:color w:val="000000"/>
                <w:lang w:val="es-ES_tradnl"/>
              </w:rPr>
              <w:t>52.127</w:t>
            </w:r>
            <w:r w:rsidRPr="00774335">
              <w:rPr>
                <w:color w:val="000000"/>
                <w:lang w:val="es-ES_tradnl"/>
              </w:rPr>
              <w:t xml:space="preserve"> (Región 1 únicamente), </w:t>
            </w:r>
            <w:r w:rsidRPr="00774335">
              <w:rPr>
                <w:rStyle w:val="Artref"/>
                <w:color w:val="000000"/>
                <w:lang w:val="es-ES_tradnl"/>
              </w:rPr>
              <w:t>52.143</w:t>
            </w:r>
            <w:r w:rsidRPr="00774335">
              <w:rPr>
                <w:color w:val="000000"/>
                <w:lang w:val="es-ES_tradnl"/>
              </w:rPr>
              <w:t xml:space="preserve">, </w:t>
            </w:r>
            <w:r w:rsidRPr="00774335">
              <w:rPr>
                <w:rStyle w:val="Artref"/>
                <w:color w:val="000000"/>
                <w:lang w:val="es-ES_tradnl"/>
              </w:rPr>
              <w:t>52.144</w:t>
            </w:r>
            <w:r w:rsidRPr="00774335">
              <w:rPr>
                <w:color w:val="000000"/>
                <w:lang w:val="es-ES_tradnl"/>
              </w:rPr>
              <w:t xml:space="preserve">, </w:t>
            </w:r>
            <w:r w:rsidRPr="00774335">
              <w:rPr>
                <w:rStyle w:val="Artref"/>
                <w:color w:val="000000"/>
                <w:lang w:val="es-ES_tradnl"/>
              </w:rPr>
              <w:t>52.172</w:t>
            </w:r>
          </w:p>
          <w:p w:rsidR="00DA7572" w:rsidRPr="00774335" w:rsidRDefault="00DA7572" w:rsidP="00613CC1">
            <w:pPr>
              <w:pStyle w:val="TableText0"/>
              <w:spacing w:after="0"/>
              <w:rPr>
                <w:color w:val="000000"/>
                <w:lang w:val="es-ES_tradnl"/>
              </w:rPr>
            </w:pPr>
            <w:r w:rsidRPr="00774335">
              <w:rPr>
                <w:rStyle w:val="Artref"/>
                <w:color w:val="000000"/>
                <w:lang w:val="es-ES_tradnl"/>
              </w:rPr>
              <w:t>52.184</w:t>
            </w:r>
            <w:r w:rsidRPr="00774335">
              <w:rPr>
                <w:color w:val="000000"/>
                <w:lang w:val="es-ES_tradnl"/>
              </w:rPr>
              <w:t>-</w:t>
            </w:r>
            <w:r w:rsidRPr="00774335">
              <w:rPr>
                <w:rStyle w:val="Artref"/>
                <w:color w:val="000000"/>
                <w:lang w:val="es-ES_tradnl"/>
              </w:rPr>
              <w:t>52.186</w:t>
            </w:r>
            <w:r w:rsidRPr="00774335">
              <w:rPr>
                <w:color w:val="000000"/>
                <w:lang w:val="es-ES_tradnl"/>
              </w:rPr>
              <w:t xml:space="preserve">, </w:t>
            </w:r>
            <w:r w:rsidRPr="00774335">
              <w:rPr>
                <w:rStyle w:val="Artref"/>
                <w:color w:val="000000"/>
                <w:lang w:val="es-ES_tradnl"/>
              </w:rPr>
              <w:t>52.188</w:t>
            </w:r>
            <w:r w:rsidRPr="00774335">
              <w:rPr>
                <w:color w:val="000000"/>
                <w:lang w:val="es-ES_tradnl"/>
              </w:rPr>
              <w:t xml:space="preserve">, </w:t>
            </w:r>
            <w:r w:rsidRPr="00774335">
              <w:rPr>
                <w:rStyle w:val="Artref"/>
                <w:color w:val="000000"/>
                <w:lang w:val="es-ES_tradnl"/>
              </w:rPr>
              <w:t>52.202</w:t>
            </w:r>
            <w:r w:rsidRPr="00774335">
              <w:rPr>
                <w:color w:val="000000"/>
                <w:lang w:val="es-ES_tradnl"/>
              </w:rPr>
              <w:t xml:space="preserve"> (Región 1 únicamente)</w:t>
            </w:r>
          </w:p>
          <w:p w:rsidR="00DA7572" w:rsidRPr="00774335" w:rsidRDefault="00DA7572" w:rsidP="00613CC1">
            <w:pPr>
              <w:pStyle w:val="TableText0"/>
              <w:spacing w:after="80"/>
              <w:rPr>
                <w:color w:val="000000"/>
                <w:lang w:val="es-ES_tradnl"/>
              </w:rPr>
            </w:pPr>
            <w:r w:rsidRPr="00774335">
              <w:rPr>
                <w:rStyle w:val="Artref"/>
                <w:color w:val="000000"/>
                <w:lang w:val="es-ES_tradnl"/>
              </w:rPr>
              <w:t>52.219</w:t>
            </w:r>
            <w:r w:rsidRPr="00774335">
              <w:rPr>
                <w:color w:val="000000"/>
                <w:lang w:val="es-ES_tradnl"/>
              </w:rPr>
              <w:t xml:space="preserve">, </w:t>
            </w:r>
            <w:r w:rsidRPr="00774335">
              <w:rPr>
                <w:rStyle w:val="Artref"/>
                <w:color w:val="000000"/>
                <w:lang w:val="es-ES_tradnl"/>
              </w:rPr>
              <w:t>52.220</w:t>
            </w:r>
            <w:r w:rsidRPr="00774335">
              <w:rPr>
                <w:color w:val="000000"/>
                <w:lang w:val="es-ES_tradnl"/>
              </w:rPr>
              <w:t xml:space="preserve">, </w:t>
            </w:r>
            <w:r w:rsidRPr="00774335">
              <w:rPr>
                <w:rStyle w:val="Artref"/>
                <w:color w:val="000000"/>
                <w:lang w:val="es-ES_tradnl"/>
              </w:rPr>
              <w:t xml:space="preserve">52.227, </w:t>
            </w:r>
            <w:r w:rsidRPr="00613CC1">
              <w:rPr>
                <w:rStyle w:val="Artref"/>
                <w:color w:val="FF0000"/>
                <w:u w:val="single"/>
                <w:lang w:val="es-ES_tradnl"/>
              </w:rPr>
              <w:t>52.265</w:t>
            </w:r>
            <w:r w:rsidRPr="00613CC1">
              <w:rPr>
                <w:rStyle w:val="Artref"/>
                <w:color w:val="FF0000"/>
                <w:lang w:val="es-ES_tradnl"/>
              </w:rPr>
              <w:t xml:space="preserve">, </w:t>
            </w:r>
            <w:r w:rsidRPr="00613CC1">
              <w:rPr>
                <w:rStyle w:val="Artref"/>
                <w:color w:val="FF0000"/>
                <w:u w:val="single"/>
                <w:lang w:val="es-ES_tradnl"/>
              </w:rPr>
              <w:t>52.266</w:t>
            </w:r>
            <w:r w:rsidRPr="00613CC1">
              <w:rPr>
                <w:color w:val="FF0000"/>
                <w:lang w:val="es-ES_tradnl"/>
              </w:rPr>
              <w:t xml:space="preserve"> </w:t>
            </w:r>
          </w:p>
        </w:tc>
      </w:tr>
      <w:tr w:rsidR="00DA7572" w:rsidRPr="00774335" w:rsidTr="00DA7572">
        <w:trPr>
          <w:cantSplit/>
          <w:jc w:val="center"/>
        </w:trPr>
        <w:tc>
          <w:tcPr>
            <w:tcW w:w="2835" w:type="dxa"/>
            <w:tcBorders>
              <w:bottom w:val="single" w:sz="6" w:space="0" w:color="auto"/>
            </w:tcBorders>
          </w:tcPr>
          <w:p w:rsidR="00DA7572" w:rsidRPr="00774335" w:rsidRDefault="00DA7572" w:rsidP="00613CC1">
            <w:pPr>
              <w:pStyle w:val="TableText0"/>
              <w:spacing w:before="80" w:after="80"/>
              <w:rPr>
                <w:color w:val="000000"/>
                <w:lang w:val="es-ES_tradnl"/>
              </w:rPr>
            </w:pPr>
            <w:r w:rsidRPr="00774335">
              <w:rPr>
                <w:color w:val="000000"/>
                <w:lang w:val="es-ES_tradnl"/>
              </w:rPr>
              <w:t>Clase de emisión</w:t>
            </w:r>
          </w:p>
        </w:tc>
        <w:tc>
          <w:tcPr>
            <w:tcW w:w="5919" w:type="dxa"/>
            <w:tcBorders>
              <w:bottom w:val="single" w:sz="6" w:space="0" w:color="auto"/>
              <w:right w:val="single" w:sz="6" w:space="0" w:color="auto"/>
            </w:tcBorders>
          </w:tcPr>
          <w:p w:rsidR="00DA7572" w:rsidRPr="00774335" w:rsidRDefault="00DA7572" w:rsidP="00613CC1">
            <w:pPr>
              <w:pStyle w:val="TableText0"/>
              <w:spacing w:before="80" w:after="0"/>
              <w:rPr>
                <w:color w:val="000000"/>
                <w:lang w:val="es-ES_tradnl"/>
              </w:rPr>
            </w:pPr>
            <w:r w:rsidRPr="00774335">
              <w:rPr>
                <w:rStyle w:val="Artref"/>
                <w:color w:val="000000"/>
                <w:lang w:val="es-ES_tradnl"/>
              </w:rPr>
              <w:t>52.2</w:t>
            </w:r>
            <w:r w:rsidRPr="00774335">
              <w:rPr>
                <w:color w:val="000000"/>
                <w:lang w:val="es-ES_tradnl"/>
              </w:rPr>
              <w:t xml:space="preserve">, </w:t>
            </w:r>
            <w:r w:rsidRPr="00774335">
              <w:rPr>
                <w:rStyle w:val="Artref"/>
                <w:color w:val="000000"/>
                <w:lang w:val="es-ES_tradnl"/>
              </w:rPr>
              <w:t>52.3</w:t>
            </w:r>
          </w:p>
          <w:p w:rsidR="00DA7572" w:rsidRPr="00774335" w:rsidRDefault="00DA7572" w:rsidP="00613CC1">
            <w:pPr>
              <w:pStyle w:val="TableText0"/>
              <w:spacing w:after="80"/>
              <w:jc w:val="left"/>
              <w:rPr>
                <w:color w:val="000000"/>
                <w:lang w:val="es-ES_tradnl"/>
              </w:rPr>
            </w:pPr>
            <w:r w:rsidRPr="00774335">
              <w:rPr>
                <w:rStyle w:val="Artref"/>
                <w:color w:val="000000"/>
                <w:lang w:val="es-ES_tradnl"/>
              </w:rPr>
              <w:t>52.101</w:t>
            </w:r>
            <w:r w:rsidRPr="00774335">
              <w:rPr>
                <w:color w:val="000000"/>
                <w:lang w:val="es-ES_tradnl"/>
              </w:rPr>
              <w:t xml:space="preserve">, </w:t>
            </w:r>
            <w:r w:rsidRPr="00774335">
              <w:rPr>
                <w:rStyle w:val="Artref"/>
                <w:color w:val="000000"/>
                <w:lang w:val="es-ES_tradnl"/>
              </w:rPr>
              <w:t>52.177</w:t>
            </w:r>
            <w:r w:rsidRPr="00774335">
              <w:rPr>
                <w:color w:val="000000"/>
                <w:lang w:val="es-ES_tradnl"/>
              </w:rPr>
              <w:t xml:space="preserve">, </w:t>
            </w:r>
            <w:r w:rsidRPr="00774335">
              <w:rPr>
                <w:rStyle w:val="Artref"/>
                <w:color w:val="000000"/>
                <w:lang w:val="es-ES_tradnl"/>
              </w:rPr>
              <w:t>52.183</w:t>
            </w:r>
            <w:r w:rsidRPr="00774335">
              <w:rPr>
                <w:color w:val="000000"/>
                <w:lang w:val="es-ES_tradnl"/>
              </w:rPr>
              <w:t xml:space="preserve">, </w:t>
            </w:r>
            <w:r w:rsidRPr="00774335">
              <w:rPr>
                <w:rStyle w:val="Artref"/>
                <w:color w:val="000000"/>
                <w:lang w:val="es-ES_tradnl"/>
              </w:rPr>
              <w:t>52.188</w:t>
            </w:r>
            <w:r w:rsidRPr="00774335">
              <w:rPr>
                <w:color w:val="000000"/>
                <w:lang w:val="es-ES_tradnl"/>
              </w:rPr>
              <w:t xml:space="preserve">, </w:t>
            </w:r>
            <w:r w:rsidRPr="00774335">
              <w:rPr>
                <w:rStyle w:val="Artref"/>
                <w:color w:val="000000"/>
                <w:lang w:val="es-ES_tradnl"/>
              </w:rPr>
              <w:t>52.198</w:t>
            </w:r>
            <w:r w:rsidRPr="00774335">
              <w:rPr>
                <w:color w:val="000000"/>
                <w:lang w:val="es-ES_tradnl"/>
              </w:rPr>
              <w:t xml:space="preserve">, </w:t>
            </w:r>
            <w:r w:rsidRPr="00774335">
              <w:rPr>
                <w:rStyle w:val="Artref"/>
                <w:color w:val="000000"/>
                <w:lang w:val="es-ES_tradnl"/>
              </w:rPr>
              <w:t xml:space="preserve">52.217, </w:t>
            </w:r>
            <w:r w:rsidRPr="00613CC1">
              <w:rPr>
                <w:rStyle w:val="Artref"/>
                <w:color w:val="FF0000"/>
                <w:u w:val="single"/>
                <w:lang w:val="es-ES_tradnl"/>
              </w:rPr>
              <w:t>52.264</w:t>
            </w:r>
          </w:p>
        </w:tc>
      </w:tr>
      <w:tr w:rsidR="00DA7572" w:rsidRPr="00774335" w:rsidTr="00DA7572">
        <w:trPr>
          <w:cantSplit/>
          <w:jc w:val="center"/>
        </w:trPr>
        <w:tc>
          <w:tcPr>
            <w:tcW w:w="2835" w:type="dxa"/>
          </w:tcPr>
          <w:p w:rsidR="00DA7572" w:rsidRPr="00774335" w:rsidRDefault="00DA7572" w:rsidP="00613CC1">
            <w:pPr>
              <w:pStyle w:val="TableText0"/>
              <w:spacing w:before="80" w:after="80"/>
              <w:rPr>
                <w:color w:val="000000"/>
                <w:lang w:val="es-ES_tradnl"/>
              </w:rPr>
            </w:pPr>
            <w:r w:rsidRPr="00774335">
              <w:rPr>
                <w:color w:val="000000"/>
                <w:lang w:val="es-ES_tradnl"/>
              </w:rPr>
              <w:t>Subdivisión obligatoria</w:t>
            </w:r>
          </w:p>
        </w:tc>
        <w:tc>
          <w:tcPr>
            <w:tcW w:w="5919" w:type="dxa"/>
            <w:tcBorders>
              <w:right w:val="single" w:sz="6" w:space="0" w:color="auto"/>
            </w:tcBorders>
          </w:tcPr>
          <w:p w:rsidR="00DA7572" w:rsidRPr="00774335" w:rsidRDefault="00DA7572" w:rsidP="00613CC1">
            <w:pPr>
              <w:pStyle w:val="TableText0"/>
              <w:spacing w:before="80" w:after="0"/>
              <w:rPr>
                <w:color w:val="000000"/>
                <w:lang w:val="es-ES_tradnl"/>
              </w:rPr>
            </w:pPr>
            <w:r w:rsidRPr="00774335">
              <w:rPr>
                <w:rStyle w:val="Artref"/>
                <w:color w:val="000000"/>
                <w:lang w:val="es-ES_tradnl"/>
              </w:rPr>
              <w:t>52.10</w:t>
            </w:r>
            <w:r w:rsidRPr="00774335">
              <w:rPr>
                <w:color w:val="000000"/>
                <w:lang w:val="es-ES_tradnl"/>
              </w:rPr>
              <w:t xml:space="preserve"> (Región 1 únicamente), </w:t>
            </w:r>
            <w:r w:rsidRPr="00774335">
              <w:rPr>
                <w:rStyle w:val="Artref"/>
                <w:color w:val="000000"/>
                <w:lang w:val="es-ES_tradnl"/>
              </w:rPr>
              <w:t>52.13</w:t>
            </w:r>
            <w:r w:rsidRPr="00774335">
              <w:rPr>
                <w:color w:val="000000"/>
                <w:lang w:val="es-ES_tradnl"/>
              </w:rPr>
              <w:t xml:space="preserve"> </w:t>
            </w:r>
          </w:p>
          <w:p w:rsidR="00DA7572" w:rsidRPr="00774335" w:rsidRDefault="00DA7572" w:rsidP="00613CC1">
            <w:pPr>
              <w:pStyle w:val="TableText0"/>
              <w:spacing w:after="80"/>
              <w:rPr>
                <w:color w:val="000000"/>
                <w:lang w:val="es-ES_tradnl"/>
              </w:rPr>
            </w:pPr>
            <w:r w:rsidRPr="00774335">
              <w:rPr>
                <w:color w:val="000000"/>
                <w:lang w:val="es-ES_tradnl"/>
              </w:rPr>
              <w:t xml:space="preserve">Apéndice </w:t>
            </w:r>
            <w:r w:rsidRPr="00774335">
              <w:rPr>
                <w:rStyle w:val="Appref"/>
                <w:b/>
                <w:color w:val="000000"/>
                <w:lang w:val="es-ES_tradnl"/>
              </w:rPr>
              <w:t>17</w:t>
            </w:r>
          </w:p>
        </w:tc>
      </w:tr>
    </w:tbl>
    <w:p w:rsidR="00DA7572" w:rsidRPr="00613CC1" w:rsidRDefault="00DA7572">
      <w:pPr>
        <w:pStyle w:val="TableFin"/>
        <w:rPr>
          <w:lang w:val="es-ES_tradnl"/>
        </w:rPr>
      </w:pPr>
    </w:p>
    <w:p w:rsidR="00DA7572" w:rsidRPr="00774335" w:rsidRDefault="00DA7572" w:rsidP="00774335">
      <w:pPr>
        <w:rPr>
          <w:rFonts w:eastAsia="SimSun"/>
          <w:i/>
          <w:iCs/>
        </w:rPr>
      </w:pPr>
      <w:r w:rsidRPr="00DA3E40">
        <w:rPr>
          <w:rFonts w:eastAsia="SimSun"/>
          <w:b/>
          <w:bCs/>
          <w:i/>
          <w:iCs/>
        </w:rPr>
        <w:t>Motivos:</w:t>
      </w:r>
      <w:r w:rsidRPr="00774335">
        <w:rPr>
          <w:rFonts w:eastAsia="SimSun"/>
          <w:i/>
          <w:iCs/>
        </w:rPr>
        <w:t xml:space="preserve"> </w:t>
      </w:r>
      <w:r w:rsidR="00DA3E40">
        <w:rPr>
          <w:rFonts w:eastAsia="SimSun"/>
          <w:i/>
          <w:iCs/>
        </w:rPr>
        <w:t xml:space="preserve">Las </w:t>
      </w:r>
      <w:r w:rsidR="00774335">
        <w:rPr>
          <w:rFonts w:eastAsia="SimSun"/>
          <w:i/>
          <w:iCs/>
        </w:rPr>
        <w:t xml:space="preserve">nuevas disposiciones </w:t>
      </w:r>
      <w:r w:rsidR="00C21E6E" w:rsidRPr="00774335">
        <w:rPr>
          <w:rFonts w:eastAsia="SimSun"/>
          <w:i/>
          <w:iCs/>
        </w:rPr>
        <w:t xml:space="preserve">52.264 </w:t>
      </w:r>
      <w:r w:rsidR="00774335">
        <w:rPr>
          <w:rFonts w:eastAsia="SimSun"/>
          <w:i/>
          <w:iCs/>
        </w:rPr>
        <w:t>a</w:t>
      </w:r>
      <w:r w:rsidR="00C21E6E" w:rsidRPr="00774335">
        <w:rPr>
          <w:rFonts w:eastAsia="SimSun"/>
          <w:i/>
          <w:iCs/>
        </w:rPr>
        <w:t xml:space="preserve"> 52.266 </w:t>
      </w:r>
      <w:r w:rsidR="00774335">
        <w:rPr>
          <w:rFonts w:eastAsia="SimSun"/>
          <w:i/>
          <w:iCs/>
        </w:rPr>
        <w:t>han sido introducidas por la CMR-12 y contienen los requisitos de límites de potencia y clases de emisión para las transmisiones de datos marítimos. Deben figurar en la lista de "otras disposiciones" del RR a fin de verificar esos requisitos durante los exámenes conforme al número</w:t>
      </w:r>
      <w:r w:rsidR="00C21E6E" w:rsidRPr="00774335">
        <w:rPr>
          <w:rFonts w:eastAsia="SimSun"/>
          <w:i/>
          <w:iCs/>
        </w:rPr>
        <w:t xml:space="preserve"> 11.31.</w:t>
      </w:r>
    </w:p>
    <w:p w:rsidR="00DA7572" w:rsidRPr="00774335" w:rsidRDefault="00DA7572" w:rsidP="00B7143F">
      <w:pPr>
        <w:rPr>
          <w:rFonts w:eastAsia="SimSun"/>
          <w:i/>
          <w:iCs/>
        </w:rPr>
      </w:pPr>
      <w:r w:rsidRPr="00774335">
        <w:rPr>
          <w:i/>
          <w:iCs/>
        </w:rPr>
        <w:t>Fecha de aplicación efectiva de la Regla</w:t>
      </w:r>
      <w:r w:rsidR="002E38B1">
        <w:rPr>
          <w:i/>
          <w:iCs/>
        </w:rPr>
        <w:t xml:space="preserve"> modificada</w:t>
      </w:r>
      <w:r w:rsidRPr="00774335">
        <w:rPr>
          <w:i/>
          <w:iCs/>
        </w:rPr>
        <w:t>: inmediatamente después de la aprobación de la Regla.</w:t>
      </w:r>
    </w:p>
    <w:p w:rsidR="00DA7572" w:rsidRPr="00774335" w:rsidRDefault="002347C8" w:rsidP="00DA7572">
      <w:pPr>
        <w:rPr>
          <w:rFonts w:eastAsia="SimSun"/>
          <w:sz w:val="16"/>
          <w:szCs w:val="16"/>
        </w:rPr>
      </w:pPr>
      <w:r w:rsidRPr="00774335">
        <w:rPr>
          <w:rFonts w:eastAsia="SimSun"/>
          <w:sz w:val="16"/>
          <w:szCs w:val="16"/>
        </w:rPr>
        <w:br w:type="page"/>
      </w:r>
    </w:p>
    <w:p w:rsidR="002347C8" w:rsidRPr="00774335" w:rsidRDefault="002347C8" w:rsidP="00DA7572">
      <w:pPr>
        <w:keepNext/>
        <w:spacing w:before="240" w:after="60"/>
        <w:jc w:val="center"/>
        <w:outlineLvl w:val="0"/>
        <w:rPr>
          <w:rFonts w:eastAsia="SimSun"/>
          <w:b/>
          <w:bCs/>
          <w:szCs w:val="24"/>
        </w:rPr>
      </w:pPr>
      <w:r w:rsidRPr="00774335">
        <w:rPr>
          <w:rFonts w:eastAsia="SimSun"/>
          <w:b/>
          <w:bCs/>
          <w:szCs w:val="24"/>
        </w:rPr>
        <w:lastRenderedPageBreak/>
        <w:t xml:space="preserve">Reglas relativas a la  </w:t>
      </w:r>
    </w:p>
    <w:p w:rsidR="002347C8" w:rsidRPr="00774335" w:rsidRDefault="002347C8" w:rsidP="002347C8">
      <w:pPr>
        <w:keepNext/>
        <w:spacing w:before="240" w:after="60"/>
        <w:jc w:val="center"/>
        <w:outlineLvl w:val="0"/>
        <w:rPr>
          <w:rFonts w:eastAsia="SimSun"/>
          <w:b/>
          <w:bCs/>
          <w:kern w:val="32"/>
          <w:szCs w:val="24"/>
        </w:rPr>
      </w:pPr>
      <w:r w:rsidRPr="00774335">
        <w:rPr>
          <w:rFonts w:eastAsia="SimSun"/>
          <w:b/>
          <w:bCs/>
          <w:szCs w:val="24"/>
        </w:rPr>
        <w:t>RESOLUCIÓN 51 (Rev.CMR-2000)</w:t>
      </w:r>
    </w:p>
    <w:p w:rsidR="002347C8" w:rsidRPr="00774335" w:rsidRDefault="002347C8" w:rsidP="002347C8">
      <w:pPr>
        <w:keepNext/>
        <w:spacing w:before="240" w:after="60"/>
        <w:jc w:val="center"/>
        <w:outlineLvl w:val="0"/>
        <w:rPr>
          <w:rFonts w:eastAsia="SimSun"/>
          <w:b/>
          <w:bCs/>
          <w:kern w:val="32"/>
          <w:szCs w:val="24"/>
        </w:rPr>
      </w:pPr>
    </w:p>
    <w:p w:rsidR="002347C8" w:rsidRPr="00774335" w:rsidRDefault="002347C8" w:rsidP="002347C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b/>
          <w:bCs/>
          <w:szCs w:val="24"/>
        </w:rPr>
      </w:pPr>
      <w:r w:rsidRPr="00774335">
        <w:rPr>
          <w:b/>
          <w:bCs/>
          <w:szCs w:val="24"/>
        </w:rPr>
        <w:t>SUP</w:t>
      </w:r>
    </w:p>
    <w:p w:rsidR="002347C8" w:rsidRPr="00774335" w:rsidRDefault="002347C8" w:rsidP="002347C8">
      <w:pPr>
        <w:keepNext/>
        <w:keepLines/>
        <w:spacing w:before="200"/>
        <w:jc w:val="center"/>
        <w:outlineLvl w:val="1"/>
        <w:rPr>
          <w:rFonts w:eastAsia="SimSun"/>
          <w:b/>
          <w:bCs/>
          <w:szCs w:val="24"/>
        </w:rPr>
      </w:pPr>
      <w:r w:rsidRPr="00774335">
        <w:rPr>
          <w:rFonts w:eastAsia="SimSun"/>
          <w:b/>
          <w:bCs/>
          <w:szCs w:val="24"/>
        </w:rPr>
        <w:t>RESOLUCIÓN 51 (Rev.CMR-2000)</w:t>
      </w:r>
    </w:p>
    <w:p w:rsidR="002347C8" w:rsidRPr="00774335" w:rsidRDefault="002347C8" w:rsidP="002347C8">
      <w:pPr>
        <w:rPr>
          <w:rFonts w:eastAsia="SimSun"/>
          <w:szCs w:val="24"/>
        </w:rPr>
      </w:pPr>
    </w:p>
    <w:p w:rsidR="002347C8" w:rsidRPr="00774335" w:rsidRDefault="002347C8" w:rsidP="002347C8">
      <w:pPr>
        <w:jc w:val="center"/>
        <w:rPr>
          <w:rFonts w:eastAsia="SimSun"/>
          <w:b/>
          <w:bCs/>
          <w:szCs w:val="24"/>
        </w:rPr>
      </w:pPr>
      <w:r w:rsidRPr="00774335">
        <w:rPr>
          <w:rFonts w:eastAsia="SimSun"/>
          <w:b/>
          <w:bCs/>
          <w:szCs w:val="24"/>
        </w:rPr>
        <w:t>Disposiciones transitorias relativas a la publicación anticipada</w:t>
      </w:r>
    </w:p>
    <w:p w:rsidR="002347C8" w:rsidRPr="00774335" w:rsidRDefault="002347C8" w:rsidP="002347C8">
      <w:pPr>
        <w:jc w:val="center"/>
        <w:rPr>
          <w:rFonts w:eastAsia="SimSun"/>
          <w:b/>
          <w:bCs/>
          <w:szCs w:val="24"/>
        </w:rPr>
      </w:pPr>
      <w:r w:rsidRPr="00774335">
        <w:rPr>
          <w:rFonts w:eastAsia="SimSun"/>
          <w:b/>
          <w:bCs/>
          <w:szCs w:val="24"/>
        </w:rPr>
        <w:t>y a la coordinación de redes de satélites</w:t>
      </w:r>
    </w:p>
    <w:p w:rsidR="002347C8" w:rsidRPr="00774335" w:rsidRDefault="002347C8" w:rsidP="002347C8">
      <w:pPr>
        <w:rPr>
          <w:rFonts w:ascii="Calibri" w:eastAsia="SimSun" w:hAnsi="Calibri" w:cs="Calibri"/>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34"/>
      </w:tblGrid>
      <w:tr w:rsidR="002347C8" w:rsidRPr="00774335" w:rsidTr="00DA7572">
        <w:tc>
          <w:tcPr>
            <w:tcW w:w="1134" w:type="dxa"/>
            <w:tcBorders>
              <w:top w:val="double" w:sz="4" w:space="0" w:color="auto"/>
              <w:left w:val="double" w:sz="4" w:space="0" w:color="auto"/>
              <w:bottom w:val="double" w:sz="4" w:space="0" w:color="auto"/>
              <w:right w:val="double" w:sz="4" w:space="0" w:color="auto"/>
            </w:tcBorders>
            <w:hideMark/>
          </w:tcPr>
          <w:p w:rsidR="002347C8" w:rsidRPr="00774335" w:rsidRDefault="002347C8" w:rsidP="00DA7572">
            <w:pPr>
              <w:keepNext/>
              <w:keepLines/>
              <w:outlineLvl w:val="7"/>
              <w:rPr>
                <w:rFonts w:ascii="Cambria" w:eastAsia="SimSun" w:hAnsi="Cambria"/>
                <w:i/>
                <w:iCs/>
                <w:color w:val="404040"/>
                <w:sz w:val="20"/>
              </w:rPr>
            </w:pPr>
            <w:r w:rsidRPr="00774335">
              <w:rPr>
                <w:rFonts w:ascii="Cambria" w:eastAsia="SimSun" w:hAnsi="Cambria"/>
                <w:i/>
                <w:iCs/>
                <w:color w:val="404040"/>
                <w:sz w:val="20"/>
              </w:rPr>
              <w:t>Resuelve</w:t>
            </w:r>
          </w:p>
        </w:tc>
      </w:tr>
    </w:tbl>
    <w:p w:rsidR="002347C8" w:rsidRPr="00774335" w:rsidRDefault="002347C8" w:rsidP="002347C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b/>
          <w:bCs/>
          <w:sz w:val="28"/>
          <w:szCs w:val="28"/>
        </w:rPr>
      </w:pPr>
      <w:r w:rsidRPr="00774335">
        <w:rPr>
          <w:b/>
          <w:bCs/>
          <w:sz w:val="28"/>
          <w:szCs w:val="28"/>
        </w:rPr>
        <w:t>1 a 2.2.2</w:t>
      </w:r>
    </w:p>
    <w:p w:rsidR="002347C8" w:rsidRPr="00774335" w:rsidRDefault="002347C8" w:rsidP="002347C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i/>
          <w:iCs/>
          <w:szCs w:val="24"/>
        </w:rPr>
      </w:pPr>
      <w:r w:rsidRPr="00774335">
        <w:rPr>
          <w:b/>
          <w:bCs/>
          <w:i/>
          <w:iCs/>
          <w:szCs w:val="24"/>
        </w:rPr>
        <w:t>Motivos</w:t>
      </w:r>
      <w:r w:rsidR="00DA3E40" w:rsidRPr="00DA3E40">
        <w:rPr>
          <w:b/>
          <w:bCs/>
          <w:i/>
          <w:iCs/>
          <w:szCs w:val="24"/>
        </w:rPr>
        <w:t>:</w:t>
      </w:r>
      <w:r w:rsidR="00DA3E40">
        <w:rPr>
          <w:i/>
          <w:iCs/>
          <w:szCs w:val="24"/>
        </w:rPr>
        <w:t xml:space="preserve"> </w:t>
      </w:r>
      <w:r w:rsidRPr="00774335">
        <w:rPr>
          <w:i/>
          <w:iCs/>
          <w:szCs w:val="24"/>
        </w:rPr>
        <w:t xml:space="preserve">La CMR-07 derogó esta Resolución a partir del 1.1.2010. Las disposiciones transitorias relativas a la información de publicación anticipada de redes de satélites recibidas antes del 22 de noviembre de 1997 y todos esos casos han sido tratados; por consiguiente, ya no son necesarias reglas transitorias.  </w:t>
      </w:r>
    </w:p>
    <w:p w:rsidR="002347C8" w:rsidRPr="00774335" w:rsidRDefault="002347C8" w:rsidP="002347C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sz w:val="18"/>
          <w:szCs w:val="18"/>
        </w:rPr>
      </w:pPr>
    </w:p>
    <w:p w:rsidR="002347C8" w:rsidRPr="00774335" w:rsidRDefault="002347C8" w:rsidP="002347C8">
      <w:pPr>
        <w:rPr>
          <w:rFonts w:eastAsia="SimSun"/>
          <w:i/>
          <w:iCs/>
          <w:szCs w:val="24"/>
        </w:rPr>
      </w:pPr>
      <w:r w:rsidRPr="00774335">
        <w:rPr>
          <w:rFonts w:eastAsia="SimSun"/>
          <w:i/>
          <w:iCs/>
          <w:szCs w:val="24"/>
        </w:rPr>
        <w:t>Fecha efectiva de supresión de esta Regla: inmediatamente después de la aprobación.</w:t>
      </w:r>
    </w:p>
    <w:p w:rsidR="002347C8" w:rsidRPr="00774335" w:rsidRDefault="002347C8" w:rsidP="002347C8"/>
    <w:p w:rsidR="002347C8" w:rsidRPr="00774335" w:rsidRDefault="002347C8" w:rsidP="002347C8"/>
    <w:p w:rsidR="003A1979" w:rsidRPr="00774335" w:rsidRDefault="003A1979" w:rsidP="003A1979">
      <w:pPr>
        <w:keepNext/>
        <w:spacing w:before="240" w:after="60"/>
        <w:jc w:val="center"/>
        <w:outlineLvl w:val="0"/>
        <w:rPr>
          <w:rFonts w:eastAsia="SimSun"/>
          <w:b/>
          <w:bCs/>
          <w:szCs w:val="24"/>
        </w:rPr>
      </w:pPr>
      <w:r w:rsidRPr="00774335">
        <w:rPr>
          <w:rFonts w:eastAsia="SimSun"/>
          <w:b/>
          <w:bCs/>
          <w:szCs w:val="24"/>
        </w:rPr>
        <w:t xml:space="preserve">Reglas relativas a la  </w:t>
      </w:r>
    </w:p>
    <w:p w:rsidR="003A1979" w:rsidRPr="00774335" w:rsidRDefault="003A1979" w:rsidP="003A1979">
      <w:pPr>
        <w:pStyle w:val="Heading1"/>
        <w:spacing w:before="300"/>
        <w:jc w:val="center"/>
      </w:pPr>
      <w:r w:rsidRPr="00774335">
        <w:t xml:space="preserve">PARTE  </w:t>
      </w:r>
      <w:r w:rsidRPr="00774335">
        <w:rPr>
          <w:rStyle w:val="href"/>
        </w:rPr>
        <w:t>A6</w:t>
      </w:r>
    </w:p>
    <w:p w:rsidR="003A1979" w:rsidRPr="00774335" w:rsidRDefault="003A1979" w:rsidP="003A1979">
      <w:pPr>
        <w:pStyle w:val="Heading1"/>
        <w:spacing w:before="520"/>
        <w:ind w:left="0" w:firstLine="0"/>
        <w:jc w:val="center"/>
      </w:pPr>
      <w:r w:rsidRPr="00774335">
        <w:t>Reglas relativas al Acuerdo Regional sobre la planificación de</w:t>
      </w:r>
      <w:r w:rsidRPr="00774335">
        <w:br/>
        <w:t>la radiodifusión de televisión en ondas métricas/decimétricas</w:t>
      </w:r>
      <w:r w:rsidRPr="00774335">
        <w:br/>
        <w:t>en la Zona Africana de Radiodifusión y países vecinos</w:t>
      </w:r>
      <w:r w:rsidRPr="00774335">
        <w:br/>
        <w:t>(Ginebra, 1989) (</w:t>
      </w:r>
      <w:r w:rsidRPr="00774335">
        <w:rPr>
          <w:rStyle w:val="href2"/>
        </w:rPr>
        <w:t>GE89</w:t>
      </w:r>
      <w:r w:rsidRPr="00774335">
        <w:t>)</w:t>
      </w:r>
    </w:p>
    <w:p w:rsidR="002347C8" w:rsidRPr="00774335" w:rsidRDefault="003A1979" w:rsidP="003A1979">
      <w:pPr>
        <w:pStyle w:val="Proposal"/>
        <w:rPr>
          <w:b/>
          <w:bCs/>
        </w:rPr>
      </w:pPr>
      <w:r w:rsidRPr="00774335">
        <w:rPr>
          <w:b/>
          <w:bCs/>
        </w:rPr>
        <w:t>MOD</w:t>
      </w:r>
    </w:p>
    <w:p w:rsidR="00CC0F01" w:rsidRPr="00774335" w:rsidRDefault="00CC0F01" w:rsidP="00CC0F01">
      <w:pPr>
        <w:pStyle w:val="Heading1"/>
      </w:pPr>
      <w:r w:rsidRPr="00774335">
        <w:t>4</w:t>
      </w:r>
      <w:r w:rsidRPr="00774335">
        <w:tab/>
        <w:t>Examen de las notificaciones relacionadas con los servicios no  planificados en las bandas que se rigen por el Acuerdo Regional GE89</w:t>
      </w:r>
    </w:p>
    <w:p w:rsidR="00CC0F01" w:rsidRPr="00774335" w:rsidRDefault="00CC0F01" w:rsidP="00CC0F01">
      <w:r w:rsidRPr="00774335">
        <w:t>4.1</w:t>
      </w:r>
      <w:r w:rsidRPr="00774335">
        <w:tab/>
        <w:t>EL § 5.2 del Artículo 5 del Acuerdo GE89 especifica el procedimiento a seguir por el examen de las notificaciones relativas a los servicios primarios no planificados en las bandas de frecuencias que se rigen por el Acuerdo. Las bandas de frecuencias y los servicios interesados se resumen en el Cuadro siguiente.</w:t>
      </w:r>
    </w:p>
    <w:p w:rsidR="00CC0F01" w:rsidRPr="00774335" w:rsidRDefault="00CC0F01" w:rsidP="00DA3E40">
      <w:pPr>
        <w:pStyle w:val="Table"/>
        <w:rPr>
          <w:lang w:val="es-ES_tradnl"/>
        </w:rPr>
      </w:pPr>
      <w:r w:rsidRPr="00DA3E40">
        <w:lastRenderedPageBreak/>
        <w:t>CUADRO</w:t>
      </w:r>
    </w:p>
    <w:tbl>
      <w:tblPr>
        <w:tblW w:w="0" w:type="auto"/>
        <w:jc w:val="center"/>
        <w:tblLayout w:type="fixed"/>
        <w:tblCellMar>
          <w:left w:w="0" w:type="dxa"/>
          <w:right w:w="0" w:type="dxa"/>
        </w:tblCellMar>
        <w:tblLook w:val="0000"/>
      </w:tblPr>
      <w:tblGrid>
        <w:gridCol w:w="1072"/>
        <w:gridCol w:w="2197"/>
        <w:gridCol w:w="3685"/>
        <w:gridCol w:w="1355"/>
        <w:gridCol w:w="763"/>
      </w:tblGrid>
      <w:tr w:rsidR="00CC0F01" w:rsidRPr="00774335" w:rsidTr="00CC0F01">
        <w:trPr>
          <w:cantSplit/>
          <w:jc w:val="center"/>
        </w:trPr>
        <w:tc>
          <w:tcPr>
            <w:tcW w:w="1072" w:type="dxa"/>
            <w:tcBorders>
              <w:top w:val="single" w:sz="6" w:space="0" w:color="auto"/>
              <w:left w:val="single" w:sz="6" w:space="0" w:color="auto"/>
              <w:right w:val="single" w:sz="6" w:space="0" w:color="auto"/>
            </w:tcBorders>
            <w:vAlign w:val="center"/>
          </w:tcPr>
          <w:p w:rsidR="00CC0F01" w:rsidRPr="00774335" w:rsidRDefault="00CC0F01" w:rsidP="00CC0F01">
            <w:pPr>
              <w:pStyle w:val="TableHead0"/>
              <w:spacing w:before="100" w:after="100"/>
              <w:rPr>
                <w:lang w:val="es-ES_tradnl"/>
              </w:rPr>
            </w:pPr>
            <w:r w:rsidRPr="00774335">
              <w:rPr>
                <w:lang w:val="es-ES_tradnl"/>
              </w:rPr>
              <w:t>Bandas de frecuencias (MHz)</w:t>
            </w:r>
          </w:p>
        </w:tc>
        <w:tc>
          <w:tcPr>
            <w:tcW w:w="5882" w:type="dxa"/>
            <w:gridSpan w:val="2"/>
            <w:tcBorders>
              <w:top w:val="single" w:sz="6" w:space="0" w:color="auto"/>
              <w:left w:val="single" w:sz="6" w:space="0" w:color="auto"/>
              <w:bottom w:val="single" w:sz="6" w:space="0" w:color="auto"/>
              <w:right w:val="single" w:sz="6" w:space="0" w:color="auto"/>
            </w:tcBorders>
            <w:vAlign w:val="center"/>
          </w:tcPr>
          <w:p w:rsidR="00CC0F01" w:rsidRPr="00774335" w:rsidRDefault="00CC0F01" w:rsidP="00CC0F01">
            <w:pPr>
              <w:pStyle w:val="TableHead0"/>
              <w:tabs>
                <w:tab w:val="left" w:pos="1094"/>
              </w:tabs>
              <w:spacing w:before="100" w:after="100"/>
              <w:ind w:left="1094" w:hanging="1094"/>
              <w:rPr>
                <w:lang w:val="es-ES_tradnl"/>
              </w:rPr>
            </w:pPr>
            <w:r w:rsidRPr="00774335">
              <w:rPr>
                <w:lang w:val="es-ES_tradnl"/>
              </w:rPr>
              <w:t>Servicios y países dentro de la zona de planificación</w:t>
            </w:r>
          </w:p>
        </w:tc>
        <w:tc>
          <w:tcPr>
            <w:tcW w:w="1355" w:type="dxa"/>
            <w:tcBorders>
              <w:top w:val="single" w:sz="6" w:space="0" w:color="auto"/>
              <w:left w:val="single" w:sz="6" w:space="0" w:color="auto"/>
              <w:bottom w:val="single" w:sz="6" w:space="0" w:color="auto"/>
              <w:right w:val="single" w:sz="6" w:space="0" w:color="auto"/>
            </w:tcBorders>
            <w:vAlign w:val="center"/>
          </w:tcPr>
          <w:p w:rsidR="00CC0F01" w:rsidRPr="00774335" w:rsidRDefault="00CC0F01" w:rsidP="00CC0F01">
            <w:pPr>
              <w:pStyle w:val="TableHead0"/>
              <w:spacing w:before="100" w:after="100"/>
              <w:rPr>
                <w:lang w:val="es-ES_tradnl"/>
              </w:rPr>
            </w:pPr>
            <w:r w:rsidRPr="00774335">
              <w:rPr>
                <w:lang w:val="es-ES_tradnl"/>
              </w:rPr>
              <w:t>Disposiciones</w:t>
            </w:r>
          </w:p>
        </w:tc>
        <w:tc>
          <w:tcPr>
            <w:tcW w:w="763" w:type="dxa"/>
            <w:tcBorders>
              <w:top w:val="single" w:sz="6" w:space="0" w:color="auto"/>
              <w:right w:val="single" w:sz="6" w:space="0" w:color="auto"/>
            </w:tcBorders>
            <w:vAlign w:val="center"/>
          </w:tcPr>
          <w:p w:rsidR="00CC0F01" w:rsidRPr="00774335" w:rsidRDefault="00CC0F01" w:rsidP="00CC0F01">
            <w:pPr>
              <w:pStyle w:val="TableHead0"/>
              <w:spacing w:before="100" w:after="100"/>
              <w:rPr>
                <w:lang w:val="es-ES_tradnl"/>
              </w:rPr>
            </w:pPr>
            <w:r w:rsidRPr="00774335">
              <w:rPr>
                <w:lang w:val="es-ES_tradnl"/>
              </w:rPr>
              <w:t>Notas</w:t>
            </w:r>
          </w:p>
        </w:tc>
      </w:tr>
      <w:tr w:rsidR="00CC0F01" w:rsidRPr="00774335" w:rsidTr="00CC0F01">
        <w:trPr>
          <w:cantSplit/>
          <w:jc w:val="center"/>
        </w:trPr>
        <w:tc>
          <w:tcPr>
            <w:tcW w:w="1072" w:type="dxa"/>
            <w:tcBorders>
              <w:top w:val="single" w:sz="6" w:space="0" w:color="auto"/>
              <w:left w:val="single" w:sz="6" w:space="0" w:color="auto"/>
              <w:right w:val="single" w:sz="6" w:space="0" w:color="auto"/>
            </w:tcBorders>
          </w:tcPr>
          <w:p w:rsidR="00CC0F01" w:rsidRPr="00774335" w:rsidRDefault="00CC0F01" w:rsidP="00CC0F01">
            <w:pPr>
              <w:pStyle w:val="TableText0"/>
              <w:ind w:left="57" w:right="57"/>
              <w:jc w:val="center"/>
              <w:rPr>
                <w:lang w:val="es-ES_tradnl"/>
              </w:rPr>
            </w:pPr>
            <w:r w:rsidRPr="00774335">
              <w:rPr>
                <w:lang w:val="es-ES_tradnl"/>
              </w:rPr>
              <w:t>47-68</w:t>
            </w:r>
          </w:p>
        </w:tc>
        <w:tc>
          <w:tcPr>
            <w:tcW w:w="2197" w:type="dxa"/>
            <w:tcBorders>
              <w:top w:val="single" w:sz="6" w:space="0" w:color="auto"/>
              <w:left w:val="single" w:sz="6" w:space="0" w:color="auto"/>
              <w:bottom w:val="single" w:sz="6" w:space="0" w:color="auto"/>
            </w:tcBorders>
          </w:tcPr>
          <w:p w:rsidR="00CC0F01" w:rsidRPr="00774335" w:rsidRDefault="00CC0F01" w:rsidP="00CC0F01">
            <w:pPr>
              <w:pStyle w:val="TableText0"/>
              <w:tabs>
                <w:tab w:val="left" w:pos="1219"/>
                <w:tab w:val="left" w:pos="3969"/>
              </w:tabs>
              <w:ind w:left="1219" w:right="57" w:hanging="1162"/>
              <w:rPr>
                <w:lang w:val="es-ES_tradnl"/>
              </w:rPr>
            </w:pPr>
            <w:r w:rsidRPr="00774335">
              <w:rPr>
                <w:b/>
                <w:lang w:val="es-ES_tradnl"/>
              </w:rPr>
              <w:t>FIJO</w:t>
            </w:r>
            <w:r w:rsidRPr="00774335">
              <w:rPr>
                <w:lang w:val="es-ES_tradnl"/>
              </w:rPr>
              <w:t>:</w:t>
            </w:r>
          </w:p>
        </w:tc>
        <w:tc>
          <w:tcPr>
            <w:tcW w:w="3685" w:type="dxa"/>
            <w:tcBorders>
              <w:top w:val="single" w:sz="6" w:space="0" w:color="auto"/>
              <w:left w:val="nil"/>
              <w:bottom w:val="single" w:sz="6" w:space="0" w:color="auto"/>
              <w:right w:val="single" w:sz="6" w:space="0" w:color="auto"/>
            </w:tcBorders>
          </w:tcPr>
          <w:p w:rsidR="00CC0F01" w:rsidRPr="00774335" w:rsidRDefault="00CC0F01">
            <w:pPr>
              <w:pStyle w:val="TableText0"/>
              <w:tabs>
                <w:tab w:val="left" w:pos="1219"/>
                <w:tab w:val="left" w:pos="3969"/>
              </w:tabs>
              <w:ind w:left="57" w:right="57"/>
              <w:rPr>
                <w:b/>
                <w:lang w:val="es-ES_tradnl"/>
              </w:rPr>
            </w:pPr>
            <w:r w:rsidRPr="00774335">
              <w:rPr>
                <w:lang w:val="es-ES_tradnl"/>
              </w:rPr>
              <w:t xml:space="preserve">AFS, AGL, </w:t>
            </w:r>
            <w:r w:rsidR="00613CC1" w:rsidRPr="00613CC1">
              <w:rPr>
                <w:strike/>
                <w:color w:val="FF0000"/>
                <w:lang w:val="es-ES_tradnl"/>
              </w:rPr>
              <w:t>BDI</w:t>
            </w:r>
            <w:r w:rsidR="00613CC1">
              <w:rPr>
                <w:lang w:val="es-ES_tradnl"/>
              </w:rPr>
              <w:t xml:space="preserve">, </w:t>
            </w:r>
            <w:r w:rsidRPr="00774335">
              <w:rPr>
                <w:lang w:val="es-ES_tradnl"/>
              </w:rPr>
              <w:t xml:space="preserve">BOT, CME, COD, COG, IRN, LSO, MDG, MLI, MOZ, MWI, </w:t>
            </w:r>
            <w:r w:rsidRPr="00613CC1">
              <w:rPr>
                <w:color w:val="FF0000"/>
                <w:lang w:val="es-ES_tradnl"/>
              </w:rPr>
              <w:t>NGR</w:t>
            </w:r>
            <w:r w:rsidRPr="00774335">
              <w:rPr>
                <w:lang w:val="es-ES_tradnl"/>
              </w:rPr>
              <w:t xml:space="preserve">, NMB, RRW, SOM, SDN, </w:t>
            </w:r>
            <w:r w:rsidRPr="00613CC1">
              <w:rPr>
                <w:color w:val="FF0000"/>
                <w:lang w:val="es-ES_tradnl"/>
              </w:rPr>
              <w:t>SSD</w:t>
            </w:r>
            <w:r w:rsidRPr="00774335">
              <w:rPr>
                <w:lang w:val="es-ES_tradnl"/>
              </w:rPr>
              <w:t xml:space="preserve">, SWZ, TCD, TZA, </w:t>
            </w:r>
            <w:r w:rsidRPr="00613CC1">
              <w:rPr>
                <w:color w:val="FF0000"/>
                <w:lang w:val="es-ES_tradnl"/>
              </w:rPr>
              <w:t>ZMB</w:t>
            </w:r>
            <w:r w:rsidRPr="00774335">
              <w:rPr>
                <w:lang w:val="es-ES_tradnl"/>
              </w:rPr>
              <w:t>, ZWE</w:t>
            </w:r>
          </w:p>
        </w:tc>
        <w:tc>
          <w:tcPr>
            <w:tcW w:w="1355" w:type="dxa"/>
            <w:tcBorders>
              <w:top w:val="single" w:sz="6" w:space="0" w:color="auto"/>
              <w:left w:val="single" w:sz="6" w:space="0" w:color="auto"/>
              <w:bottom w:val="single" w:sz="6" w:space="0" w:color="auto"/>
              <w:right w:val="single" w:sz="6" w:space="0" w:color="auto"/>
            </w:tcBorders>
          </w:tcPr>
          <w:p w:rsidR="00CC0F01" w:rsidRPr="00774335" w:rsidRDefault="00CC0F01" w:rsidP="00CC0F01">
            <w:pPr>
              <w:pStyle w:val="TableText0"/>
              <w:ind w:left="57" w:right="57"/>
              <w:jc w:val="center"/>
              <w:rPr>
                <w:lang w:val="es-ES_tradnl"/>
              </w:rPr>
            </w:pPr>
            <w:r w:rsidRPr="00774335">
              <w:rPr>
                <w:rStyle w:val="Artref"/>
                <w:color w:val="000000"/>
                <w:lang w:val="es-ES_tradnl"/>
              </w:rPr>
              <w:t>5.165</w:t>
            </w:r>
            <w:r w:rsidRPr="00774335">
              <w:rPr>
                <w:rStyle w:val="Artref0"/>
                <w:b/>
                <w:lang w:val="es-ES_tradnl"/>
              </w:rPr>
              <w:br/>
            </w:r>
            <w:r w:rsidRPr="00774335">
              <w:rPr>
                <w:rStyle w:val="Artref"/>
                <w:color w:val="000000"/>
                <w:lang w:val="es-ES_tradnl"/>
              </w:rPr>
              <w:t>5.167</w:t>
            </w:r>
            <w:r w:rsidRPr="00774335">
              <w:rPr>
                <w:lang w:val="es-ES_tradnl"/>
              </w:rPr>
              <w:br/>
            </w:r>
            <w:r w:rsidRPr="00774335">
              <w:rPr>
                <w:rStyle w:val="Artref"/>
                <w:color w:val="000000"/>
                <w:lang w:val="es-ES_tradnl"/>
              </w:rPr>
              <w:t>5.171</w:t>
            </w:r>
          </w:p>
        </w:tc>
        <w:tc>
          <w:tcPr>
            <w:tcW w:w="763" w:type="dxa"/>
            <w:tcBorders>
              <w:top w:val="single" w:sz="6" w:space="0" w:color="auto"/>
              <w:right w:val="single" w:sz="6" w:space="0" w:color="auto"/>
            </w:tcBorders>
          </w:tcPr>
          <w:p w:rsidR="00CC0F01" w:rsidRPr="00774335" w:rsidRDefault="00CC0F01" w:rsidP="00CC0F01">
            <w:pPr>
              <w:pStyle w:val="TableText0"/>
              <w:ind w:left="57" w:right="57"/>
              <w:jc w:val="center"/>
              <w:rPr>
                <w:lang w:val="es-ES_tradnl"/>
              </w:rPr>
            </w:pPr>
            <w:r w:rsidRPr="00774335">
              <w:rPr>
                <w:lang w:val="es-ES_tradnl"/>
              </w:rPr>
              <w:t>1</w:t>
            </w:r>
          </w:p>
        </w:tc>
      </w:tr>
      <w:tr w:rsidR="00CC0F01" w:rsidRPr="00774335" w:rsidTr="00CC0F01">
        <w:trPr>
          <w:cantSplit/>
          <w:jc w:val="center"/>
        </w:trPr>
        <w:tc>
          <w:tcPr>
            <w:tcW w:w="1072" w:type="dxa"/>
            <w:tcBorders>
              <w:left w:val="single" w:sz="6" w:space="0" w:color="auto"/>
              <w:right w:val="single" w:sz="6" w:space="0" w:color="auto"/>
            </w:tcBorders>
          </w:tcPr>
          <w:p w:rsidR="00CC0F01" w:rsidRPr="00774335" w:rsidRDefault="00CC0F01" w:rsidP="00CC0F01">
            <w:pPr>
              <w:pStyle w:val="TableText0"/>
              <w:ind w:left="57" w:right="57"/>
              <w:jc w:val="center"/>
              <w:rPr>
                <w:lang w:val="es-ES_tradnl"/>
              </w:rPr>
            </w:pPr>
          </w:p>
        </w:tc>
        <w:tc>
          <w:tcPr>
            <w:tcW w:w="2197" w:type="dxa"/>
            <w:tcBorders>
              <w:top w:val="single" w:sz="6" w:space="0" w:color="auto"/>
              <w:left w:val="single" w:sz="6" w:space="0" w:color="auto"/>
              <w:bottom w:val="single" w:sz="6" w:space="0" w:color="auto"/>
            </w:tcBorders>
          </w:tcPr>
          <w:p w:rsidR="00CC0F01" w:rsidRPr="00774335" w:rsidRDefault="00CC0F01" w:rsidP="00CC0F01">
            <w:pPr>
              <w:pStyle w:val="TableText0"/>
              <w:tabs>
                <w:tab w:val="left" w:pos="1219"/>
                <w:tab w:val="left" w:pos="3969"/>
              </w:tabs>
              <w:ind w:left="57" w:right="57"/>
              <w:jc w:val="left"/>
              <w:rPr>
                <w:lang w:val="es-ES_tradnl"/>
              </w:rPr>
            </w:pPr>
            <w:r w:rsidRPr="00774335">
              <w:rPr>
                <w:b/>
                <w:lang w:val="es-ES_tradnl"/>
              </w:rPr>
              <w:t>MÓVIL</w:t>
            </w:r>
            <w:r w:rsidRPr="00774335">
              <w:rPr>
                <w:b/>
                <w:lang w:val="es-ES_tradnl"/>
              </w:rPr>
              <w:br/>
              <w:t>(-AERONÁUTICO)</w:t>
            </w:r>
            <w:r w:rsidRPr="00774335">
              <w:rPr>
                <w:lang w:val="es-ES_tradnl"/>
              </w:rPr>
              <w:t>:</w:t>
            </w:r>
          </w:p>
        </w:tc>
        <w:tc>
          <w:tcPr>
            <w:tcW w:w="3685" w:type="dxa"/>
            <w:tcBorders>
              <w:top w:val="single" w:sz="6" w:space="0" w:color="auto"/>
              <w:left w:val="nil"/>
              <w:bottom w:val="single" w:sz="6" w:space="0" w:color="auto"/>
              <w:right w:val="single" w:sz="6" w:space="0" w:color="auto"/>
            </w:tcBorders>
          </w:tcPr>
          <w:p w:rsidR="00CC0F01" w:rsidRPr="00774335" w:rsidRDefault="00CC0F01">
            <w:pPr>
              <w:pStyle w:val="TableText0"/>
              <w:tabs>
                <w:tab w:val="left" w:pos="1219"/>
                <w:tab w:val="left" w:pos="3969"/>
              </w:tabs>
              <w:ind w:left="57" w:right="57"/>
              <w:rPr>
                <w:b/>
                <w:lang w:val="es-ES_tradnl"/>
              </w:rPr>
            </w:pPr>
            <w:r w:rsidRPr="00774335">
              <w:rPr>
                <w:lang w:val="es-ES_tradnl"/>
              </w:rPr>
              <w:t xml:space="preserve">AFS, AGL, </w:t>
            </w:r>
            <w:r w:rsidR="00613CC1" w:rsidRPr="00613CC1">
              <w:rPr>
                <w:strike/>
                <w:color w:val="FF0000"/>
                <w:lang w:val="es-ES_tradnl"/>
              </w:rPr>
              <w:t>BDI</w:t>
            </w:r>
            <w:r w:rsidR="00613CC1">
              <w:rPr>
                <w:lang w:val="es-ES_tradnl"/>
              </w:rPr>
              <w:t xml:space="preserve">, </w:t>
            </w:r>
            <w:r w:rsidRPr="00774335">
              <w:rPr>
                <w:lang w:val="es-ES_tradnl"/>
              </w:rPr>
              <w:t xml:space="preserve">BOT, CME, COD, COG, LSO, MDG, MLI, MOZ, MWI, </w:t>
            </w:r>
            <w:r w:rsidRPr="00613CC1">
              <w:rPr>
                <w:color w:val="FF0000"/>
                <w:lang w:val="es-ES_tradnl"/>
              </w:rPr>
              <w:t>NGR</w:t>
            </w:r>
            <w:r w:rsidRPr="00774335">
              <w:rPr>
                <w:lang w:val="es-ES_tradnl"/>
              </w:rPr>
              <w:t xml:space="preserve">, NMB, RRW, SOM, SDN, </w:t>
            </w:r>
            <w:bookmarkStart w:id="5" w:name="_GoBack"/>
            <w:r w:rsidRPr="00613CC1">
              <w:rPr>
                <w:color w:val="FF0000"/>
                <w:lang w:val="es-ES_tradnl"/>
              </w:rPr>
              <w:t>SSD</w:t>
            </w:r>
            <w:bookmarkEnd w:id="5"/>
            <w:r w:rsidRPr="00774335">
              <w:rPr>
                <w:lang w:val="es-ES_tradnl"/>
              </w:rPr>
              <w:t xml:space="preserve">, SWZ, TCD, TZA, </w:t>
            </w:r>
            <w:r w:rsidRPr="00613CC1">
              <w:rPr>
                <w:color w:val="FF0000"/>
                <w:lang w:val="es-ES_tradnl"/>
              </w:rPr>
              <w:t>ZMB</w:t>
            </w:r>
            <w:r w:rsidRPr="00774335">
              <w:rPr>
                <w:lang w:val="es-ES_tradnl"/>
              </w:rPr>
              <w:t>, ZWE</w:t>
            </w:r>
          </w:p>
        </w:tc>
        <w:tc>
          <w:tcPr>
            <w:tcW w:w="1355" w:type="dxa"/>
            <w:tcBorders>
              <w:top w:val="single" w:sz="6" w:space="0" w:color="auto"/>
              <w:left w:val="single" w:sz="6" w:space="0" w:color="auto"/>
              <w:bottom w:val="single" w:sz="6" w:space="0" w:color="auto"/>
              <w:right w:val="single" w:sz="6" w:space="0" w:color="auto"/>
            </w:tcBorders>
          </w:tcPr>
          <w:p w:rsidR="00CC0F01" w:rsidRPr="00774335" w:rsidRDefault="00CC0F01" w:rsidP="00CC0F01">
            <w:pPr>
              <w:pStyle w:val="TableText0"/>
              <w:ind w:left="57" w:right="57"/>
              <w:jc w:val="center"/>
              <w:rPr>
                <w:lang w:val="es-ES_tradnl"/>
              </w:rPr>
            </w:pPr>
            <w:r w:rsidRPr="00774335">
              <w:rPr>
                <w:rStyle w:val="Artref"/>
                <w:color w:val="000000"/>
                <w:lang w:val="es-ES_tradnl"/>
              </w:rPr>
              <w:t>5.165</w:t>
            </w:r>
            <w:r w:rsidRPr="00774335">
              <w:rPr>
                <w:lang w:val="es-ES_tradnl"/>
              </w:rPr>
              <w:br/>
            </w:r>
            <w:r w:rsidRPr="00774335">
              <w:rPr>
                <w:rStyle w:val="Artref"/>
                <w:color w:val="000000"/>
                <w:lang w:val="es-ES_tradnl"/>
              </w:rPr>
              <w:t>5.171</w:t>
            </w:r>
          </w:p>
        </w:tc>
        <w:tc>
          <w:tcPr>
            <w:tcW w:w="763" w:type="dxa"/>
            <w:tcBorders>
              <w:right w:val="single" w:sz="6" w:space="0" w:color="auto"/>
            </w:tcBorders>
          </w:tcPr>
          <w:p w:rsidR="00CC0F01" w:rsidRPr="00774335" w:rsidRDefault="00CC0F01" w:rsidP="00CC0F01">
            <w:pPr>
              <w:pStyle w:val="TableText0"/>
              <w:ind w:left="57" w:right="57"/>
              <w:jc w:val="center"/>
              <w:rPr>
                <w:lang w:val="es-ES_tradnl"/>
              </w:rPr>
            </w:pPr>
            <w:r w:rsidRPr="00774335">
              <w:rPr>
                <w:lang w:val="es-ES_tradnl"/>
              </w:rPr>
              <w:t>1</w:t>
            </w:r>
          </w:p>
        </w:tc>
      </w:tr>
      <w:tr w:rsidR="00CC0F01" w:rsidRPr="00774335" w:rsidTr="00CC0F01">
        <w:trPr>
          <w:cantSplit/>
          <w:jc w:val="center"/>
        </w:trPr>
        <w:tc>
          <w:tcPr>
            <w:tcW w:w="1072" w:type="dxa"/>
            <w:tcBorders>
              <w:left w:val="single" w:sz="6" w:space="0" w:color="auto"/>
              <w:bottom w:val="single" w:sz="6" w:space="0" w:color="auto"/>
              <w:right w:val="single" w:sz="6" w:space="0" w:color="auto"/>
            </w:tcBorders>
          </w:tcPr>
          <w:p w:rsidR="00CC0F01" w:rsidRPr="00774335" w:rsidRDefault="00CC0F01" w:rsidP="00CC0F01">
            <w:pPr>
              <w:pStyle w:val="TableText0"/>
              <w:ind w:left="57" w:right="57"/>
              <w:jc w:val="center"/>
              <w:rPr>
                <w:lang w:val="es-ES_tradnl"/>
              </w:rPr>
            </w:pPr>
          </w:p>
        </w:tc>
        <w:tc>
          <w:tcPr>
            <w:tcW w:w="2197" w:type="dxa"/>
            <w:tcBorders>
              <w:top w:val="single" w:sz="6" w:space="0" w:color="auto"/>
              <w:left w:val="single" w:sz="6" w:space="0" w:color="auto"/>
              <w:bottom w:val="single" w:sz="6" w:space="0" w:color="auto"/>
            </w:tcBorders>
          </w:tcPr>
          <w:p w:rsidR="00CC0F01" w:rsidRPr="00774335" w:rsidRDefault="00CC0F01" w:rsidP="00CC0F01">
            <w:pPr>
              <w:pStyle w:val="TableText0"/>
              <w:tabs>
                <w:tab w:val="left" w:pos="1219"/>
                <w:tab w:val="left" w:pos="3969"/>
              </w:tabs>
              <w:ind w:right="57" w:firstLine="57"/>
              <w:rPr>
                <w:b/>
                <w:bCs/>
                <w:lang w:val="es-ES_tradnl"/>
              </w:rPr>
            </w:pPr>
            <w:r w:rsidRPr="00774335">
              <w:rPr>
                <w:b/>
                <w:bCs/>
                <w:lang w:val="es-ES_tradnl"/>
              </w:rPr>
              <w:t>MÓVIL</w:t>
            </w:r>
            <w:r w:rsidRPr="00774335">
              <w:rPr>
                <w:lang w:val="es-ES_tradnl"/>
              </w:rPr>
              <w:t>:</w:t>
            </w:r>
          </w:p>
        </w:tc>
        <w:tc>
          <w:tcPr>
            <w:tcW w:w="3685" w:type="dxa"/>
            <w:tcBorders>
              <w:top w:val="single" w:sz="6" w:space="0" w:color="auto"/>
              <w:left w:val="nil"/>
              <w:bottom w:val="single" w:sz="6" w:space="0" w:color="auto"/>
              <w:right w:val="single" w:sz="6" w:space="0" w:color="auto"/>
            </w:tcBorders>
          </w:tcPr>
          <w:p w:rsidR="00CC0F01" w:rsidRPr="00774335" w:rsidRDefault="00CC0F01" w:rsidP="00CC0F01">
            <w:pPr>
              <w:pStyle w:val="TableText0"/>
              <w:tabs>
                <w:tab w:val="left" w:pos="1219"/>
                <w:tab w:val="left" w:pos="3969"/>
              </w:tabs>
              <w:ind w:right="57" w:firstLine="57"/>
              <w:rPr>
                <w:lang w:val="es-ES_tradnl"/>
              </w:rPr>
            </w:pPr>
            <w:r w:rsidRPr="00774335">
              <w:rPr>
                <w:lang w:val="es-ES_tradnl"/>
              </w:rPr>
              <w:t>IRN</w:t>
            </w:r>
          </w:p>
        </w:tc>
        <w:tc>
          <w:tcPr>
            <w:tcW w:w="1355" w:type="dxa"/>
            <w:tcBorders>
              <w:top w:val="single" w:sz="6" w:space="0" w:color="auto"/>
              <w:left w:val="single" w:sz="6" w:space="0" w:color="auto"/>
              <w:bottom w:val="single" w:sz="6" w:space="0" w:color="auto"/>
              <w:right w:val="single" w:sz="6" w:space="0" w:color="auto"/>
            </w:tcBorders>
          </w:tcPr>
          <w:p w:rsidR="00CC0F01" w:rsidRPr="00774335" w:rsidRDefault="00CC0F01" w:rsidP="00CC0F01">
            <w:pPr>
              <w:pStyle w:val="TableText0"/>
              <w:ind w:left="57" w:right="57"/>
              <w:jc w:val="center"/>
              <w:rPr>
                <w:rStyle w:val="Artref"/>
                <w:b/>
                <w:color w:val="000000"/>
                <w:lang w:val="es-ES_tradnl"/>
              </w:rPr>
            </w:pPr>
            <w:r w:rsidRPr="00774335">
              <w:rPr>
                <w:rStyle w:val="Artref"/>
                <w:color w:val="000000"/>
                <w:lang w:val="es-ES_tradnl"/>
              </w:rPr>
              <w:t>5.167</w:t>
            </w:r>
          </w:p>
        </w:tc>
        <w:tc>
          <w:tcPr>
            <w:tcW w:w="763" w:type="dxa"/>
            <w:tcBorders>
              <w:bottom w:val="single" w:sz="6" w:space="0" w:color="auto"/>
              <w:right w:val="single" w:sz="6" w:space="0" w:color="auto"/>
            </w:tcBorders>
          </w:tcPr>
          <w:p w:rsidR="00CC0F01" w:rsidRPr="00774335" w:rsidRDefault="00CC0F01" w:rsidP="00CC0F01">
            <w:pPr>
              <w:pStyle w:val="TableText0"/>
              <w:ind w:left="57" w:right="57"/>
              <w:jc w:val="center"/>
              <w:rPr>
                <w:lang w:val="es-ES_tradnl"/>
              </w:rPr>
            </w:pPr>
          </w:p>
        </w:tc>
      </w:tr>
      <w:tr w:rsidR="00CC0F01" w:rsidRPr="00774335" w:rsidTr="00CC0F01">
        <w:trPr>
          <w:cantSplit/>
          <w:jc w:val="center"/>
        </w:trPr>
        <w:tc>
          <w:tcPr>
            <w:tcW w:w="1072" w:type="dxa"/>
            <w:tcBorders>
              <w:top w:val="single" w:sz="6" w:space="0" w:color="auto"/>
              <w:left w:val="single" w:sz="6" w:space="0" w:color="auto"/>
              <w:right w:val="single" w:sz="6" w:space="0" w:color="auto"/>
            </w:tcBorders>
          </w:tcPr>
          <w:p w:rsidR="00CC0F01" w:rsidRPr="00774335" w:rsidRDefault="00CC0F01" w:rsidP="00CC0F01">
            <w:pPr>
              <w:pStyle w:val="TableText0"/>
              <w:ind w:left="57" w:right="57"/>
              <w:jc w:val="center"/>
              <w:rPr>
                <w:lang w:val="es-ES_tradnl"/>
              </w:rPr>
            </w:pPr>
            <w:r w:rsidRPr="00774335">
              <w:rPr>
                <w:lang w:val="es-ES_tradnl"/>
              </w:rPr>
              <w:t>230-238</w:t>
            </w:r>
          </w:p>
        </w:tc>
        <w:tc>
          <w:tcPr>
            <w:tcW w:w="2197" w:type="dxa"/>
            <w:tcBorders>
              <w:top w:val="single" w:sz="6" w:space="0" w:color="auto"/>
              <w:left w:val="single" w:sz="6" w:space="0" w:color="auto"/>
            </w:tcBorders>
          </w:tcPr>
          <w:p w:rsidR="00CC0F01" w:rsidRPr="00774335" w:rsidRDefault="00CC0F01" w:rsidP="00CC0F01">
            <w:pPr>
              <w:pStyle w:val="TableText0"/>
              <w:tabs>
                <w:tab w:val="left" w:pos="1219"/>
                <w:tab w:val="left" w:pos="3969"/>
              </w:tabs>
              <w:ind w:left="1219" w:right="57" w:hanging="1162"/>
              <w:rPr>
                <w:b/>
                <w:lang w:val="es-ES_tradnl"/>
              </w:rPr>
            </w:pPr>
            <w:r w:rsidRPr="00774335">
              <w:rPr>
                <w:b/>
                <w:lang w:val="es-ES_tradnl"/>
              </w:rPr>
              <w:t>FIJO</w:t>
            </w:r>
            <w:r w:rsidRPr="00774335">
              <w:rPr>
                <w:lang w:val="es-ES_tradnl"/>
              </w:rPr>
              <w:t>:</w:t>
            </w:r>
          </w:p>
        </w:tc>
        <w:tc>
          <w:tcPr>
            <w:tcW w:w="3685" w:type="dxa"/>
            <w:tcBorders>
              <w:top w:val="single" w:sz="6" w:space="0" w:color="auto"/>
              <w:right w:val="single" w:sz="6" w:space="0" w:color="auto"/>
            </w:tcBorders>
          </w:tcPr>
          <w:p w:rsidR="00CC0F01" w:rsidRPr="00774335" w:rsidRDefault="00CC0F01" w:rsidP="00CC0F01">
            <w:pPr>
              <w:pStyle w:val="TableText0"/>
              <w:tabs>
                <w:tab w:val="left" w:pos="1219"/>
                <w:tab w:val="left" w:pos="3969"/>
              </w:tabs>
              <w:ind w:left="57" w:right="57"/>
              <w:jc w:val="left"/>
              <w:rPr>
                <w:b/>
                <w:lang w:val="es-ES_tradnl"/>
              </w:rPr>
            </w:pPr>
            <w:r w:rsidRPr="00774335">
              <w:rPr>
                <w:lang w:val="es-ES_tradnl"/>
              </w:rPr>
              <w:t>de todos los participantes en el Acuerdo (excepto los mencionados en el número </w:t>
            </w:r>
            <w:r w:rsidRPr="00774335">
              <w:rPr>
                <w:rStyle w:val="Artref"/>
                <w:color w:val="000000"/>
                <w:lang w:val="es-ES_tradnl"/>
              </w:rPr>
              <w:t>5.252</w:t>
            </w:r>
            <w:r w:rsidRPr="00774335">
              <w:rPr>
                <w:lang w:val="es-ES_tradnl"/>
              </w:rPr>
              <w:t>)</w:t>
            </w:r>
          </w:p>
        </w:tc>
        <w:tc>
          <w:tcPr>
            <w:tcW w:w="1355" w:type="dxa"/>
            <w:tcBorders>
              <w:top w:val="single" w:sz="6" w:space="0" w:color="auto"/>
              <w:left w:val="single" w:sz="6" w:space="0" w:color="auto"/>
              <w:right w:val="single" w:sz="6" w:space="0" w:color="auto"/>
            </w:tcBorders>
          </w:tcPr>
          <w:p w:rsidR="00CC0F01" w:rsidRPr="00774335" w:rsidRDefault="00CC0F01" w:rsidP="00CC0F01">
            <w:pPr>
              <w:pStyle w:val="TableText0"/>
              <w:ind w:left="57" w:right="57"/>
              <w:jc w:val="center"/>
              <w:rPr>
                <w:rStyle w:val="Artref0"/>
                <w:b/>
                <w:lang w:val="es-ES_tradnl"/>
              </w:rPr>
            </w:pPr>
          </w:p>
        </w:tc>
        <w:tc>
          <w:tcPr>
            <w:tcW w:w="763" w:type="dxa"/>
            <w:tcBorders>
              <w:top w:val="single" w:sz="6" w:space="0" w:color="auto"/>
              <w:right w:val="single" w:sz="6" w:space="0" w:color="auto"/>
            </w:tcBorders>
          </w:tcPr>
          <w:p w:rsidR="00CC0F01" w:rsidRPr="00774335" w:rsidRDefault="00CC0F01" w:rsidP="00CC0F01">
            <w:pPr>
              <w:pStyle w:val="TableText0"/>
              <w:ind w:left="57" w:right="57"/>
              <w:jc w:val="center"/>
              <w:rPr>
                <w:lang w:val="es-ES_tradnl"/>
              </w:rPr>
            </w:pPr>
            <w:r w:rsidRPr="00774335">
              <w:rPr>
                <w:lang w:val="es-ES_tradnl"/>
              </w:rPr>
              <w:br/>
              <w:t>2</w:t>
            </w:r>
          </w:p>
        </w:tc>
      </w:tr>
      <w:tr w:rsidR="00CC0F01" w:rsidRPr="00774335" w:rsidTr="00CC0F01">
        <w:trPr>
          <w:cantSplit/>
          <w:jc w:val="center"/>
        </w:trPr>
        <w:tc>
          <w:tcPr>
            <w:tcW w:w="1072" w:type="dxa"/>
            <w:tcBorders>
              <w:left w:val="single" w:sz="6" w:space="0" w:color="auto"/>
              <w:right w:val="single" w:sz="6" w:space="0" w:color="auto"/>
            </w:tcBorders>
          </w:tcPr>
          <w:p w:rsidR="00CC0F01" w:rsidRPr="00774335" w:rsidRDefault="00CC0F01" w:rsidP="00CC0F01">
            <w:pPr>
              <w:pStyle w:val="TableText0"/>
              <w:ind w:left="57" w:right="57"/>
              <w:jc w:val="center"/>
              <w:rPr>
                <w:lang w:val="es-ES_tradnl"/>
              </w:rPr>
            </w:pPr>
          </w:p>
        </w:tc>
        <w:tc>
          <w:tcPr>
            <w:tcW w:w="2197" w:type="dxa"/>
            <w:tcBorders>
              <w:left w:val="single" w:sz="6" w:space="0" w:color="auto"/>
            </w:tcBorders>
          </w:tcPr>
          <w:p w:rsidR="00CC0F01" w:rsidRPr="00774335" w:rsidRDefault="00CC0F01" w:rsidP="00CC0F01">
            <w:pPr>
              <w:pStyle w:val="TableText0"/>
              <w:tabs>
                <w:tab w:val="left" w:pos="1219"/>
                <w:tab w:val="left" w:pos="3969"/>
              </w:tabs>
              <w:ind w:left="1219" w:right="57" w:hanging="1162"/>
              <w:rPr>
                <w:b/>
                <w:bCs/>
                <w:lang w:val="es-ES_tradnl"/>
              </w:rPr>
            </w:pPr>
            <w:r w:rsidRPr="00774335">
              <w:rPr>
                <w:b/>
                <w:bCs/>
                <w:lang w:val="es-ES_tradnl"/>
              </w:rPr>
              <w:t>MÓVIL</w:t>
            </w:r>
            <w:r w:rsidRPr="00774335">
              <w:rPr>
                <w:lang w:val="es-ES_tradnl"/>
              </w:rPr>
              <w:t>:</w:t>
            </w:r>
          </w:p>
        </w:tc>
        <w:tc>
          <w:tcPr>
            <w:tcW w:w="3685" w:type="dxa"/>
            <w:tcBorders>
              <w:right w:val="single" w:sz="6" w:space="0" w:color="auto"/>
            </w:tcBorders>
          </w:tcPr>
          <w:p w:rsidR="00CC0F01" w:rsidRPr="00774335" w:rsidRDefault="00CC0F01" w:rsidP="00CC0F01">
            <w:pPr>
              <w:pStyle w:val="TableText0"/>
              <w:tabs>
                <w:tab w:val="left" w:pos="1219"/>
                <w:tab w:val="left" w:pos="3969"/>
              </w:tabs>
              <w:ind w:left="57" w:right="57"/>
              <w:jc w:val="left"/>
              <w:rPr>
                <w:lang w:val="es-ES_tradnl"/>
              </w:rPr>
            </w:pPr>
            <w:r w:rsidRPr="00774335">
              <w:rPr>
                <w:lang w:val="es-ES_tradnl"/>
              </w:rPr>
              <w:t>de todos los participantes en el Acuerdo (excepto los mencionados en el número </w:t>
            </w:r>
            <w:r w:rsidRPr="00774335">
              <w:rPr>
                <w:rStyle w:val="Artref"/>
                <w:color w:val="000000"/>
                <w:lang w:val="es-ES_tradnl"/>
              </w:rPr>
              <w:t>5.252</w:t>
            </w:r>
            <w:r w:rsidRPr="00774335">
              <w:rPr>
                <w:lang w:val="es-ES_tradnl"/>
              </w:rPr>
              <w:t>)</w:t>
            </w:r>
          </w:p>
        </w:tc>
        <w:tc>
          <w:tcPr>
            <w:tcW w:w="1355" w:type="dxa"/>
            <w:tcBorders>
              <w:left w:val="single" w:sz="6" w:space="0" w:color="auto"/>
              <w:right w:val="single" w:sz="6" w:space="0" w:color="auto"/>
            </w:tcBorders>
          </w:tcPr>
          <w:p w:rsidR="00CC0F01" w:rsidRPr="00774335" w:rsidRDefault="00CC0F01" w:rsidP="00CC0F01">
            <w:pPr>
              <w:pStyle w:val="TableText0"/>
              <w:ind w:left="57" w:right="57"/>
              <w:jc w:val="center"/>
              <w:rPr>
                <w:rStyle w:val="Artref"/>
                <w:b/>
                <w:color w:val="000000"/>
                <w:lang w:val="es-ES_tradnl"/>
              </w:rPr>
            </w:pPr>
            <w:r w:rsidRPr="00774335">
              <w:rPr>
                <w:rStyle w:val="Artref"/>
                <w:color w:val="000000"/>
                <w:lang w:val="es-ES_tradnl"/>
              </w:rPr>
              <w:br/>
            </w:r>
            <w:r w:rsidRPr="00774335">
              <w:rPr>
                <w:rStyle w:val="Artref"/>
                <w:color w:val="000000"/>
                <w:lang w:val="es-ES_tradnl"/>
              </w:rPr>
              <w:br/>
            </w:r>
          </w:p>
        </w:tc>
        <w:tc>
          <w:tcPr>
            <w:tcW w:w="763" w:type="dxa"/>
            <w:tcBorders>
              <w:left w:val="single" w:sz="6" w:space="0" w:color="auto"/>
              <w:right w:val="single" w:sz="6" w:space="0" w:color="auto"/>
            </w:tcBorders>
          </w:tcPr>
          <w:p w:rsidR="00CC0F01" w:rsidRPr="00774335" w:rsidRDefault="00CC0F01" w:rsidP="00CC0F01">
            <w:pPr>
              <w:pStyle w:val="TableText0"/>
              <w:ind w:left="57" w:right="57"/>
              <w:jc w:val="center"/>
              <w:rPr>
                <w:lang w:val="es-ES_tradnl"/>
              </w:rPr>
            </w:pPr>
            <w:r w:rsidRPr="00774335">
              <w:rPr>
                <w:lang w:val="es-ES_tradnl"/>
              </w:rPr>
              <w:br/>
              <w:t>2</w:t>
            </w:r>
          </w:p>
        </w:tc>
      </w:tr>
      <w:tr w:rsidR="00CC0F01" w:rsidRPr="00774335" w:rsidTr="00CC0F01">
        <w:trPr>
          <w:cantSplit/>
          <w:jc w:val="center"/>
        </w:trPr>
        <w:tc>
          <w:tcPr>
            <w:tcW w:w="1072" w:type="dxa"/>
            <w:tcBorders>
              <w:left w:val="single" w:sz="6" w:space="0" w:color="auto"/>
              <w:bottom w:val="single" w:sz="6" w:space="0" w:color="auto"/>
              <w:right w:val="single" w:sz="6" w:space="0" w:color="auto"/>
            </w:tcBorders>
          </w:tcPr>
          <w:p w:rsidR="00CC0F01" w:rsidRPr="00774335" w:rsidRDefault="00CC0F01" w:rsidP="00CC0F01">
            <w:pPr>
              <w:pStyle w:val="TableText0"/>
              <w:ind w:left="57" w:right="57"/>
              <w:jc w:val="center"/>
              <w:rPr>
                <w:lang w:val="es-ES_tradnl"/>
              </w:rPr>
            </w:pPr>
          </w:p>
        </w:tc>
        <w:tc>
          <w:tcPr>
            <w:tcW w:w="2197" w:type="dxa"/>
            <w:tcBorders>
              <w:left w:val="single" w:sz="6" w:space="0" w:color="auto"/>
              <w:bottom w:val="single" w:sz="6" w:space="0" w:color="auto"/>
            </w:tcBorders>
          </w:tcPr>
          <w:p w:rsidR="00CC0F01" w:rsidRPr="00774335" w:rsidRDefault="00CC0F01" w:rsidP="00CC0F01">
            <w:pPr>
              <w:pStyle w:val="TableText0"/>
              <w:tabs>
                <w:tab w:val="left" w:pos="1219"/>
                <w:tab w:val="left" w:pos="3969"/>
              </w:tabs>
              <w:ind w:left="57" w:right="57"/>
              <w:rPr>
                <w:b/>
                <w:lang w:val="es-ES_tradnl"/>
              </w:rPr>
            </w:pPr>
            <w:r w:rsidRPr="00774335">
              <w:rPr>
                <w:b/>
                <w:lang w:val="es-ES_tradnl"/>
              </w:rPr>
              <w:t>RADIONAVEGACIÓN AERONÁUTICA</w:t>
            </w:r>
            <w:r w:rsidRPr="00774335">
              <w:rPr>
                <w:lang w:val="es-ES_tradnl"/>
              </w:rPr>
              <w:t>:</w:t>
            </w:r>
          </w:p>
        </w:tc>
        <w:tc>
          <w:tcPr>
            <w:tcW w:w="3685" w:type="dxa"/>
            <w:tcBorders>
              <w:bottom w:val="single" w:sz="6" w:space="0" w:color="auto"/>
              <w:right w:val="single" w:sz="6" w:space="0" w:color="auto"/>
            </w:tcBorders>
            <w:vAlign w:val="bottom"/>
          </w:tcPr>
          <w:p w:rsidR="00CC0F01" w:rsidRPr="00613CC1" w:rsidRDefault="00CC0F01" w:rsidP="00CC0F01">
            <w:pPr>
              <w:pStyle w:val="TableText0"/>
              <w:tabs>
                <w:tab w:val="left" w:pos="1219"/>
                <w:tab w:val="left" w:pos="3969"/>
              </w:tabs>
              <w:ind w:left="57" w:right="57"/>
              <w:jc w:val="left"/>
              <w:rPr>
                <w:b/>
                <w:lang w:val="en-US"/>
              </w:rPr>
            </w:pPr>
            <w:r w:rsidRPr="00613CC1">
              <w:rPr>
                <w:lang w:val="en-US"/>
              </w:rPr>
              <w:t>ARS, BHR, IRN, OMA, QAT, UAE</w:t>
            </w:r>
          </w:p>
        </w:tc>
        <w:tc>
          <w:tcPr>
            <w:tcW w:w="1355" w:type="dxa"/>
            <w:tcBorders>
              <w:left w:val="single" w:sz="6" w:space="0" w:color="auto"/>
              <w:bottom w:val="single" w:sz="6" w:space="0" w:color="auto"/>
              <w:right w:val="single" w:sz="6" w:space="0" w:color="auto"/>
            </w:tcBorders>
          </w:tcPr>
          <w:p w:rsidR="00CC0F01" w:rsidRPr="00774335" w:rsidRDefault="00CC0F01" w:rsidP="00CC0F01">
            <w:pPr>
              <w:pStyle w:val="TableText0"/>
              <w:ind w:left="57" w:right="57"/>
              <w:jc w:val="center"/>
              <w:rPr>
                <w:rStyle w:val="Artref0"/>
                <w:b/>
                <w:lang w:val="es-ES_tradnl"/>
              </w:rPr>
            </w:pPr>
            <w:r w:rsidRPr="00613CC1">
              <w:rPr>
                <w:rStyle w:val="Artref"/>
                <w:color w:val="000000"/>
                <w:lang w:val="en-US"/>
              </w:rPr>
              <w:br/>
            </w:r>
            <w:r w:rsidRPr="00774335">
              <w:rPr>
                <w:rStyle w:val="Artref"/>
                <w:color w:val="000000"/>
                <w:lang w:val="es-ES_tradnl"/>
              </w:rPr>
              <w:t>5.247</w:t>
            </w:r>
          </w:p>
        </w:tc>
        <w:tc>
          <w:tcPr>
            <w:tcW w:w="763" w:type="dxa"/>
            <w:tcBorders>
              <w:bottom w:val="single" w:sz="6" w:space="0" w:color="auto"/>
              <w:right w:val="single" w:sz="6" w:space="0" w:color="auto"/>
            </w:tcBorders>
          </w:tcPr>
          <w:p w:rsidR="00CC0F01" w:rsidRPr="00774335" w:rsidRDefault="00CC0F01" w:rsidP="00CC0F01">
            <w:pPr>
              <w:pStyle w:val="TableText0"/>
              <w:ind w:left="57" w:right="57"/>
              <w:jc w:val="center"/>
              <w:rPr>
                <w:lang w:val="es-ES_tradnl"/>
              </w:rPr>
            </w:pPr>
            <w:r w:rsidRPr="00774335">
              <w:rPr>
                <w:lang w:val="es-ES_tradnl"/>
              </w:rPr>
              <w:br/>
              <w:t>3</w:t>
            </w:r>
          </w:p>
        </w:tc>
      </w:tr>
      <w:tr w:rsidR="00CC0F01" w:rsidRPr="00774335" w:rsidTr="00CC0F01">
        <w:trPr>
          <w:cantSplit/>
          <w:jc w:val="center"/>
        </w:trPr>
        <w:tc>
          <w:tcPr>
            <w:tcW w:w="1072" w:type="dxa"/>
            <w:tcBorders>
              <w:top w:val="single" w:sz="6" w:space="0" w:color="auto"/>
              <w:left w:val="single" w:sz="6" w:space="0" w:color="auto"/>
              <w:right w:val="single" w:sz="6" w:space="0" w:color="auto"/>
            </w:tcBorders>
          </w:tcPr>
          <w:p w:rsidR="00CC0F01" w:rsidRPr="00774335" w:rsidRDefault="00CC0F01" w:rsidP="00CC0F01">
            <w:pPr>
              <w:pStyle w:val="TableText0"/>
              <w:ind w:left="57" w:right="57"/>
              <w:jc w:val="center"/>
              <w:rPr>
                <w:lang w:val="es-ES_tradnl"/>
              </w:rPr>
            </w:pPr>
            <w:r w:rsidRPr="00774335">
              <w:rPr>
                <w:lang w:val="es-ES_tradnl"/>
              </w:rPr>
              <w:t>246-254</w:t>
            </w:r>
          </w:p>
        </w:tc>
        <w:tc>
          <w:tcPr>
            <w:tcW w:w="2197" w:type="dxa"/>
            <w:tcBorders>
              <w:top w:val="single" w:sz="6" w:space="0" w:color="auto"/>
              <w:left w:val="single" w:sz="6" w:space="0" w:color="auto"/>
            </w:tcBorders>
          </w:tcPr>
          <w:p w:rsidR="00CC0F01" w:rsidRPr="00774335" w:rsidRDefault="00CC0F01" w:rsidP="00CC0F01">
            <w:pPr>
              <w:pStyle w:val="TableText0"/>
              <w:tabs>
                <w:tab w:val="left" w:pos="1219"/>
                <w:tab w:val="left" w:pos="3969"/>
              </w:tabs>
              <w:ind w:left="1219" w:right="57" w:hanging="1162"/>
              <w:rPr>
                <w:b/>
                <w:lang w:val="es-ES_tradnl"/>
              </w:rPr>
            </w:pPr>
            <w:r w:rsidRPr="00774335">
              <w:rPr>
                <w:b/>
                <w:lang w:val="es-ES_tradnl"/>
              </w:rPr>
              <w:t>FIJO</w:t>
            </w:r>
            <w:r w:rsidRPr="00774335">
              <w:rPr>
                <w:lang w:val="es-ES_tradnl"/>
              </w:rPr>
              <w:t>:</w:t>
            </w:r>
          </w:p>
        </w:tc>
        <w:tc>
          <w:tcPr>
            <w:tcW w:w="3685" w:type="dxa"/>
            <w:tcBorders>
              <w:top w:val="single" w:sz="6" w:space="0" w:color="auto"/>
              <w:right w:val="single" w:sz="6" w:space="0" w:color="auto"/>
            </w:tcBorders>
          </w:tcPr>
          <w:p w:rsidR="00CC0F01" w:rsidRPr="00774335" w:rsidRDefault="00CC0F01" w:rsidP="00CC0F01">
            <w:pPr>
              <w:pStyle w:val="TableText0"/>
              <w:tabs>
                <w:tab w:val="left" w:pos="1219"/>
                <w:tab w:val="left" w:pos="3969"/>
              </w:tabs>
              <w:ind w:left="57" w:right="57"/>
              <w:jc w:val="left"/>
              <w:rPr>
                <w:b/>
                <w:lang w:val="es-ES_tradnl"/>
              </w:rPr>
            </w:pPr>
            <w:r w:rsidRPr="00774335">
              <w:rPr>
                <w:lang w:val="es-ES_tradnl"/>
              </w:rPr>
              <w:t>de todos los participantes en el Acuerdo (excepto los mencionados en el número </w:t>
            </w:r>
            <w:r w:rsidRPr="00774335">
              <w:rPr>
                <w:rStyle w:val="Artref"/>
                <w:color w:val="000000"/>
                <w:lang w:val="es-ES_tradnl"/>
              </w:rPr>
              <w:t>5.252</w:t>
            </w:r>
            <w:r w:rsidRPr="00774335">
              <w:rPr>
                <w:lang w:val="es-ES_tradnl"/>
              </w:rPr>
              <w:t>)</w:t>
            </w:r>
          </w:p>
        </w:tc>
        <w:tc>
          <w:tcPr>
            <w:tcW w:w="1355" w:type="dxa"/>
            <w:tcBorders>
              <w:top w:val="single" w:sz="6" w:space="0" w:color="auto"/>
              <w:left w:val="single" w:sz="6" w:space="0" w:color="auto"/>
              <w:right w:val="single" w:sz="6" w:space="0" w:color="auto"/>
            </w:tcBorders>
          </w:tcPr>
          <w:p w:rsidR="00CC0F01" w:rsidRPr="00774335" w:rsidRDefault="00CC0F01" w:rsidP="00CC0F01">
            <w:pPr>
              <w:pStyle w:val="TableText0"/>
              <w:ind w:left="57" w:right="57"/>
              <w:jc w:val="center"/>
              <w:rPr>
                <w:rStyle w:val="Artref0"/>
                <w:b/>
                <w:lang w:val="es-ES_tradnl"/>
              </w:rPr>
            </w:pPr>
          </w:p>
        </w:tc>
        <w:tc>
          <w:tcPr>
            <w:tcW w:w="763" w:type="dxa"/>
            <w:tcBorders>
              <w:top w:val="single" w:sz="6" w:space="0" w:color="auto"/>
              <w:right w:val="single" w:sz="6" w:space="0" w:color="auto"/>
            </w:tcBorders>
          </w:tcPr>
          <w:p w:rsidR="00CC0F01" w:rsidRPr="00774335" w:rsidRDefault="00CC0F01" w:rsidP="00CC0F01">
            <w:pPr>
              <w:pStyle w:val="TableText0"/>
              <w:ind w:left="57" w:right="57"/>
              <w:jc w:val="center"/>
              <w:rPr>
                <w:lang w:val="es-ES_tradnl"/>
              </w:rPr>
            </w:pPr>
            <w:r w:rsidRPr="00774335">
              <w:rPr>
                <w:lang w:val="es-ES_tradnl"/>
              </w:rPr>
              <w:br/>
              <w:t>2</w:t>
            </w:r>
          </w:p>
        </w:tc>
      </w:tr>
      <w:tr w:rsidR="00CC0F01" w:rsidRPr="00774335" w:rsidTr="00CC0F01">
        <w:trPr>
          <w:cantSplit/>
          <w:jc w:val="center"/>
        </w:trPr>
        <w:tc>
          <w:tcPr>
            <w:tcW w:w="1072" w:type="dxa"/>
            <w:tcBorders>
              <w:left w:val="single" w:sz="6" w:space="0" w:color="auto"/>
              <w:bottom w:val="single" w:sz="6" w:space="0" w:color="auto"/>
              <w:right w:val="single" w:sz="6" w:space="0" w:color="auto"/>
            </w:tcBorders>
          </w:tcPr>
          <w:p w:rsidR="00CC0F01" w:rsidRPr="00774335" w:rsidRDefault="00CC0F01" w:rsidP="00CC0F01">
            <w:pPr>
              <w:pStyle w:val="TableText0"/>
              <w:ind w:left="57" w:right="57"/>
              <w:jc w:val="center"/>
              <w:rPr>
                <w:lang w:val="es-ES_tradnl"/>
              </w:rPr>
            </w:pPr>
          </w:p>
        </w:tc>
        <w:tc>
          <w:tcPr>
            <w:tcW w:w="2197" w:type="dxa"/>
            <w:tcBorders>
              <w:left w:val="single" w:sz="6" w:space="0" w:color="auto"/>
              <w:bottom w:val="single" w:sz="6" w:space="0" w:color="auto"/>
            </w:tcBorders>
          </w:tcPr>
          <w:p w:rsidR="00CC0F01" w:rsidRPr="00774335" w:rsidRDefault="00CC0F01" w:rsidP="00CC0F01">
            <w:pPr>
              <w:pStyle w:val="TableText0"/>
              <w:tabs>
                <w:tab w:val="left" w:pos="1219"/>
                <w:tab w:val="left" w:pos="3742"/>
              </w:tabs>
              <w:ind w:left="1219" w:right="57" w:hanging="1162"/>
              <w:rPr>
                <w:lang w:val="es-ES_tradnl"/>
              </w:rPr>
            </w:pPr>
            <w:r w:rsidRPr="00774335">
              <w:rPr>
                <w:b/>
                <w:lang w:val="es-ES_tradnl"/>
              </w:rPr>
              <w:t>MÓVIL</w:t>
            </w:r>
            <w:r w:rsidRPr="00774335">
              <w:rPr>
                <w:lang w:val="es-ES_tradnl"/>
              </w:rPr>
              <w:t>:</w:t>
            </w:r>
          </w:p>
        </w:tc>
        <w:tc>
          <w:tcPr>
            <w:tcW w:w="3685" w:type="dxa"/>
            <w:tcBorders>
              <w:bottom w:val="single" w:sz="6" w:space="0" w:color="auto"/>
              <w:right w:val="single" w:sz="6" w:space="0" w:color="auto"/>
            </w:tcBorders>
          </w:tcPr>
          <w:p w:rsidR="00CC0F01" w:rsidRPr="00774335" w:rsidRDefault="00CC0F01" w:rsidP="00CC0F01">
            <w:pPr>
              <w:pStyle w:val="TableText0"/>
              <w:tabs>
                <w:tab w:val="left" w:pos="1219"/>
                <w:tab w:val="left" w:pos="3742"/>
              </w:tabs>
              <w:ind w:left="57" w:right="57"/>
              <w:jc w:val="left"/>
              <w:rPr>
                <w:lang w:val="es-ES_tradnl"/>
              </w:rPr>
            </w:pPr>
            <w:r w:rsidRPr="00774335">
              <w:rPr>
                <w:lang w:val="es-ES_tradnl"/>
              </w:rPr>
              <w:t>de todos los participantes en el Acuerdo (excepto los mencionados en el número </w:t>
            </w:r>
            <w:r w:rsidRPr="00774335">
              <w:rPr>
                <w:rStyle w:val="Artref"/>
                <w:color w:val="000000"/>
                <w:lang w:val="es-ES_tradnl"/>
              </w:rPr>
              <w:t>5.252</w:t>
            </w:r>
            <w:r w:rsidRPr="00774335">
              <w:rPr>
                <w:lang w:val="es-ES_tradnl"/>
              </w:rPr>
              <w:t>)</w:t>
            </w:r>
          </w:p>
        </w:tc>
        <w:tc>
          <w:tcPr>
            <w:tcW w:w="1355" w:type="dxa"/>
            <w:tcBorders>
              <w:left w:val="single" w:sz="6" w:space="0" w:color="auto"/>
              <w:bottom w:val="single" w:sz="6" w:space="0" w:color="auto"/>
              <w:right w:val="single" w:sz="6" w:space="0" w:color="auto"/>
            </w:tcBorders>
          </w:tcPr>
          <w:p w:rsidR="00CC0F01" w:rsidRPr="00774335" w:rsidRDefault="00CC0F01" w:rsidP="00CC0F01">
            <w:pPr>
              <w:pStyle w:val="TableText0"/>
              <w:ind w:left="57" w:right="57"/>
              <w:jc w:val="center"/>
              <w:rPr>
                <w:lang w:val="es-ES_tradnl"/>
              </w:rPr>
            </w:pPr>
          </w:p>
        </w:tc>
        <w:tc>
          <w:tcPr>
            <w:tcW w:w="763" w:type="dxa"/>
            <w:tcBorders>
              <w:left w:val="single" w:sz="6" w:space="0" w:color="auto"/>
              <w:bottom w:val="single" w:sz="6" w:space="0" w:color="auto"/>
              <w:right w:val="single" w:sz="6" w:space="0" w:color="auto"/>
            </w:tcBorders>
          </w:tcPr>
          <w:p w:rsidR="00CC0F01" w:rsidRPr="00774335" w:rsidRDefault="00CC0F01" w:rsidP="00CC0F01">
            <w:pPr>
              <w:pStyle w:val="TableText0"/>
              <w:ind w:left="57" w:right="57"/>
              <w:jc w:val="center"/>
              <w:rPr>
                <w:lang w:val="es-ES_tradnl"/>
              </w:rPr>
            </w:pPr>
          </w:p>
        </w:tc>
      </w:tr>
    </w:tbl>
    <w:p w:rsidR="00CC0F01" w:rsidRPr="00774335" w:rsidRDefault="00CC0F01" w:rsidP="00CC0F01">
      <w:pPr>
        <w:pStyle w:val="TableFin"/>
        <w:rPr>
          <w:lang w:val="es-ES_tradnl"/>
        </w:rPr>
      </w:pPr>
    </w:p>
    <w:p w:rsidR="00CC0F01" w:rsidRPr="00774335" w:rsidRDefault="00CC0F01" w:rsidP="00774335">
      <w:pPr>
        <w:rPr>
          <w:i/>
          <w:iCs/>
        </w:rPr>
      </w:pPr>
      <w:r w:rsidRPr="00DA3E40">
        <w:rPr>
          <w:b/>
          <w:bCs/>
          <w:i/>
          <w:iCs/>
        </w:rPr>
        <w:t>Motivos:</w:t>
      </w:r>
      <w:r w:rsidR="00C21E6E" w:rsidRPr="00774335">
        <w:rPr>
          <w:i/>
          <w:iCs/>
        </w:rPr>
        <w:t xml:space="preserve"> </w:t>
      </w:r>
      <w:r w:rsidR="00DA3E40">
        <w:rPr>
          <w:i/>
          <w:iCs/>
        </w:rPr>
        <w:t xml:space="preserve">Cambios </w:t>
      </w:r>
      <w:r w:rsidR="00774335">
        <w:rPr>
          <w:i/>
          <w:iCs/>
        </w:rPr>
        <w:t xml:space="preserve">consiguientes a los cambios efectuados por la CMR-12 de los nombres de país indicados en los números </w:t>
      </w:r>
      <w:r w:rsidR="00774335" w:rsidRPr="00774335">
        <w:rPr>
          <w:i/>
          <w:iCs/>
        </w:rPr>
        <w:t xml:space="preserve">5.165 </w:t>
      </w:r>
      <w:r w:rsidR="00774335">
        <w:rPr>
          <w:i/>
          <w:iCs/>
        </w:rPr>
        <w:t>y</w:t>
      </w:r>
      <w:r w:rsidR="00774335" w:rsidRPr="00774335">
        <w:rPr>
          <w:i/>
          <w:iCs/>
        </w:rPr>
        <w:t xml:space="preserve"> 5.171</w:t>
      </w:r>
      <w:r w:rsidR="00C21E6E" w:rsidRPr="00774335">
        <w:rPr>
          <w:i/>
          <w:iCs/>
        </w:rPr>
        <w:t>.</w:t>
      </w:r>
    </w:p>
    <w:p w:rsidR="00CC0F01" w:rsidRPr="00774335" w:rsidRDefault="00CC0F01" w:rsidP="00724C1E">
      <w:pPr>
        <w:rPr>
          <w:rFonts w:eastAsia="SimSun"/>
          <w:i/>
          <w:iCs/>
          <w:szCs w:val="24"/>
        </w:rPr>
      </w:pPr>
      <w:r w:rsidRPr="00774335">
        <w:rPr>
          <w:rFonts w:eastAsia="SimSun"/>
          <w:i/>
          <w:iCs/>
          <w:szCs w:val="24"/>
        </w:rPr>
        <w:t xml:space="preserve">Fecha </w:t>
      </w:r>
      <w:r w:rsidR="00724C1E">
        <w:rPr>
          <w:rFonts w:eastAsia="SimSun"/>
          <w:i/>
          <w:iCs/>
          <w:szCs w:val="24"/>
        </w:rPr>
        <w:t>de aplicaci</w:t>
      </w:r>
      <w:r w:rsidR="00724C1E" w:rsidRPr="00774335">
        <w:rPr>
          <w:rFonts w:eastAsia="SimSun"/>
          <w:i/>
          <w:iCs/>
          <w:szCs w:val="24"/>
        </w:rPr>
        <w:t>ó</w:t>
      </w:r>
      <w:r w:rsidR="00724C1E">
        <w:rPr>
          <w:rFonts w:eastAsia="SimSun"/>
          <w:i/>
          <w:iCs/>
          <w:szCs w:val="24"/>
        </w:rPr>
        <w:t xml:space="preserve">n </w:t>
      </w:r>
      <w:r w:rsidRPr="00774335">
        <w:rPr>
          <w:rFonts w:eastAsia="SimSun"/>
          <w:i/>
          <w:iCs/>
          <w:szCs w:val="24"/>
        </w:rPr>
        <w:t xml:space="preserve">efectiva de </w:t>
      </w:r>
      <w:r w:rsidR="00724C1E">
        <w:rPr>
          <w:rFonts w:eastAsia="SimSun"/>
          <w:i/>
          <w:iCs/>
          <w:szCs w:val="24"/>
        </w:rPr>
        <w:t>la Regla modificada:</w:t>
      </w:r>
      <w:r w:rsidRPr="00774335">
        <w:rPr>
          <w:rFonts w:eastAsia="SimSun"/>
          <w:i/>
          <w:iCs/>
          <w:szCs w:val="24"/>
        </w:rPr>
        <w:t xml:space="preserve"> inmediatamente después de la aprobación</w:t>
      </w:r>
      <w:r w:rsidR="00724C1E">
        <w:rPr>
          <w:rFonts w:eastAsia="SimSun"/>
          <w:i/>
          <w:iCs/>
          <w:szCs w:val="24"/>
        </w:rPr>
        <w:t xml:space="preserve"> de la Regla</w:t>
      </w:r>
      <w:r w:rsidRPr="00774335">
        <w:rPr>
          <w:rFonts w:eastAsia="SimSun"/>
          <w:i/>
          <w:iCs/>
          <w:szCs w:val="24"/>
        </w:rPr>
        <w:t>.</w:t>
      </w:r>
    </w:p>
    <w:p w:rsidR="00CC0F01" w:rsidRPr="00774335" w:rsidRDefault="00CC0F01" w:rsidP="0032202E">
      <w:pPr>
        <w:pStyle w:val="Reasons"/>
        <w:rPr>
          <w:lang w:val="es-ES_tradnl"/>
        </w:rPr>
      </w:pPr>
    </w:p>
    <w:p w:rsidR="00CC0F01" w:rsidRPr="00774335" w:rsidRDefault="00CC0F01">
      <w:pPr>
        <w:jc w:val="center"/>
      </w:pPr>
      <w:r w:rsidRPr="00774335">
        <w:t>______________</w:t>
      </w:r>
    </w:p>
    <w:p w:rsidR="00CC0F01" w:rsidRPr="00774335" w:rsidRDefault="00CC0F01" w:rsidP="002347C8">
      <w:pPr>
        <w:rPr>
          <w:i/>
          <w:iCs/>
        </w:rPr>
      </w:pPr>
    </w:p>
    <w:sectPr w:rsidR="00CC0F01" w:rsidRPr="00774335" w:rsidSect="00847D3A">
      <w:headerReference w:type="default" r:id="rId10"/>
      <w:pgSz w:w="11907" w:h="16834"/>
      <w:pgMar w:top="1418" w:right="1134" w:bottom="1418" w:left="113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354" w:rsidRDefault="00EF6354">
      <w:r>
        <w:separator/>
      </w:r>
    </w:p>
  </w:endnote>
  <w:endnote w:type="continuationSeparator" w:id="0">
    <w:p w:rsidR="00EF6354" w:rsidRDefault="00EF63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imes New Roman Bold">
    <w:altName w:val="Times New Roman"/>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354" w:rsidRDefault="00EF6354">
      <w:r>
        <w:t>____________________</w:t>
      </w:r>
    </w:p>
  </w:footnote>
  <w:footnote w:type="continuationSeparator" w:id="0">
    <w:p w:rsidR="00EF6354" w:rsidRDefault="00EF6354">
      <w:r>
        <w:continuationSeparator/>
      </w:r>
    </w:p>
  </w:footnote>
  <w:footnote w:id="1">
    <w:p w:rsidR="00DA7572" w:rsidRPr="00246065" w:rsidRDefault="00DA7572" w:rsidP="002347C8">
      <w:pPr>
        <w:pStyle w:val="FootnoteText"/>
      </w:pPr>
      <w:r>
        <w:rPr>
          <w:rStyle w:val="FootnoteReference"/>
        </w:rPr>
        <w:footnoteRef/>
      </w:r>
      <w:r w:rsidRPr="00246065">
        <w:t xml:space="preserve"> </w:t>
      </w:r>
      <w:r>
        <w:tab/>
      </w:r>
      <w:r w:rsidRPr="00246065">
        <w:t xml:space="preserve">Esta Regla de Procedimiento hace referencia a los Artículos </w:t>
      </w:r>
      <w:r>
        <w:t>9, 11</w:t>
      </w:r>
      <w:r w:rsidRPr="00246065">
        <w:t>, a los Artículo</w:t>
      </w:r>
      <w:r>
        <w:t>s</w:t>
      </w:r>
      <w:r w:rsidRPr="00246065">
        <w:t xml:space="preserve"> 4 y 5 de los Apéndices </w:t>
      </w:r>
      <w:r w:rsidRPr="00246065">
        <w:rPr>
          <w:szCs w:val="24"/>
        </w:rPr>
        <w:t xml:space="preserve">30 y 30A, </w:t>
      </w:r>
      <w:r>
        <w:rPr>
          <w:szCs w:val="24"/>
        </w:rPr>
        <w:t xml:space="preserve">y a los Artículos 6 y 8 del Apéndice </w:t>
      </w:r>
      <w:r w:rsidRPr="00246065">
        <w:rPr>
          <w:szCs w:val="24"/>
        </w:rPr>
        <w:t>30</w:t>
      </w:r>
      <w:r>
        <w:rPr>
          <w:szCs w:val="24"/>
        </w:rPr>
        <w:t>B</w:t>
      </w:r>
      <w:r w:rsidRPr="00246065">
        <w:t xml:space="preserve"> </w:t>
      </w:r>
      <w:r>
        <w:t xml:space="preserve">del Reglamento de Radiocomunicaciones.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987046"/>
      <w:docPartObj>
        <w:docPartGallery w:val="Page Numbers (Top of Page)"/>
        <w:docPartUnique/>
      </w:docPartObj>
    </w:sdtPr>
    <w:sdtEndPr>
      <w:rPr>
        <w:noProof/>
      </w:rPr>
    </w:sdtEndPr>
    <w:sdtContent>
      <w:p w:rsidR="00DA7572" w:rsidRDefault="00421BCE">
        <w:pPr>
          <w:pStyle w:val="Header"/>
        </w:pPr>
        <w:r>
          <w:fldChar w:fldCharType="begin"/>
        </w:r>
        <w:r w:rsidR="00DA7572">
          <w:instrText xml:space="preserve"> PAGE   \* MERGEFORMAT </w:instrText>
        </w:r>
        <w:r>
          <w:fldChar w:fldCharType="separate"/>
        </w:r>
        <w:r w:rsidR="000B6266">
          <w:rPr>
            <w:noProof/>
          </w:rPr>
          <w:t>7</w:t>
        </w:r>
        <w:r>
          <w:rPr>
            <w:noProof/>
          </w:rPr>
          <w:fldChar w:fldCharType="end"/>
        </w:r>
      </w:p>
    </w:sdtContent>
  </w:sdt>
  <w:p w:rsidR="00DA7572" w:rsidRDefault="00DA7572" w:rsidP="006409A0">
    <w:pPr>
      <w:pStyle w:val="Header"/>
    </w:pPr>
    <w:r>
      <w:t>CCRR/47-S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5821A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A4751D"/>
    <w:multiLevelType w:val="hybridMultilevel"/>
    <w:tmpl w:val="5D3C4A7A"/>
    <w:lvl w:ilvl="0" w:tplc="9F6428C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76D6E"/>
    <w:multiLevelType w:val="hybridMultilevel"/>
    <w:tmpl w:val="EBEC577C"/>
    <w:lvl w:ilvl="0" w:tplc="9F6428C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E240DE"/>
    <w:multiLevelType w:val="hybridMultilevel"/>
    <w:tmpl w:val="6DDC2578"/>
    <w:lvl w:ilvl="0" w:tplc="C88C18F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A339C4"/>
    <w:multiLevelType w:val="hybridMultilevel"/>
    <w:tmpl w:val="FCE0E45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7F4E30EC"/>
    <w:multiLevelType w:val="hybridMultilevel"/>
    <w:tmpl w:val="3614E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attachedTemplate r:id="rId1"/>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compat>
  <w:rsids>
    <w:rsidRoot w:val="008A272D"/>
    <w:rsid w:val="00004E05"/>
    <w:rsid w:val="00015A5A"/>
    <w:rsid w:val="00024A24"/>
    <w:rsid w:val="000434F1"/>
    <w:rsid w:val="000B6266"/>
    <w:rsid w:val="000C16D8"/>
    <w:rsid w:val="000D47F8"/>
    <w:rsid w:val="000E272B"/>
    <w:rsid w:val="001076FA"/>
    <w:rsid w:val="001209E4"/>
    <w:rsid w:val="00131358"/>
    <w:rsid w:val="00164D65"/>
    <w:rsid w:val="00173F29"/>
    <w:rsid w:val="001804F7"/>
    <w:rsid w:val="0018793F"/>
    <w:rsid w:val="001911BB"/>
    <w:rsid w:val="00196E36"/>
    <w:rsid w:val="001A2EA1"/>
    <w:rsid w:val="001B2806"/>
    <w:rsid w:val="00201DA9"/>
    <w:rsid w:val="002347C8"/>
    <w:rsid w:val="00234B49"/>
    <w:rsid w:val="00240010"/>
    <w:rsid w:val="00240D18"/>
    <w:rsid w:val="002413B7"/>
    <w:rsid w:val="00282409"/>
    <w:rsid w:val="0029670F"/>
    <w:rsid w:val="002C1A80"/>
    <w:rsid w:val="002C6960"/>
    <w:rsid w:val="002D3D65"/>
    <w:rsid w:val="002E38B1"/>
    <w:rsid w:val="002F0922"/>
    <w:rsid w:val="00317473"/>
    <w:rsid w:val="0034757E"/>
    <w:rsid w:val="00364468"/>
    <w:rsid w:val="003677A4"/>
    <w:rsid w:val="003A1979"/>
    <w:rsid w:val="003B37E0"/>
    <w:rsid w:val="003C77CC"/>
    <w:rsid w:val="003D4309"/>
    <w:rsid w:val="003E10D0"/>
    <w:rsid w:val="003F61FE"/>
    <w:rsid w:val="00400D7C"/>
    <w:rsid w:val="00412C63"/>
    <w:rsid w:val="004137D9"/>
    <w:rsid w:val="00420CA0"/>
    <w:rsid w:val="00421BCE"/>
    <w:rsid w:val="00452180"/>
    <w:rsid w:val="004528B9"/>
    <w:rsid w:val="004625FD"/>
    <w:rsid w:val="00466D84"/>
    <w:rsid w:val="0047448C"/>
    <w:rsid w:val="004752BE"/>
    <w:rsid w:val="004B1BBD"/>
    <w:rsid w:val="004B28AB"/>
    <w:rsid w:val="004B4EC0"/>
    <w:rsid w:val="004C2437"/>
    <w:rsid w:val="004F4E91"/>
    <w:rsid w:val="00505E50"/>
    <w:rsid w:val="00506326"/>
    <w:rsid w:val="00507AD3"/>
    <w:rsid w:val="005C669E"/>
    <w:rsid w:val="005C68B5"/>
    <w:rsid w:val="0061186A"/>
    <w:rsid w:val="00613CC1"/>
    <w:rsid w:val="006409A0"/>
    <w:rsid w:val="00673217"/>
    <w:rsid w:val="006B4732"/>
    <w:rsid w:val="006B4FBC"/>
    <w:rsid w:val="006B6111"/>
    <w:rsid w:val="006C1E1E"/>
    <w:rsid w:val="006C2E5C"/>
    <w:rsid w:val="006E4F27"/>
    <w:rsid w:val="00702364"/>
    <w:rsid w:val="0071439E"/>
    <w:rsid w:val="007176DE"/>
    <w:rsid w:val="00724C1E"/>
    <w:rsid w:val="007307DE"/>
    <w:rsid w:val="00731CBC"/>
    <w:rsid w:val="007670C3"/>
    <w:rsid w:val="00774335"/>
    <w:rsid w:val="00782D05"/>
    <w:rsid w:val="0079279A"/>
    <w:rsid w:val="0079601C"/>
    <w:rsid w:val="007B4FE4"/>
    <w:rsid w:val="007D4523"/>
    <w:rsid w:val="007E11A7"/>
    <w:rsid w:val="008251A9"/>
    <w:rsid w:val="008424EA"/>
    <w:rsid w:val="00847D3A"/>
    <w:rsid w:val="008A194B"/>
    <w:rsid w:val="008A272D"/>
    <w:rsid w:val="008A4637"/>
    <w:rsid w:val="008A51F7"/>
    <w:rsid w:val="008A5981"/>
    <w:rsid w:val="008B1896"/>
    <w:rsid w:val="008B48D1"/>
    <w:rsid w:val="008B779D"/>
    <w:rsid w:val="008D1233"/>
    <w:rsid w:val="008D2F48"/>
    <w:rsid w:val="008E385A"/>
    <w:rsid w:val="008F6105"/>
    <w:rsid w:val="008F73C6"/>
    <w:rsid w:val="009018AD"/>
    <w:rsid w:val="00911983"/>
    <w:rsid w:val="009126EE"/>
    <w:rsid w:val="00912B3B"/>
    <w:rsid w:val="009366AC"/>
    <w:rsid w:val="0095590F"/>
    <w:rsid w:val="009A05DD"/>
    <w:rsid w:val="009A120B"/>
    <w:rsid w:val="009A615A"/>
    <w:rsid w:val="009B7B92"/>
    <w:rsid w:val="009F0361"/>
    <w:rsid w:val="00A01E7F"/>
    <w:rsid w:val="00A45DFE"/>
    <w:rsid w:val="00A4770F"/>
    <w:rsid w:val="00A74963"/>
    <w:rsid w:val="00A8424C"/>
    <w:rsid w:val="00AA05C6"/>
    <w:rsid w:val="00AD4C2A"/>
    <w:rsid w:val="00AE07DC"/>
    <w:rsid w:val="00AE3F9C"/>
    <w:rsid w:val="00B34681"/>
    <w:rsid w:val="00B51CF4"/>
    <w:rsid w:val="00B56BB2"/>
    <w:rsid w:val="00B6393F"/>
    <w:rsid w:val="00B7143F"/>
    <w:rsid w:val="00B72D89"/>
    <w:rsid w:val="00B84F90"/>
    <w:rsid w:val="00B85739"/>
    <w:rsid w:val="00BA5C0A"/>
    <w:rsid w:val="00BD0273"/>
    <w:rsid w:val="00BD5208"/>
    <w:rsid w:val="00BF3BA1"/>
    <w:rsid w:val="00C21E6E"/>
    <w:rsid w:val="00C675FC"/>
    <w:rsid w:val="00C83617"/>
    <w:rsid w:val="00C87E99"/>
    <w:rsid w:val="00CA11DA"/>
    <w:rsid w:val="00CA52F8"/>
    <w:rsid w:val="00CC0F01"/>
    <w:rsid w:val="00CC5BDA"/>
    <w:rsid w:val="00CE4C19"/>
    <w:rsid w:val="00CE5A8F"/>
    <w:rsid w:val="00CF5CB2"/>
    <w:rsid w:val="00D04A11"/>
    <w:rsid w:val="00D23823"/>
    <w:rsid w:val="00D474F4"/>
    <w:rsid w:val="00D648B6"/>
    <w:rsid w:val="00D75321"/>
    <w:rsid w:val="00D83A86"/>
    <w:rsid w:val="00D83DA4"/>
    <w:rsid w:val="00DA221B"/>
    <w:rsid w:val="00DA3E40"/>
    <w:rsid w:val="00DA7572"/>
    <w:rsid w:val="00DC662F"/>
    <w:rsid w:val="00DF0EBE"/>
    <w:rsid w:val="00E03F14"/>
    <w:rsid w:val="00E70FA3"/>
    <w:rsid w:val="00E8672E"/>
    <w:rsid w:val="00E95F12"/>
    <w:rsid w:val="00E962B1"/>
    <w:rsid w:val="00EA178B"/>
    <w:rsid w:val="00EB6B82"/>
    <w:rsid w:val="00EC3D7D"/>
    <w:rsid w:val="00EC4048"/>
    <w:rsid w:val="00ED7AB5"/>
    <w:rsid w:val="00EE22F2"/>
    <w:rsid w:val="00EF2CE8"/>
    <w:rsid w:val="00EF6354"/>
    <w:rsid w:val="00F00EFA"/>
    <w:rsid w:val="00F75724"/>
    <w:rsid w:val="00F87A9C"/>
    <w:rsid w:val="00F96264"/>
    <w:rsid w:val="00FD673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96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8251A9"/>
    <w:pPr>
      <w:keepNext/>
      <w:keepLines/>
      <w:spacing w:before="360"/>
      <w:ind w:left="794" w:hanging="794"/>
      <w:outlineLvl w:val="0"/>
    </w:pPr>
    <w:rPr>
      <w:b/>
    </w:rPr>
  </w:style>
  <w:style w:type="paragraph" w:styleId="Heading2">
    <w:name w:val="heading 2"/>
    <w:basedOn w:val="Heading1"/>
    <w:next w:val="Normal"/>
    <w:link w:val="Heading2Char"/>
    <w:qFormat/>
    <w:rsid w:val="008251A9"/>
    <w:pPr>
      <w:spacing w:before="240"/>
      <w:outlineLvl w:val="1"/>
    </w:pPr>
  </w:style>
  <w:style w:type="paragraph" w:styleId="Heading3">
    <w:name w:val="heading 3"/>
    <w:basedOn w:val="Heading1"/>
    <w:next w:val="Normal"/>
    <w:link w:val="Heading3Char"/>
    <w:qFormat/>
    <w:rsid w:val="008251A9"/>
    <w:pPr>
      <w:spacing w:before="160"/>
      <w:outlineLvl w:val="2"/>
    </w:pPr>
  </w:style>
  <w:style w:type="paragraph" w:styleId="Heading4">
    <w:name w:val="heading 4"/>
    <w:basedOn w:val="Heading3"/>
    <w:next w:val="Normal"/>
    <w:link w:val="Heading4Char"/>
    <w:qFormat/>
    <w:rsid w:val="008251A9"/>
    <w:pPr>
      <w:tabs>
        <w:tab w:val="clear" w:pos="794"/>
        <w:tab w:val="left" w:pos="1021"/>
      </w:tabs>
      <w:ind w:left="1021" w:hanging="1021"/>
      <w:outlineLvl w:val="3"/>
    </w:pPr>
  </w:style>
  <w:style w:type="paragraph" w:styleId="Heading5">
    <w:name w:val="heading 5"/>
    <w:basedOn w:val="Heading4"/>
    <w:next w:val="Normal"/>
    <w:link w:val="Heading5Char"/>
    <w:qFormat/>
    <w:rsid w:val="008251A9"/>
    <w:pPr>
      <w:outlineLvl w:val="4"/>
    </w:pPr>
  </w:style>
  <w:style w:type="paragraph" w:styleId="Heading6">
    <w:name w:val="heading 6"/>
    <w:basedOn w:val="Heading4"/>
    <w:next w:val="Normal"/>
    <w:link w:val="Heading6Char"/>
    <w:qFormat/>
    <w:rsid w:val="008251A9"/>
    <w:pPr>
      <w:tabs>
        <w:tab w:val="clear" w:pos="1021"/>
        <w:tab w:val="clear" w:pos="1191"/>
      </w:tabs>
      <w:ind w:left="1588" w:hanging="1588"/>
      <w:outlineLvl w:val="5"/>
    </w:pPr>
  </w:style>
  <w:style w:type="paragraph" w:styleId="Heading7">
    <w:name w:val="heading 7"/>
    <w:basedOn w:val="Heading6"/>
    <w:next w:val="Normal"/>
    <w:link w:val="Heading7Char"/>
    <w:qFormat/>
    <w:rsid w:val="008251A9"/>
    <w:pPr>
      <w:outlineLvl w:val="6"/>
    </w:pPr>
  </w:style>
  <w:style w:type="paragraph" w:styleId="Heading8">
    <w:name w:val="heading 8"/>
    <w:basedOn w:val="Heading6"/>
    <w:next w:val="Normal"/>
    <w:link w:val="Heading8Char"/>
    <w:qFormat/>
    <w:rsid w:val="008251A9"/>
    <w:pPr>
      <w:outlineLvl w:val="7"/>
    </w:pPr>
  </w:style>
  <w:style w:type="paragraph" w:styleId="Heading9">
    <w:name w:val="heading 9"/>
    <w:basedOn w:val="Heading6"/>
    <w:next w:val="Normal"/>
    <w:link w:val="Heading9Char"/>
    <w:qFormat/>
    <w:rsid w:val="008251A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251A9"/>
  </w:style>
  <w:style w:type="paragraph" w:styleId="TOC4">
    <w:name w:val="toc 4"/>
    <w:basedOn w:val="TOC3"/>
    <w:semiHidden/>
    <w:rsid w:val="008251A9"/>
  </w:style>
  <w:style w:type="paragraph" w:styleId="TOC3">
    <w:name w:val="toc 3"/>
    <w:basedOn w:val="TOC2"/>
    <w:semiHidden/>
    <w:rsid w:val="008251A9"/>
  </w:style>
  <w:style w:type="paragraph" w:styleId="TOC2">
    <w:name w:val="toc 2"/>
    <w:basedOn w:val="TOC1"/>
    <w:semiHidden/>
    <w:rsid w:val="008251A9"/>
    <w:pPr>
      <w:spacing w:before="80"/>
      <w:ind w:left="1531" w:hanging="851"/>
    </w:pPr>
  </w:style>
  <w:style w:type="paragraph" w:styleId="TOC1">
    <w:name w:val="toc 1"/>
    <w:basedOn w:val="Normal"/>
    <w:semiHidden/>
    <w:rsid w:val="008251A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8251A9"/>
  </w:style>
  <w:style w:type="paragraph" w:styleId="TOC6">
    <w:name w:val="toc 6"/>
    <w:basedOn w:val="TOC4"/>
    <w:semiHidden/>
    <w:rsid w:val="008251A9"/>
  </w:style>
  <w:style w:type="paragraph" w:styleId="TOC5">
    <w:name w:val="toc 5"/>
    <w:basedOn w:val="TOC4"/>
    <w:semiHidden/>
    <w:rsid w:val="008251A9"/>
  </w:style>
  <w:style w:type="paragraph" w:customStyle="1" w:styleId="FigureNotitle">
    <w:name w:val="Figure_No &amp; title"/>
    <w:basedOn w:val="Normal"/>
    <w:next w:val="Normalaftertitle"/>
    <w:rsid w:val="008251A9"/>
    <w:pPr>
      <w:keepLines/>
      <w:spacing w:before="240" w:after="120"/>
      <w:jc w:val="center"/>
    </w:pPr>
    <w:rPr>
      <w:b/>
    </w:rPr>
  </w:style>
  <w:style w:type="paragraph" w:customStyle="1" w:styleId="Normalaftertitle">
    <w:name w:val="Normal_after_title"/>
    <w:basedOn w:val="Normal"/>
    <w:next w:val="Normal"/>
    <w:rsid w:val="008251A9"/>
    <w:pPr>
      <w:spacing w:before="360"/>
    </w:pPr>
  </w:style>
  <w:style w:type="paragraph" w:customStyle="1" w:styleId="TabletitleBR">
    <w:name w:val="Table_title_BR"/>
    <w:basedOn w:val="Normal"/>
    <w:next w:val="Tablehead"/>
    <w:rsid w:val="008251A9"/>
    <w:pPr>
      <w:keepNext/>
      <w:keepLines/>
      <w:spacing w:before="0" w:after="120"/>
      <w:jc w:val="center"/>
    </w:pPr>
    <w:rPr>
      <w:b/>
    </w:rPr>
  </w:style>
  <w:style w:type="paragraph" w:customStyle="1" w:styleId="Tablehead">
    <w:name w:val="Table_head"/>
    <w:basedOn w:val="Normal"/>
    <w:next w:val="Tabletext"/>
    <w:rsid w:val="008251A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825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8251A9"/>
    <w:pPr>
      <w:keepNext/>
      <w:keepLines/>
      <w:spacing w:before="480"/>
      <w:jc w:val="center"/>
    </w:pPr>
    <w:rPr>
      <w:b/>
      <w:sz w:val="28"/>
    </w:rPr>
  </w:style>
  <w:style w:type="paragraph" w:customStyle="1" w:styleId="AppendixNotitle">
    <w:name w:val="Appendix_No &amp; title"/>
    <w:basedOn w:val="AnnexNotitle"/>
    <w:next w:val="Normalaftertitle"/>
    <w:rsid w:val="008251A9"/>
  </w:style>
  <w:style w:type="paragraph" w:styleId="Index3">
    <w:name w:val="index 3"/>
    <w:basedOn w:val="Normal"/>
    <w:next w:val="Normal"/>
    <w:semiHidden/>
    <w:rsid w:val="008251A9"/>
    <w:pPr>
      <w:ind w:left="566"/>
    </w:pPr>
  </w:style>
  <w:style w:type="paragraph" w:styleId="Index2">
    <w:name w:val="index 2"/>
    <w:basedOn w:val="Normal"/>
    <w:next w:val="Normal"/>
    <w:semiHidden/>
    <w:rsid w:val="008251A9"/>
    <w:pPr>
      <w:ind w:left="283"/>
    </w:pPr>
  </w:style>
  <w:style w:type="paragraph" w:styleId="Index1">
    <w:name w:val="index 1"/>
    <w:basedOn w:val="Normal"/>
    <w:next w:val="Normal"/>
    <w:semiHidden/>
    <w:rsid w:val="008251A9"/>
  </w:style>
  <w:style w:type="paragraph" w:customStyle="1" w:styleId="FiguretitleBR">
    <w:name w:val="Figure_title_BR"/>
    <w:basedOn w:val="TabletitleBR"/>
    <w:next w:val="Figurewithouttitle"/>
    <w:rsid w:val="008251A9"/>
    <w:pPr>
      <w:keepNext w:val="0"/>
      <w:spacing w:after="480"/>
    </w:pPr>
  </w:style>
  <w:style w:type="paragraph" w:customStyle="1" w:styleId="Figure">
    <w:name w:val="Figure"/>
    <w:basedOn w:val="Normal"/>
    <w:next w:val="FigureNotitle"/>
    <w:rsid w:val="008251A9"/>
    <w:pPr>
      <w:keepNext/>
      <w:keepLines/>
      <w:spacing w:before="240" w:after="120"/>
      <w:jc w:val="center"/>
    </w:pPr>
  </w:style>
  <w:style w:type="paragraph" w:styleId="Footer">
    <w:name w:val="footer"/>
    <w:basedOn w:val="Normal"/>
    <w:link w:val="FooterChar"/>
    <w:rsid w:val="008251A9"/>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encabezado"/>
    <w:basedOn w:val="Normal"/>
    <w:link w:val="HeaderChar"/>
    <w:uiPriority w:val="99"/>
    <w:rsid w:val="008251A9"/>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rsid w:val="008251A9"/>
    <w:rPr>
      <w:position w:val="6"/>
      <w:sz w:val="18"/>
    </w:rPr>
  </w:style>
  <w:style w:type="paragraph" w:styleId="FootnoteText">
    <w:name w:val="footnote text"/>
    <w:aliases w:val="footnote text"/>
    <w:basedOn w:val="Note"/>
    <w:link w:val="FootnoteTextChar"/>
    <w:rsid w:val="008251A9"/>
    <w:pPr>
      <w:keepLines/>
      <w:tabs>
        <w:tab w:val="left" w:pos="255"/>
      </w:tabs>
      <w:ind w:left="255" w:hanging="255"/>
    </w:pPr>
  </w:style>
  <w:style w:type="paragraph" w:customStyle="1" w:styleId="Note">
    <w:name w:val="Note"/>
    <w:basedOn w:val="Normal"/>
    <w:rsid w:val="008251A9"/>
    <w:pPr>
      <w:spacing w:before="80"/>
    </w:pPr>
  </w:style>
  <w:style w:type="paragraph" w:customStyle="1" w:styleId="FooterQP">
    <w:name w:val="Footer_QP"/>
    <w:basedOn w:val="Normal"/>
    <w:rsid w:val="008251A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rsid w:val="008251A9"/>
    <w:pPr>
      <w:spacing w:before="80"/>
      <w:ind w:left="794" w:hanging="794"/>
    </w:pPr>
  </w:style>
  <w:style w:type="paragraph" w:customStyle="1" w:styleId="enumlev2">
    <w:name w:val="enumlev2"/>
    <w:basedOn w:val="enumlev1"/>
    <w:rsid w:val="008251A9"/>
    <w:pPr>
      <w:ind w:left="1191" w:hanging="397"/>
    </w:pPr>
  </w:style>
  <w:style w:type="paragraph" w:customStyle="1" w:styleId="enumlev3">
    <w:name w:val="enumlev3"/>
    <w:basedOn w:val="enumlev2"/>
    <w:rsid w:val="008251A9"/>
    <w:pPr>
      <w:ind w:left="1588"/>
    </w:pPr>
  </w:style>
  <w:style w:type="paragraph" w:customStyle="1" w:styleId="Equation">
    <w:name w:val="Equation"/>
    <w:basedOn w:val="Normal"/>
    <w:rsid w:val="008251A9"/>
    <w:pPr>
      <w:tabs>
        <w:tab w:val="clear" w:pos="1191"/>
        <w:tab w:val="clear" w:pos="1588"/>
        <w:tab w:val="clear" w:pos="1985"/>
        <w:tab w:val="center" w:pos="4820"/>
        <w:tab w:val="right" w:pos="9639"/>
      </w:tabs>
    </w:pPr>
  </w:style>
  <w:style w:type="paragraph" w:customStyle="1" w:styleId="Head">
    <w:name w:val="Head"/>
    <w:basedOn w:val="Normal"/>
    <w:rsid w:val="008251A9"/>
    <w:pPr>
      <w:tabs>
        <w:tab w:val="clear" w:pos="794"/>
        <w:tab w:val="clear" w:pos="1191"/>
        <w:tab w:val="clear" w:pos="1588"/>
        <w:tab w:val="clear" w:pos="1985"/>
        <w:tab w:val="left" w:pos="6663"/>
      </w:tabs>
      <w:spacing w:before="0"/>
    </w:pPr>
  </w:style>
  <w:style w:type="paragraph" w:customStyle="1" w:styleId="toc0">
    <w:name w:val="toc 0"/>
    <w:basedOn w:val="Normal"/>
    <w:next w:val="TOC1"/>
    <w:rsid w:val="008251A9"/>
    <w:pPr>
      <w:tabs>
        <w:tab w:val="clear" w:pos="794"/>
        <w:tab w:val="clear" w:pos="1191"/>
        <w:tab w:val="clear" w:pos="1588"/>
        <w:tab w:val="clear" w:pos="1985"/>
        <w:tab w:val="right" w:pos="9639"/>
      </w:tabs>
    </w:pPr>
    <w:rPr>
      <w:b/>
    </w:rPr>
  </w:style>
  <w:style w:type="paragraph" w:styleId="List">
    <w:name w:val="List"/>
    <w:basedOn w:val="Normal"/>
    <w:rsid w:val="008251A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251A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251A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251A9"/>
    <w:pPr>
      <w:tabs>
        <w:tab w:val="clear" w:pos="794"/>
        <w:tab w:val="clear" w:pos="1191"/>
        <w:tab w:val="clear" w:pos="1588"/>
        <w:tab w:val="clear" w:pos="1985"/>
        <w:tab w:val="left" w:pos="4820"/>
        <w:tab w:val="left" w:pos="5529"/>
      </w:tabs>
      <w:ind w:left="794"/>
    </w:pPr>
  </w:style>
  <w:style w:type="paragraph" w:customStyle="1" w:styleId="itu">
    <w:name w:val="itu"/>
    <w:basedOn w:val="Normal"/>
    <w:rsid w:val="008251A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8251A9"/>
    <w:pPr>
      <w:tabs>
        <w:tab w:val="clear" w:pos="1191"/>
        <w:tab w:val="clear" w:pos="1588"/>
      </w:tabs>
      <w:ind w:left="794" w:hanging="794"/>
    </w:pPr>
  </w:style>
  <w:style w:type="paragraph" w:customStyle="1" w:styleId="Qlist">
    <w:name w:val="Qlist"/>
    <w:basedOn w:val="Normal"/>
    <w:rsid w:val="008251A9"/>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251A9"/>
    <w:pPr>
      <w:tabs>
        <w:tab w:val="left" w:pos="7371"/>
      </w:tabs>
      <w:spacing w:after="560"/>
    </w:pPr>
  </w:style>
  <w:style w:type="paragraph" w:customStyle="1" w:styleId="FirstFooter">
    <w:name w:val="FirstFooter"/>
    <w:basedOn w:val="Footer"/>
    <w:rsid w:val="008251A9"/>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8251A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8251A9"/>
  </w:style>
  <w:style w:type="character" w:styleId="Hyperlink">
    <w:name w:val="Hyperlink"/>
    <w:basedOn w:val="DefaultParagraphFont"/>
    <w:rsid w:val="008251A9"/>
    <w:rPr>
      <w:color w:val="0000FF"/>
      <w:u w:val="single"/>
    </w:rPr>
  </w:style>
  <w:style w:type="paragraph" w:customStyle="1" w:styleId="Formal">
    <w:name w:val="Formal"/>
    <w:basedOn w:val="ASN1"/>
    <w:rsid w:val="008251A9"/>
    <w:rPr>
      <w:b w:val="0"/>
    </w:rPr>
  </w:style>
  <w:style w:type="character" w:styleId="PageNumber">
    <w:name w:val="page number"/>
    <w:basedOn w:val="DefaultParagraphFont"/>
    <w:rsid w:val="008251A9"/>
  </w:style>
  <w:style w:type="paragraph" w:customStyle="1" w:styleId="RecNoBR">
    <w:name w:val="Rec_No_BR"/>
    <w:basedOn w:val="Normal"/>
    <w:next w:val="Rectitle"/>
    <w:rsid w:val="008251A9"/>
    <w:pPr>
      <w:keepNext/>
      <w:keepLines/>
      <w:spacing w:before="480"/>
      <w:jc w:val="center"/>
    </w:pPr>
    <w:rPr>
      <w:caps/>
      <w:sz w:val="28"/>
    </w:rPr>
  </w:style>
  <w:style w:type="paragraph" w:customStyle="1" w:styleId="Rectitle">
    <w:name w:val="Rec_title"/>
    <w:basedOn w:val="Normal"/>
    <w:next w:val="Normalaftertitle"/>
    <w:rsid w:val="008251A9"/>
    <w:pPr>
      <w:keepNext/>
      <w:keepLines/>
      <w:spacing w:before="360"/>
      <w:jc w:val="center"/>
    </w:pPr>
    <w:rPr>
      <w:b/>
      <w:sz w:val="28"/>
    </w:rPr>
  </w:style>
  <w:style w:type="character" w:customStyle="1" w:styleId="Appdef">
    <w:name w:val="App_def"/>
    <w:basedOn w:val="DefaultParagraphFont"/>
    <w:rsid w:val="008251A9"/>
    <w:rPr>
      <w:rFonts w:ascii="Times New Roman" w:hAnsi="Times New Roman"/>
      <w:b/>
    </w:rPr>
  </w:style>
  <w:style w:type="character" w:customStyle="1" w:styleId="Appref">
    <w:name w:val="App_ref"/>
    <w:basedOn w:val="DefaultParagraphFont"/>
    <w:rsid w:val="008251A9"/>
  </w:style>
  <w:style w:type="paragraph" w:customStyle="1" w:styleId="QuestionNoBR">
    <w:name w:val="Question_No_BR"/>
    <w:basedOn w:val="RecNoBR"/>
    <w:next w:val="Questiontitle"/>
    <w:rsid w:val="008251A9"/>
  </w:style>
  <w:style w:type="paragraph" w:customStyle="1" w:styleId="Questiontitle">
    <w:name w:val="Question_title"/>
    <w:basedOn w:val="Rectitle"/>
    <w:next w:val="Questionref"/>
    <w:rsid w:val="008251A9"/>
  </w:style>
  <w:style w:type="paragraph" w:customStyle="1" w:styleId="Questionref">
    <w:name w:val="Question_ref"/>
    <w:basedOn w:val="Recref"/>
    <w:next w:val="Questiondate"/>
    <w:rsid w:val="008251A9"/>
  </w:style>
  <w:style w:type="paragraph" w:customStyle="1" w:styleId="Recref">
    <w:name w:val="Rec_ref"/>
    <w:basedOn w:val="Normal"/>
    <w:next w:val="Recdate"/>
    <w:rsid w:val="008251A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8251A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8251A9"/>
  </w:style>
  <w:style w:type="paragraph" w:customStyle="1" w:styleId="RepNoBR">
    <w:name w:val="Rep_No_BR"/>
    <w:basedOn w:val="RecNoBR"/>
    <w:next w:val="Reptitle"/>
    <w:rsid w:val="008251A9"/>
  </w:style>
  <w:style w:type="paragraph" w:customStyle="1" w:styleId="Reptitle">
    <w:name w:val="Rep_title"/>
    <w:basedOn w:val="Rectitle"/>
    <w:next w:val="Repref"/>
    <w:rsid w:val="008251A9"/>
  </w:style>
  <w:style w:type="paragraph" w:customStyle="1" w:styleId="Repref">
    <w:name w:val="Rep_ref"/>
    <w:basedOn w:val="Recref"/>
    <w:next w:val="Repdate"/>
    <w:rsid w:val="008251A9"/>
  </w:style>
  <w:style w:type="paragraph" w:customStyle="1" w:styleId="Repdate">
    <w:name w:val="Rep_date"/>
    <w:basedOn w:val="Recdate"/>
    <w:next w:val="Normalaftertitle"/>
    <w:rsid w:val="008251A9"/>
  </w:style>
  <w:style w:type="paragraph" w:customStyle="1" w:styleId="ResNoBR">
    <w:name w:val="Res_No_BR"/>
    <w:basedOn w:val="RecNoBR"/>
    <w:next w:val="Restitle"/>
    <w:rsid w:val="008251A9"/>
  </w:style>
  <w:style w:type="paragraph" w:customStyle="1" w:styleId="Restitle">
    <w:name w:val="Res_title"/>
    <w:basedOn w:val="Rectitle"/>
    <w:next w:val="Resref"/>
    <w:rsid w:val="008251A9"/>
  </w:style>
  <w:style w:type="paragraph" w:customStyle="1" w:styleId="Resref">
    <w:name w:val="Res_ref"/>
    <w:basedOn w:val="Recref"/>
    <w:next w:val="Resdate"/>
    <w:rsid w:val="008251A9"/>
  </w:style>
  <w:style w:type="paragraph" w:customStyle="1" w:styleId="Resdate">
    <w:name w:val="Res_date"/>
    <w:basedOn w:val="Recdate"/>
    <w:next w:val="Normalaftertitle"/>
    <w:rsid w:val="008251A9"/>
  </w:style>
  <w:style w:type="character" w:customStyle="1" w:styleId="Artdef">
    <w:name w:val="Art_def"/>
    <w:basedOn w:val="DefaultParagraphFont"/>
    <w:rsid w:val="008251A9"/>
    <w:rPr>
      <w:rFonts w:ascii="Times New Roman" w:hAnsi="Times New Roman"/>
      <w:b/>
    </w:rPr>
  </w:style>
  <w:style w:type="paragraph" w:customStyle="1" w:styleId="Artheading">
    <w:name w:val="Art_heading"/>
    <w:basedOn w:val="Normal"/>
    <w:next w:val="Normalaftertitle"/>
    <w:rsid w:val="008251A9"/>
    <w:pPr>
      <w:spacing w:before="480"/>
      <w:jc w:val="center"/>
    </w:pPr>
    <w:rPr>
      <w:b/>
      <w:sz w:val="28"/>
    </w:rPr>
  </w:style>
  <w:style w:type="paragraph" w:customStyle="1" w:styleId="ArtNo">
    <w:name w:val="Art_No"/>
    <w:basedOn w:val="Normal"/>
    <w:next w:val="Arttitle"/>
    <w:rsid w:val="008251A9"/>
    <w:pPr>
      <w:keepNext/>
      <w:keepLines/>
      <w:spacing w:before="480"/>
      <w:jc w:val="center"/>
    </w:pPr>
    <w:rPr>
      <w:caps/>
      <w:sz w:val="28"/>
    </w:rPr>
  </w:style>
  <w:style w:type="paragraph" w:customStyle="1" w:styleId="Arttitle">
    <w:name w:val="Art_title"/>
    <w:basedOn w:val="Normal"/>
    <w:next w:val="Normalaftertitle"/>
    <w:rsid w:val="008251A9"/>
    <w:pPr>
      <w:keepNext/>
      <w:keepLines/>
      <w:spacing w:before="240"/>
      <w:jc w:val="center"/>
    </w:pPr>
    <w:rPr>
      <w:b/>
      <w:sz w:val="28"/>
    </w:rPr>
  </w:style>
  <w:style w:type="character" w:customStyle="1" w:styleId="Artref">
    <w:name w:val="Art_ref"/>
    <w:basedOn w:val="DefaultParagraphFont"/>
    <w:rsid w:val="008251A9"/>
  </w:style>
  <w:style w:type="paragraph" w:customStyle="1" w:styleId="Call">
    <w:name w:val="Call"/>
    <w:basedOn w:val="Normal"/>
    <w:next w:val="Normal"/>
    <w:rsid w:val="008251A9"/>
    <w:pPr>
      <w:keepNext/>
      <w:keepLines/>
      <w:spacing w:before="160"/>
      <w:ind w:left="794"/>
    </w:pPr>
    <w:rPr>
      <w:i/>
    </w:rPr>
  </w:style>
  <w:style w:type="paragraph" w:customStyle="1" w:styleId="ChapNo">
    <w:name w:val="Chap_No"/>
    <w:basedOn w:val="Normal"/>
    <w:next w:val="Chaptitle"/>
    <w:rsid w:val="008251A9"/>
    <w:pPr>
      <w:keepNext/>
      <w:keepLines/>
      <w:spacing w:before="480"/>
      <w:jc w:val="center"/>
    </w:pPr>
    <w:rPr>
      <w:b/>
      <w:caps/>
      <w:sz w:val="28"/>
    </w:rPr>
  </w:style>
  <w:style w:type="paragraph" w:customStyle="1" w:styleId="Chaptitle">
    <w:name w:val="Chap_title"/>
    <w:basedOn w:val="Normal"/>
    <w:next w:val="Normalaftertitle"/>
    <w:rsid w:val="008251A9"/>
    <w:pPr>
      <w:keepNext/>
      <w:keepLines/>
      <w:spacing w:before="240"/>
      <w:jc w:val="center"/>
    </w:pPr>
    <w:rPr>
      <w:b/>
      <w:sz w:val="28"/>
    </w:rPr>
  </w:style>
  <w:style w:type="character" w:styleId="EndnoteReference">
    <w:name w:val="endnote reference"/>
    <w:basedOn w:val="DefaultParagraphFont"/>
    <w:semiHidden/>
    <w:rsid w:val="008251A9"/>
    <w:rPr>
      <w:vertAlign w:val="superscript"/>
    </w:rPr>
  </w:style>
  <w:style w:type="paragraph" w:customStyle="1" w:styleId="Equationlegend">
    <w:name w:val="Equation_legend"/>
    <w:basedOn w:val="Normal"/>
    <w:rsid w:val="008251A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251A9"/>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8251A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251A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8251A9"/>
    <w:pPr>
      <w:keepNext/>
      <w:keepLines/>
      <w:spacing w:before="360" w:after="120"/>
      <w:jc w:val="center"/>
    </w:pPr>
    <w:rPr>
      <w:b/>
    </w:rPr>
  </w:style>
  <w:style w:type="paragraph" w:customStyle="1" w:styleId="Figurewithouttitle">
    <w:name w:val="Figure_without_title"/>
    <w:basedOn w:val="Normal"/>
    <w:next w:val="Normalaftertitle"/>
    <w:rsid w:val="008251A9"/>
    <w:pPr>
      <w:keepLines/>
      <w:spacing w:before="240" w:after="120"/>
      <w:jc w:val="center"/>
    </w:pPr>
  </w:style>
  <w:style w:type="paragraph" w:customStyle="1" w:styleId="Headingb">
    <w:name w:val="Heading_b"/>
    <w:basedOn w:val="Normal"/>
    <w:next w:val="Normal"/>
    <w:rsid w:val="008251A9"/>
    <w:pPr>
      <w:keepNext/>
      <w:spacing w:before="160"/>
    </w:pPr>
    <w:rPr>
      <w:b/>
    </w:rPr>
  </w:style>
  <w:style w:type="paragraph" w:customStyle="1" w:styleId="Headingi">
    <w:name w:val="Heading_i"/>
    <w:basedOn w:val="Normal"/>
    <w:next w:val="Normal"/>
    <w:rsid w:val="008251A9"/>
    <w:pPr>
      <w:keepNext/>
      <w:spacing w:before="160"/>
    </w:pPr>
    <w:rPr>
      <w:i/>
    </w:rPr>
  </w:style>
  <w:style w:type="paragraph" w:customStyle="1" w:styleId="PartNo">
    <w:name w:val="Part_No"/>
    <w:basedOn w:val="Normal"/>
    <w:next w:val="Partref"/>
    <w:rsid w:val="008251A9"/>
    <w:pPr>
      <w:keepNext/>
      <w:keepLines/>
      <w:spacing w:before="480" w:after="80"/>
      <w:jc w:val="center"/>
    </w:pPr>
    <w:rPr>
      <w:caps/>
      <w:sz w:val="28"/>
    </w:rPr>
  </w:style>
  <w:style w:type="paragraph" w:customStyle="1" w:styleId="Partref">
    <w:name w:val="Part_ref"/>
    <w:basedOn w:val="Normal"/>
    <w:next w:val="Parttitle"/>
    <w:rsid w:val="008251A9"/>
    <w:pPr>
      <w:keepNext/>
      <w:keepLines/>
      <w:spacing w:before="280"/>
      <w:jc w:val="center"/>
    </w:pPr>
  </w:style>
  <w:style w:type="paragraph" w:customStyle="1" w:styleId="Parttitle">
    <w:name w:val="Part_title"/>
    <w:basedOn w:val="Normal"/>
    <w:next w:val="Normalaftertitle"/>
    <w:rsid w:val="008251A9"/>
    <w:pPr>
      <w:keepNext/>
      <w:keepLines/>
      <w:spacing w:before="240" w:after="280"/>
      <w:jc w:val="center"/>
    </w:pPr>
    <w:rPr>
      <w:b/>
      <w:sz w:val="28"/>
    </w:rPr>
  </w:style>
  <w:style w:type="paragraph" w:customStyle="1" w:styleId="RecNo">
    <w:name w:val="Rec_No"/>
    <w:basedOn w:val="Normal"/>
    <w:next w:val="Rectitle"/>
    <w:rsid w:val="008251A9"/>
    <w:pPr>
      <w:keepNext/>
      <w:keepLines/>
      <w:spacing w:before="0"/>
    </w:pPr>
    <w:rPr>
      <w:b/>
      <w:sz w:val="28"/>
    </w:rPr>
  </w:style>
  <w:style w:type="paragraph" w:customStyle="1" w:styleId="QuestionNo">
    <w:name w:val="Question_No"/>
    <w:basedOn w:val="RecNo"/>
    <w:next w:val="Questiontitle"/>
    <w:rsid w:val="008251A9"/>
  </w:style>
  <w:style w:type="character" w:customStyle="1" w:styleId="Recdef">
    <w:name w:val="Rec_def"/>
    <w:basedOn w:val="DefaultParagraphFont"/>
    <w:rsid w:val="008251A9"/>
    <w:rPr>
      <w:b/>
    </w:rPr>
  </w:style>
  <w:style w:type="paragraph" w:customStyle="1" w:styleId="Reftext">
    <w:name w:val="Ref_text"/>
    <w:basedOn w:val="Normal"/>
    <w:rsid w:val="008251A9"/>
    <w:pPr>
      <w:ind w:left="794" w:hanging="794"/>
    </w:pPr>
  </w:style>
  <w:style w:type="paragraph" w:customStyle="1" w:styleId="Reftitle">
    <w:name w:val="Ref_title"/>
    <w:basedOn w:val="Normal"/>
    <w:next w:val="Reftext"/>
    <w:rsid w:val="008251A9"/>
    <w:pPr>
      <w:spacing w:before="480"/>
      <w:jc w:val="center"/>
    </w:pPr>
    <w:rPr>
      <w:b/>
    </w:rPr>
  </w:style>
  <w:style w:type="paragraph" w:customStyle="1" w:styleId="RepNo">
    <w:name w:val="Rep_No"/>
    <w:basedOn w:val="RecNo"/>
    <w:next w:val="Reptitle"/>
    <w:rsid w:val="008251A9"/>
  </w:style>
  <w:style w:type="character" w:customStyle="1" w:styleId="Resdef">
    <w:name w:val="Res_def"/>
    <w:basedOn w:val="DefaultParagraphFont"/>
    <w:rsid w:val="008251A9"/>
    <w:rPr>
      <w:rFonts w:ascii="Times New Roman" w:hAnsi="Times New Roman"/>
      <w:b/>
    </w:rPr>
  </w:style>
  <w:style w:type="paragraph" w:customStyle="1" w:styleId="ResNo">
    <w:name w:val="Res_No"/>
    <w:basedOn w:val="RecNo"/>
    <w:next w:val="Restitle"/>
    <w:rsid w:val="008251A9"/>
  </w:style>
  <w:style w:type="paragraph" w:customStyle="1" w:styleId="SectionNo">
    <w:name w:val="Section_No"/>
    <w:basedOn w:val="Normal"/>
    <w:next w:val="Sectiontitle"/>
    <w:rsid w:val="008251A9"/>
    <w:pPr>
      <w:keepNext/>
      <w:keepLines/>
      <w:spacing w:before="480" w:after="80"/>
      <w:jc w:val="center"/>
    </w:pPr>
    <w:rPr>
      <w:caps/>
      <w:sz w:val="28"/>
    </w:rPr>
  </w:style>
  <w:style w:type="paragraph" w:customStyle="1" w:styleId="Sectiontitle">
    <w:name w:val="Section_title"/>
    <w:basedOn w:val="Normal"/>
    <w:next w:val="Normalaftertitle"/>
    <w:rsid w:val="008251A9"/>
    <w:pPr>
      <w:keepNext/>
      <w:keepLines/>
      <w:spacing w:before="480" w:after="280"/>
      <w:jc w:val="center"/>
    </w:pPr>
    <w:rPr>
      <w:b/>
      <w:sz w:val="28"/>
    </w:rPr>
  </w:style>
  <w:style w:type="paragraph" w:customStyle="1" w:styleId="Source">
    <w:name w:val="Source"/>
    <w:basedOn w:val="Normal"/>
    <w:next w:val="Normalaftertitle"/>
    <w:rsid w:val="008251A9"/>
    <w:pPr>
      <w:spacing w:before="840" w:after="200"/>
      <w:jc w:val="center"/>
    </w:pPr>
    <w:rPr>
      <w:b/>
      <w:sz w:val="28"/>
    </w:rPr>
  </w:style>
  <w:style w:type="paragraph" w:customStyle="1" w:styleId="SpecialFooter">
    <w:name w:val="Special Footer"/>
    <w:basedOn w:val="Footer"/>
    <w:rsid w:val="008251A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8251A9"/>
    <w:rPr>
      <w:b/>
      <w:color w:val="auto"/>
    </w:rPr>
  </w:style>
  <w:style w:type="paragraph" w:customStyle="1" w:styleId="Tablelegend">
    <w:name w:val="Table_legend"/>
    <w:basedOn w:val="Normal"/>
    <w:rsid w:val="00825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8251A9"/>
    <w:pPr>
      <w:keepNext/>
      <w:spacing w:before="560" w:after="120"/>
      <w:jc w:val="center"/>
    </w:pPr>
    <w:rPr>
      <w:caps/>
    </w:rPr>
  </w:style>
  <w:style w:type="paragraph" w:customStyle="1" w:styleId="Tableref">
    <w:name w:val="Table_ref"/>
    <w:basedOn w:val="Normal"/>
    <w:next w:val="TabletitleBR"/>
    <w:rsid w:val="008251A9"/>
    <w:pPr>
      <w:keepNext/>
      <w:spacing w:before="0" w:after="120"/>
      <w:jc w:val="center"/>
    </w:pPr>
  </w:style>
  <w:style w:type="paragraph" w:customStyle="1" w:styleId="Title1">
    <w:name w:val="Title 1"/>
    <w:basedOn w:val="Source"/>
    <w:next w:val="Title2"/>
    <w:rsid w:val="008251A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251A9"/>
  </w:style>
  <w:style w:type="paragraph" w:customStyle="1" w:styleId="Title3">
    <w:name w:val="Title 3"/>
    <w:basedOn w:val="Title2"/>
    <w:next w:val="Title4"/>
    <w:rsid w:val="008251A9"/>
    <w:rPr>
      <w:caps w:val="0"/>
    </w:rPr>
  </w:style>
  <w:style w:type="paragraph" w:customStyle="1" w:styleId="Title4">
    <w:name w:val="Title 4"/>
    <w:basedOn w:val="Title3"/>
    <w:next w:val="Heading1"/>
    <w:rsid w:val="008251A9"/>
    <w:rPr>
      <w:b/>
    </w:rPr>
  </w:style>
  <w:style w:type="paragraph" w:customStyle="1" w:styleId="FigureNoBR">
    <w:name w:val="Figure_No_BR"/>
    <w:basedOn w:val="Normal"/>
    <w:next w:val="FiguretitleBR"/>
    <w:rsid w:val="008251A9"/>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Proposal">
    <w:name w:val="Proposal"/>
    <w:basedOn w:val="Normal"/>
    <w:next w:val="Normal"/>
    <w:rsid w:val="00AA05C6"/>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AA05C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aliases w:val="footnote text Char"/>
    <w:basedOn w:val="DefaultParagraphFont"/>
    <w:link w:val="FootnoteText"/>
    <w:uiPriority w:val="99"/>
    <w:rsid w:val="0034757E"/>
    <w:rPr>
      <w:rFonts w:ascii="Times New Roman" w:hAnsi="Times New Roman"/>
      <w:sz w:val="24"/>
      <w:lang w:val="es-ES_tradnl" w:eastAsia="en-US"/>
    </w:rPr>
  </w:style>
  <w:style w:type="character" w:customStyle="1" w:styleId="Heading1Char">
    <w:name w:val="Heading 1 Char"/>
    <w:basedOn w:val="DefaultParagraphFont"/>
    <w:link w:val="Heading1"/>
    <w:rsid w:val="009A615A"/>
    <w:rPr>
      <w:rFonts w:ascii="Times New Roman" w:hAnsi="Times New Roman"/>
      <w:b/>
      <w:sz w:val="24"/>
      <w:lang w:val="es-ES_tradnl" w:eastAsia="en-US"/>
    </w:rPr>
  </w:style>
  <w:style w:type="character" w:customStyle="1" w:styleId="Heading2Char">
    <w:name w:val="Heading 2 Char"/>
    <w:basedOn w:val="DefaultParagraphFont"/>
    <w:link w:val="Heading2"/>
    <w:rsid w:val="009A615A"/>
    <w:rPr>
      <w:rFonts w:ascii="Times New Roman" w:hAnsi="Times New Roman"/>
      <w:b/>
      <w:sz w:val="24"/>
      <w:lang w:val="es-ES_tradnl" w:eastAsia="en-US"/>
    </w:rPr>
  </w:style>
  <w:style w:type="character" w:customStyle="1" w:styleId="enumlev1Char">
    <w:name w:val="enumlev1 Char"/>
    <w:basedOn w:val="DefaultParagraphFont"/>
    <w:link w:val="enumlev1"/>
    <w:rsid w:val="009A615A"/>
    <w:rPr>
      <w:rFonts w:ascii="Times New Roman" w:hAnsi="Times New Roman"/>
      <w:sz w:val="24"/>
      <w:lang w:val="es-ES_tradnl" w:eastAsia="en-US"/>
    </w:rPr>
  </w:style>
  <w:style w:type="paragraph" w:customStyle="1" w:styleId="Default">
    <w:name w:val="Default"/>
    <w:rsid w:val="004752BE"/>
    <w:pPr>
      <w:autoSpaceDE w:val="0"/>
      <w:autoSpaceDN w:val="0"/>
      <w:adjustRightInd w:val="0"/>
    </w:pPr>
    <w:rPr>
      <w:rFonts w:ascii="Arial" w:hAnsi="Arial" w:cs="Arial"/>
      <w:color w:val="000000"/>
      <w:sz w:val="24"/>
      <w:szCs w:val="24"/>
    </w:rPr>
  </w:style>
  <w:style w:type="paragraph" w:customStyle="1" w:styleId="AppendixNo">
    <w:name w:val="Appendix_No"/>
    <w:basedOn w:val="Normal"/>
    <w:next w:val="Normal"/>
    <w:rsid w:val="00EC3D7D"/>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ppendixtitle">
    <w:name w:val="Appendix_title"/>
    <w:basedOn w:val="Normal"/>
    <w:next w:val="Normal"/>
    <w:rsid w:val="00EC3D7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title">
    <w:name w:val="App_Art_title"/>
    <w:basedOn w:val="Arttitle"/>
    <w:next w:val="Normal"/>
    <w:qFormat/>
    <w:rsid w:val="00173F29"/>
    <w:pPr>
      <w:tabs>
        <w:tab w:val="clear" w:pos="794"/>
        <w:tab w:val="clear" w:pos="1191"/>
        <w:tab w:val="clear" w:pos="1588"/>
        <w:tab w:val="clear" w:pos="1985"/>
        <w:tab w:val="left" w:pos="1134"/>
        <w:tab w:val="left" w:pos="1871"/>
        <w:tab w:val="left" w:pos="2268"/>
      </w:tabs>
    </w:pPr>
  </w:style>
  <w:style w:type="paragraph" w:customStyle="1" w:styleId="AnnexNo">
    <w:name w:val="Annex_No"/>
    <w:basedOn w:val="AnnexNotitle"/>
    <w:rsid w:val="00D648B6"/>
    <w:rPr>
      <w:lang w:val="en-GB" w:eastAsia="zh-CN"/>
    </w:rPr>
  </w:style>
  <w:style w:type="paragraph" w:customStyle="1" w:styleId="Annextitle">
    <w:name w:val="Annex_title"/>
    <w:basedOn w:val="Normal"/>
    <w:next w:val="Normal"/>
    <w:rsid w:val="00D648B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HeaderChar">
    <w:name w:val="Header Char"/>
    <w:aliases w:val="encabezado Char"/>
    <w:basedOn w:val="DefaultParagraphFont"/>
    <w:link w:val="Header"/>
    <w:uiPriority w:val="99"/>
    <w:rsid w:val="00234B49"/>
    <w:rPr>
      <w:rFonts w:ascii="Times New Roman" w:hAnsi="Times New Roman"/>
      <w:sz w:val="18"/>
      <w:lang w:val="es-ES_tradnl" w:eastAsia="en-US"/>
    </w:rPr>
  </w:style>
  <w:style w:type="paragraph" w:styleId="BalloonText">
    <w:name w:val="Balloon Text"/>
    <w:basedOn w:val="Normal"/>
    <w:link w:val="BalloonTextChar"/>
    <w:rsid w:val="00D474F4"/>
    <w:pPr>
      <w:spacing w:before="0"/>
    </w:pPr>
    <w:rPr>
      <w:rFonts w:ascii="Tahoma" w:hAnsi="Tahoma" w:cs="Tahoma"/>
      <w:sz w:val="16"/>
      <w:szCs w:val="16"/>
    </w:rPr>
  </w:style>
  <w:style w:type="character" w:customStyle="1" w:styleId="BalloonTextChar">
    <w:name w:val="Balloon Text Char"/>
    <w:basedOn w:val="DefaultParagraphFont"/>
    <w:link w:val="BalloonText"/>
    <w:rsid w:val="00D474F4"/>
    <w:rPr>
      <w:rFonts w:ascii="Tahoma" w:hAnsi="Tahoma" w:cs="Tahoma"/>
      <w:sz w:val="16"/>
      <w:szCs w:val="16"/>
      <w:lang w:val="es-ES_tradnl" w:eastAsia="en-US"/>
    </w:rPr>
  </w:style>
  <w:style w:type="character" w:customStyle="1" w:styleId="Heading3Char">
    <w:name w:val="Heading 3 Char"/>
    <w:basedOn w:val="DefaultParagraphFont"/>
    <w:link w:val="Heading3"/>
    <w:rsid w:val="00400D7C"/>
    <w:rPr>
      <w:rFonts w:ascii="Times New Roman" w:hAnsi="Times New Roman"/>
      <w:b/>
      <w:sz w:val="24"/>
      <w:lang w:val="es-ES_tradnl" w:eastAsia="en-US"/>
    </w:rPr>
  </w:style>
  <w:style w:type="character" w:customStyle="1" w:styleId="Heading4Char">
    <w:name w:val="Heading 4 Char"/>
    <w:basedOn w:val="DefaultParagraphFont"/>
    <w:link w:val="Heading4"/>
    <w:rsid w:val="00400D7C"/>
    <w:rPr>
      <w:rFonts w:ascii="Times New Roman" w:hAnsi="Times New Roman"/>
      <w:b/>
      <w:sz w:val="24"/>
      <w:lang w:val="es-ES_tradnl" w:eastAsia="en-US"/>
    </w:rPr>
  </w:style>
  <w:style w:type="character" w:customStyle="1" w:styleId="Heading5Char">
    <w:name w:val="Heading 5 Char"/>
    <w:basedOn w:val="DefaultParagraphFont"/>
    <w:link w:val="Heading5"/>
    <w:rsid w:val="00400D7C"/>
    <w:rPr>
      <w:rFonts w:ascii="Times New Roman" w:hAnsi="Times New Roman"/>
      <w:b/>
      <w:sz w:val="24"/>
      <w:lang w:val="es-ES_tradnl" w:eastAsia="en-US"/>
    </w:rPr>
  </w:style>
  <w:style w:type="character" w:customStyle="1" w:styleId="Heading6Char">
    <w:name w:val="Heading 6 Char"/>
    <w:basedOn w:val="DefaultParagraphFont"/>
    <w:link w:val="Heading6"/>
    <w:rsid w:val="00400D7C"/>
    <w:rPr>
      <w:rFonts w:ascii="Times New Roman" w:hAnsi="Times New Roman"/>
      <w:b/>
      <w:sz w:val="24"/>
      <w:lang w:val="es-ES_tradnl" w:eastAsia="en-US"/>
    </w:rPr>
  </w:style>
  <w:style w:type="character" w:customStyle="1" w:styleId="Heading7Char">
    <w:name w:val="Heading 7 Char"/>
    <w:basedOn w:val="DefaultParagraphFont"/>
    <w:link w:val="Heading7"/>
    <w:rsid w:val="00400D7C"/>
    <w:rPr>
      <w:rFonts w:ascii="Times New Roman" w:hAnsi="Times New Roman"/>
      <w:b/>
      <w:sz w:val="24"/>
      <w:lang w:val="es-ES_tradnl" w:eastAsia="en-US"/>
    </w:rPr>
  </w:style>
  <w:style w:type="character" w:customStyle="1" w:styleId="Heading8Char">
    <w:name w:val="Heading 8 Char"/>
    <w:basedOn w:val="DefaultParagraphFont"/>
    <w:link w:val="Heading8"/>
    <w:rsid w:val="00400D7C"/>
    <w:rPr>
      <w:rFonts w:ascii="Times New Roman" w:hAnsi="Times New Roman"/>
      <w:b/>
      <w:sz w:val="24"/>
      <w:lang w:val="es-ES_tradnl" w:eastAsia="en-US"/>
    </w:rPr>
  </w:style>
  <w:style w:type="character" w:customStyle="1" w:styleId="Heading9Char">
    <w:name w:val="Heading 9 Char"/>
    <w:basedOn w:val="DefaultParagraphFont"/>
    <w:link w:val="Heading9"/>
    <w:rsid w:val="00400D7C"/>
    <w:rPr>
      <w:rFonts w:ascii="Times New Roman" w:hAnsi="Times New Roman"/>
      <w:b/>
      <w:sz w:val="24"/>
      <w:lang w:val="es-ES_tradnl" w:eastAsia="en-US"/>
    </w:rPr>
  </w:style>
  <w:style w:type="character" w:customStyle="1" w:styleId="FooterChar">
    <w:name w:val="Footer Char"/>
    <w:basedOn w:val="DefaultParagraphFont"/>
    <w:link w:val="Footer"/>
    <w:rsid w:val="00400D7C"/>
    <w:rPr>
      <w:rFonts w:ascii="Times New Roman" w:hAnsi="Times New Roman"/>
      <w:caps/>
      <w:noProof/>
      <w:sz w:val="16"/>
      <w:lang w:val="es-ES_tradnl" w:eastAsia="en-US"/>
    </w:rPr>
  </w:style>
  <w:style w:type="paragraph" w:styleId="NormalIndent">
    <w:name w:val="Normal Indent"/>
    <w:basedOn w:val="Normal"/>
    <w:rsid w:val="00400D7C"/>
    <w:pPr>
      <w:tabs>
        <w:tab w:val="clear" w:pos="794"/>
        <w:tab w:val="clear" w:pos="1191"/>
        <w:tab w:val="clear" w:pos="1588"/>
        <w:tab w:val="clear" w:pos="1985"/>
        <w:tab w:val="left" w:pos="1134"/>
        <w:tab w:val="left" w:pos="1871"/>
        <w:tab w:val="left" w:pos="2268"/>
      </w:tabs>
      <w:ind w:left="1134"/>
      <w:jc w:val="both"/>
    </w:pPr>
    <w:rPr>
      <w:lang w:val="en-GB"/>
    </w:rPr>
  </w:style>
  <w:style w:type="paragraph" w:customStyle="1" w:styleId="TableLegend0">
    <w:name w:val="Table_Legend"/>
    <w:basedOn w:val="TableText0"/>
    <w:next w:val="Normal"/>
    <w:rsid w:val="00400D7C"/>
    <w:pPr>
      <w:keepNext/>
      <w:tabs>
        <w:tab w:val="left" w:pos="284"/>
        <w:tab w:val="left" w:pos="567"/>
        <w:tab w:val="left" w:pos="851"/>
        <w:tab w:val="left" w:pos="1134"/>
      </w:tabs>
      <w:spacing w:before="120" w:after="0"/>
    </w:pPr>
  </w:style>
  <w:style w:type="paragraph" w:customStyle="1" w:styleId="TableText0">
    <w:name w:val="Table_Text"/>
    <w:basedOn w:val="Normal"/>
    <w:rsid w:val="00400D7C"/>
    <w:pPr>
      <w:tabs>
        <w:tab w:val="clear" w:pos="794"/>
        <w:tab w:val="clear" w:pos="1191"/>
        <w:tab w:val="clear" w:pos="1588"/>
        <w:tab w:val="clear" w:pos="1985"/>
      </w:tabs>
      <w:spacing w:before="40" w:after="40"/>
      <w:jc w:val="both"/>
    </w:pPr>
    <w:rPr>
      <w:sz w:val="20"/>
      <w:lang w:val="en-GB"/>
    </w:rPr>
  </w:style>
  <w:style w:type="paragraph" w:customStyle="1" w:styleId="TableTitle">
    <w:name w:val="Table_Title"/>
    <w:basedOn w:val="Table"/>
    <w:next w:val="TableText0"/>
    <w:rsid w:val="00400D7C"/>
    <w:pPr>
      <w:spacing w:before="0"/>
    </w:pPr>
    <w:rPr>
      <w:b/>
    </w:rPr>
  </w:style>
  <w:style w:type="paragraph" w:customStyle="1" w:styleId="Table">
    <w:name w:val="Table_#"/>
    <w:basedOn w:val="Normal"/>
    <w:next w:val="TableTitle"/>
    <w:rsid w:val="00400D7C"/>
    <w:pPr>
      <w:keepNext/>
      <w:tabs>
        <w:tab w:val="clear" w:pos="794"/>
        <w:tab w:val="clear" w:pos="1191"/>
        <w:tab w:val="clear" w:pos="1588"/>
        <w:tab w:val="clear" w:pos="1985"/>
      </w:tabs>
      <w:spacing w:before="360" w:after="120"/>
      <w:jc w:val="center"/>
    </w:pPr>
    <w:rPr>
      <w:sz w:val="20"/>
      <w:lang w:val="en-GB"/>
    </w:rPr>
  </w:style>
  <w:style w:type="paragraph" w:customStyle="1" w:styleId="Figure0">
    <w:name w:val="Figure_#"/>
    <w:basedOn w:val="Table"/>
    <w:next w:val="FigureTitle"/>
    <w:rsid w:val="00400D7C"/>
  </w:style>
  <w:style w:type="paragraph" w:customStyle="1" w:styleId="FigureTitle">
    <w:name w:val="Figure_Title"/>
    <w:basedOn w:val="TableTitle"/>
    <w:next w:val="Normal"/>
    <w:rsid w:val="00400D7C"/>
    <w:pPr>
      <w:spacing w:after="720"/>
    </w:pPr>
  </w:style>
  <w:style w:type="paragraph" w:customStyle="1" w:styleId="Annex">
    <w:name w:val="Annex_#"/>
    <w:basedOn w:val="Art"/>
    <w:next w:val="AnnexRef"/>
    <w:rsid w:val="00400D7C"/>
  </w:style>
  <w:style w:type="paragraph" w:customStyle="1" w:styleId="Art">
    <w:name w:val="Art_#"/>
    <w:basedOn w:val="Normal"/>
    <w:next w:val="Arttitle"/>
    <w:rsid w:val="00400D7C"/>
    <w:pPr>
      <w:keepNext/>
      <w:keepLines/>
      <w:tabs>
        <w:tab w:val="clear" w:pos="794"/>
        <w:tab w:val="clear" w:pos="1191"/>
        <w:tab w:val="clear" w:pos="1588"/>
        <w:tab w:val="clear" w:pos="1985"/>
        <w:tab w:val="left" w:pos="1134"/>
        <w:tab w:val="left" w:pos="1871"/>
        <w:tab w:val="left" w:pos="2268"/>
      </w:tabs>
      <w:spacing w:before="720"/>
      <w:jc w:val="center"/>
    </w:pPr>
    <w:rPr>
      <w:sz w:val="28"/>
      <w:lang w:val="en-GB"/>
    </w:rPr>
  </w:style>
  <w:style w:type="paragraph" w:customStyle="1" w:styleId="Normalaftertitle0">
    <w:name w:val="Normal after title"/>
    <w:basedOn w:val="Normal"/>
    <w:next w:val="Normal"/>
    <w:rsid w:val="00400D7C"/>
    <w:pPr>
      <w:tabs>
        <w:tab w:val="clear" w:pos="794"/>
        <w:tab w:val="clear" w:pos="1191"/>
        <w:tab w:val="clear" w:pos="1588"/>
        <w:tab w:val="clear" w:pos="1985"/>
        <w:tab w:val="left" w:pos="1134"/>
        <w:tab w:val="left" w:pos="1871"/>
        <w:tab w:val="left" w:pos="2268"/>
      </w:tabs>
      <w:spacing w:before="360"/>
      <w:jc w:val="both"/>
    </w:pPr>
    <w:rPr>
      <w:lang w:val="en-GB"/>
    </w:rPr>
  </w:style>
  <w:style w:type="paragraph" w:customStyle="1" w:styleId="AnnexRef">
    <w:name w:val="Annex_Ref"/>
    <w:basedOn w:val="Normal"/>
    <w:rsid w:val="00400D7C"/>
    <w:pPr>
      <w:tabs>
        <w:tab w:val="clear" w:pos="794"/>
        <w:tab w:val="clear" w:pos="1191"/>
        <w:tab w:val="clear" w:pos="1588"/>
        <w:tab w:val="clear" w:pos="1985"/>
        <w:tab w:val="left" w:pos="1134"/>
        <w:tab w:val="left" w:pos="1871"/>
        <w:tab w:val="left" w:pos="2268"/>
      </w:tabs>
      <w:spacing w:before="200"/>
      <w:jc w:val="center"/>
    </w:pPr>
    <w:rPr>
      <w:lang w:val="en-GB"/>
    </w:rPr>
  </w:style>
  <w:style w:type="paragraph" w:customStyle="1" w:styleId="AnnexTitle0">
    <w:name w:val="Annex_Title"/>
    <w:basedOn w:val="Arttitle"/>
    <w:next w:val="Normal"/>
    <w:rsid w:val="00400D7C"/>
    <w:pPr>
      <w:tabs>
        <w:tab w:val="clear" w:pos="794"/>
        <w:tab w:val="clear" w:pos="1191"/>
        <w:tab w:val="clear" w:pos="1588"/>
        <w:tab w:val="clear" w:pos="1985"/>
      </w:tabs>
      <w:spacing w:before="160"/>
    </w:pPr>
    <w:rPr>
      <w:noProof/>
      <w:lang w:val="en-US"/>
    </w:rPr>
  </w:style>
  <w:style w:type="paragraph" w:customStyle="1" w:styleId="Appendix">
    <w:name w:val="Appendix_#"/>
    <w:basedOn w:val="Art"/>
    <w:next w:val="AppendixTitle0"/>
    <w:rsid w:val="00400D7C"/>
  </w:style>
  <w:style w:type="paragraph" w:customStyle="1" w:styleId="AppendixTitle0">
    <w:name w:val="Appendix_Title"/>
    <w:basedOn w:val="Arttitle"/>
    <w:next w:val="Normal"/>
    <w:rsid w:val="00400D7C"/>
    <w:pPr>
      <w:tabs>
        <w:tab w:val="clear" w:pos="794"/>
        <w:tab w:val="clear" w:pos="1191"/>
        <w:tab w:val="clear" w:pos="1588"/>
        <w:tab w:val="clear" w:pos="1985"/>
      </w:tabs>
      <w:spacing w:before="160" w:after="80"/>
    </w:pPr>
    <w:rPr>
      <w:noProof/>
      <w:lang w:val="en-US"/>
    </w:rPr>
  </w:style>
  <w:style w:type="paragraph" w:customStyle="1" w:styleId="headfoot">
    <w:name w:val="head_foot"/>
    <w:basedOn w:val="Normal"/>
    <w:next w:val="Normalaftertitle0"/>
    <w:rsid w:val="00400D7C"/>
    <w:pPr>
      <w:tabs>
        <w:tab w:val="clear" w:pos="794"/>
        <w:tab w:val="clear" w:pos="1191"/>
        <w:tab w:val="clear" w:pos="1588"/>
        <w:tab w:val="clear" w:pos="1985"/>
        <w:tab w:val="left" w:pos="1134"/>
        <w:tab w:val="left" w:pos="1871"/>
        <w:tab w:val="left" w:pos="2268"/>
      </w:tabs>
      <w:spacing w:before="0"/>
      <w:jc w:val="both"/>
    </w:pPr>
    <w:rPr>
      <w:b/>
      <w:color w:val="FFFFFF"/>
      <w:sz w:val="8"/>
      <w:lang w:val="en-GB"/>
    </w:rPr>
  </w:style>
  <w:style w:type="paragraph" w:customStyle="1" w:styleId="AppendixRef">
    <w:name w:val="Appendix_Ref"/>
    <w:basedOn w:val="AnnexRef"/>
    <w:next w:val="AppendixTitle0"/>
    <w:rsid w:val="00400D7C"/>
  </w:style>
  <w:style w:type="paragraph" w:customStyle="1" w:styleId="RefTitle0">
    <w:name w:val="Ref_Title"/>
    <w:basedOn w:val="Normal"/>
    <w:next w:val="RefText0"/>
    <w:rsid w:val="00400D7C"/>
    <w:pPr>
      <w:tabs>
        <w:tab w:val="clear" w:pos="794"/>
        <w:tab w:val="clear" w:pos="1191"/>
        <w:tab w:val="clear" w:pos="1588"/>
        <w:tab w:val="clear" w:pos="1985"/>
        <w:tab w:val="left" w:pos="1134"/>
        <w:tab w:val="left" w:pos="1871"/>
        <w:tab w:val="left" w:pos="2268"/>
      </w:tabs>
      <w:spacing w:before="480"/>
    </w:pPr>
    <w:rPr>
      <w:b/>
      <w:lang w:val="en-GB"/>
    </w:rPr>
  </w:style>
  <w:style w:type="paragraph" w:customStyle="1" w:styleId="RefText0">
    <w:name w:val="Ref_Text"/>
    <w:basedOn w:val="Normal"/>
    <w:rsid w:val="00400D7C"/>
    <w:pPr>
      <w:tabs>
        <w:tab w:val="clear" w:pos="794"/>
        <w:tab w:val="clear" w:pos="1191"/>
        <w:tab w:val="clear" w:pos="1588"/>
        <w:tab w:val="clear" w:pos="1985"/>
        <w:tab w:val="left" w:pos="1134"/>
        <w:tab w:val="left" w:pos="1871"/>
        <w:tab w:val="left" w:pos="2268"/>
      </w:tabs>
      <w:spacing w:before="200"/>
      <w:jc w:val="both"/>
    </w:pPr>
    <w:rPr>
      <w:lang w:val="en-GB"/>
    </w:rPr>
  </w:style>
  <w:style w:type="paragraph" w:customStyle="1" w:styleId="listitem">
    <w:name w:val="listitem"/>
    <w:basedOn w:val="Normal"/>
    <w:rsid w:val="00400D7C"/>
    <w:pPr>
      <w:keepLines/>
      <w:tabs>
        <w:tab w:val="clear" w:pos="794"/>
        <w:tab w:val="clear" w:pos="1191"/>
        <w:tab w:val="clear" w:pos="1588"/>
        <w:tab w:val="clear" w:pos="1985"/>
        <w:tab w:val="left" w:pos="1134"/>
        <w:tab w:val="left" w:pos="1871"/>
        <w:tab w:val="left" w:pos="2268"/>
      </w:tabs>
      <w:spacing w:before="0"/>
    </w:pPr>
    <w:rPr>
      <w:lang w:val="en-GB"/>
    </w:rPr>
  </w:style>
  <w:style w:type="paragraph" w:customStyle="1" w:styleId="TableRef0">
    <w:name w:val="Table_Ref"/>
    <w:basedOn w:val="Normal"/>
    <w:next w:val="TableTitle"/>
    <w:rsid w:val="00400D7C"/>
    <w:pPr>
      <w:keepNext/>
      <w:tabs>
        <w:tab w:val="clear" w:pos="794"/>
        <w:tab w:val="clear" w:pos="1191"/>
        <w:tab w:val="clear" w:pos="1588"/>
        <w:tab w:val="clear" w:pos="1985"/>
        <w:tab w:val="left" w:pos="1134"/>
        <w:tab w:val="left" w:pos="1871"/>
        <w:tab w:val="left" w:pos="2268"/>
      </w:tabs>
      <w:spacing w:before="567"/>
      <w:jc w:val="center"/>
    </w:pPr>
    <w:rPr>
      <w:sz w:val="18"/>
      <w:lang w:val="en-GB"/>
    </w:rPr>
  </w:style>
  <w:style w:type="paragraph" w:customStyle="1" w:styleId="Signcountry">
    <w:name w:val="Sign_country"/>
    <w:basedOn w:val="Normal"/>
    <w:next w:val="SignPart"/>
    <w:rsid w:val="00400D7C"/>
    <w:pPr>
      <w:keepNext/>
      <w:keepLines/>
      <w:tabs>
        <w:tab w:val="clear" w:pos="794"/>
        <w:tab w:val="clear" w:pos="1191"/>
        <w:tab w:val="clear" w:pos="1588"/>
        <w:tab w:val="clear" w:pos="1985"/>
        <w:tab w:val="left" w:pos="1134"/>
        <w:tab w:val="left" w:pos="1871"/>
        <w:tab w:val="left" w:pos="2268"/>
      </w:tabs>
      <w:spacing w:before="240" w:after="57"/>
    </w:pPr>
    <w:rPr>
      <w:b/>
      <w:lang w:val="en-GB"/>
    </w:rPr>
  </w:style>
  <w:style w:type="paragraph" w:customStyle="1" w:styleId="SignPart">
    <w:name w:val="Sign_Part"/>
    <w:basedOn w:val="Signcountry"/>
    <w:rsid w:val="00400D7C"/>
    <w:pPr>
      <w:keepNext w:val="0"/>
      <w:keepLines w:val="0"/>
      <w:spacing w:before="0"/>
      <w:ind w:left="284"/>
    </w:pPr>
    <w:rPr>
      <w:b w:val="0"/>
      <w:smallCaps/>
    </w:rPr>
  </w:style>
  <w:style w:type="paragraph" w:customStyle="1" w:styleId="Chap">
    <w:name w:val="Chap_#"/>
    <w:basedOn w:val="Art"/>
    <w:next w:val="Chaptitle"/>
    <w:rsid w:val="00400D7C"/>
    <w:pPr>
      <w:spacing w:before="1200"/>
    </w:pPr>
    <w:rPr>
      <w:sz w:val="32"/>
    </w:rPr>
  </w:style>
  <w:style w:type="paragraph" w:customStyle="1" w:styleId="Protfin">
    <w:name w:val="Prot_fin"/>
    <w:basedOn w:val="Normal"/>
    <w:next w:val="Normalaftertitle0"/>
    <w:rsid w:val="00400D7C"/>
    <w:pPr>
      <w:pageBreakBefore/>
      <w:tabs>
        <w:tab w:val="clear" w:pos="794"/>
        <w:tab w:val="clear" w:pos="1191"/>
        <w:tab w:val="clear" w:pos="1588"/>
        <w:tab w:val="clear" w:pos="1985"/>
        <w:tab w:val="left" w:pos="1134"/>
        <w:tab w:val="left" w:pos="1871"/>
        <w:tab w:val="left" w:pos="2268"/>
      </w:tabs>
      <w:spacing w:before="720" w:after="240"/>
      <w:jc w:val="center"/>
    </w:pPr>
    <w:rPr>
      <w:b/>
      <w:lang w:val="en-GB"/>
    </w:rPr>
  </w:style>
  <w:style w:type="paragraph" w:customStyle="1" w:styleId="Prot">
    <w:name w:val="Prot_#"/>
    <w:basedOn w:val="Normal"/>
    <w:next w:val="Protlang"/>
    <w:rsid w:val="00400D7C"/>
    <w:pPr>
      <w:keepNext/>
      <w:tabs>
        <w:tab w:val="clear" w:pos="794"/>
        <w:tab w:val="clear" w:pos="1191"/>
        <w:tab w:val="clear" w:pos="1588"/>
        <w:tab w:val="clear" w:pos="1985"/>
        <w:tab w:val="left" w:pos="1134"/>
        <w:tab w:val="left" w:pos="1871"/>
        <w:tab w:val="left" w:pos="2268"/>
      </w:tabs>
      <w:spacing w:before="240"/>
      <w:jc w:val="center"/>
    </w:pPr>
    <w:rPr>
      <w:lang w:val="en-GB"/>
    </w:rPr>
  </w:style>
  <w:style w:type="paragraph" w:customStyle="1" w:styleId="Protlang">
    <w:name w:val="Prot_lang"/>
    <w:basedOn w:val="Prot"/>
    <w:next w:val="Protpays"/>
    <w:rsid w:val="00400D7C"/>
    <w:pPr>
      <w:keepLines/>
      <w:framePr w:hSpace="181" w:vSpace="181" w:wrap="auto" w:hAnchor="text" w:xAlign="right"/>
      <w:spacing w:before="0"/>
      <w:jc w:val="right"/>
    </w:pPr>
    <w:rPr>
      <w:i/>
      <w:sz w:val="18"/>
    </w:rPr>
  </w:style>
  <w:style w:type="paragraph" w:customStyle="1" w:styleId="Protpays">
    <w:name w:val="Prot_pays"/>
    <w:basedOn w:val="Protlang"/>
    <w:next w:val="headfoot"/>
    <w:rsid w:val="00400D7C"/>
    <w:pPr>
      <w:framePr w:wrap="auto"/>
      <w:spacing w:before="113" w:line="199" w:lineRule="exact"/>
      <w:jc w:val="left"/>
    </w:pPr>
  </w:style>
  <w:style w:type="paragraph" w:customStyle="1" w:styleId="Prottexte">
    <w:name w:val="Prot_texte"/>
    <w:basedOn w:val="Protlang"/>
    <w:rsid w:val="00400D7C"/>
    <w:pPr>
      <w:keepNext w:val="0"/>
      <w:keepLines w:val="0"/>
      <w:framePr w:wrap="auto"/>
      <w:spacing w:before="113" w:line="199" w:lineRule="exact"/>
      <w:jc w:val="both"/>
    </w:pPr>
    <w:rPr>
      <w:i w:val="0"/>
    </w:rPr>
  </w:style>
  <w:style w:type="paragraph" w:customStyle="1" w:styleId="Protcall">
    <w:name w:val="Prot_call"/>
    <w:basedOn w:val="Prottexte"/>
    <w:next w:val="Prottexte"/>
    <w:rsid w:val="00400D7C"/>
    <w:pPr>
      <w:keepNext/>
      <w:keepLines/>
      <w:framePr w:wrap="auto" w:xAlign="left"/>
      <w:spacing w:before="170"/>
      <w:ind w:left="794"/>
      <w:jc w:val="left"/>
    </w:pPr>
    <w:rPr>
      <w:i/>
    </w:rPr>
  </w:style>
  <w:style w:type="paragraph" w:customStyle="1" w:styleId="Res">
    <w:name w:val="Res_#"/>
    <w:basedOn w:val="Art"/>
    <w:next w:val="Restitle"/>
    <w:rsid w:val="00400D7C"/>
  </w:style>
  <w:style w:type="paragraph" w:customStyle="1" w:styleId="Rec">
    <w:name w:val="Rec_#"/>
    <w:basedOn w:val="Res"/>
    <w:next w:val="Rectitle"/>
    <w:rsid w:val="00400D7C"/>
  </w:style>
  <w:style w:type="paragraph" w:customStyle="1" w:styleId="Signcountry0">
    <w:name w:val="Sign country"/>
    <w:basedOn w:val="Normal"/>
    <w:next w:val="Signpart0"/>
    <w:rsid w:val="00400D7C"/>
    <w:pPr>
      <w:keepNext/>
      <w:keepLines/>
      <w:tabs>
        <w:tab w:val="clear" w:pos="794"/>
        <w:tab w:val="clear" w:pos="1191"/>
        <w:tab w:val="clear" w:pos="1588"/>
        <w:tab w:val="clear" w:pos="1985"/>
        <w:tab w:val="left" w:pos="1134"/>
        <w:tab w:val="left" w:pos="1871"/>
        <w:tab w:val="left" w:pos="2268"/>
      </w:tabs>
      <w:spacing w:before="240" w:after="57"/>
    </w:pPr>
    <w:rPr>
      <w:b/>
      <w:lang w:val="en-GB"/>
    </w:rPr>
  </w:style>
  <w:style w:type="paragraph" w:customStyle="1" w:styleId="Signpart0">
    <w:name w:val="Sign part"/>
    <w:basedOn w:val="Signcountry0"/>
    <w:rsid w:val="00400D7C"/>
    <w:pPr>
      <w:keepNext w:val="0"/>
      <w:keepLines w:val="0"/>
      <w:spacing w:before="0"/>
      <w:ind w:left="284"/>
    </w:pPr>
    <w:rPr>
      <w:b w:val="0"/>
      <w:smallCaps/>
    </w:rPr>
  </w:style>
  <w:style w:type="paragraph" w:customStyle="1" w:styleId="Protfin0">
    <w:name w:val="Prot fin"/>
    <w:basedOn w:val="Normal"/>
    <w:next w:val="Normalaftertitle0"/>
    <w:rsid w:val="00400D7C"/>
    <w:pPr>
      <w:pageBreakBefore/>
      <w:tabs>
        <w:tab w:val="clear" w:pos="794"/>
        <w:tab w:val="clear" w:pos="1191"/>
        <w:tab w:val="clear" w:pos="1588"/>
        <w:tab w:val="clear" w:pos="1985"/>
        <w:tab w:val="left" w:pos="1134"/>
        <w:tab w:val="left" w:pos="1871"/>
        <w:tab w:val="left" w:pos="2268"/>
      </w:tabs>
      <w:spacing w:before="720" w:after="240"/>
      <w:jc w:val="center"/>
    </w:pPr>
    <w:rPr>
      <w:b/>
      <w:lang w:val="en-GB"/>
    </w:rPr>
  </w:style>
  <w:style w:type="paragraph" w:customStyle="1" w:styleId="Prot0">
    <w:name w:val="Prot #"/>
    <w:basedOn w:val="Normal"/>
    <w:next w:val="Protlang0"/>
    <w:rsid w:val="00400D7C"/>
    <w:pPr>
      <w:keepNext/>
      <w:tabs>
        <w:tab w:val="clear" w:pos="794"/>
        <w:tab w:val="clear" w:pos="1191"/>
        <w:tab w:val="clear" w:pos="1588"/>
        <w:tab w:val="clear" w:pos="1985"/>
        <w:tab w:val="left" w:pos="1134"/>
        <w:tab w:val="left" w:pos="1871"/>
        <w:tab w:val="left" w:pos="2268"/>
      </w:tabs>
      <w:spacing w:before="240"/>
      <w:jc w:val="center"/>
    </w:pPr>
    <w:rPr>
      <w:lang w:val="en-GB"/>
    </w:rPr>
  </w:style>
  <w:style w:type="paragraph" w:customStyle="1" w:styleId="Protlang0">
    <w:name w:val="Prot lang"/>
    <w:basedOn w:val="Prot0"/>
    <w:next w:val="Protpays0"/>
    <w:rsid w:val="00400D7C"/>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400D7C"/>
    <w:pPr>
      <w:framePr w:wrap="auto"/>
      <w:spacing w:before="113" w:line="199" w:lineRule="exact"/>
      <w:jc w:val="left"/>
    </w:pPr>
  </w:style>
  <w:style w:type="paragraph" w:customStyle="1" w:styleId="Prottexte0">
    <w:name w:val="Prot texte"/>
    <w:basedOn w:val="Protlang0"/>
    <w:rsid w:val="00400D7C"/>
    <w:pPr>
      <w:keepNext w:val="0"/>
      <w:keepLines w:val="0"/>
      <w:framePr w:wrap="auto"/>
      <w:spacing w:before="113" w:line="199" w:lineRule="exact"/>
      <w:jc w:val="both"/>
    </w:pPr>
    <w:rPr>
      <w:i w:val="0"/>
    </w:rPr>
  </w:style>
  <w:style w:type="paragraph" w:customStyle="1" w:styleId="Protcall0">
    <w:name w:val="Prot call"/>
    <w:basedOn w:val="Prottexte0"/>
    <w:next w:val="Prottexte0"/>
    <w:rsid w:val="00400D7C"/>
    <w:pPr>
      <w:keepNext/>
      <w:keepLines/>
      <w:framePr w:wrap="auto" w:xAlign="left"/>
      <w:spacing w:before="170"/>
      <w:ind w:left="794"/>
      <w:jc w:val="left"/>
    </w:pPr>
    <w:rPr>
      <w:i/>
    </w:rPr>
  </w:style>
  <w:style w:type="paragraph" w:customStyle="1" w:styleId="TableFin">
    <w:name w:val="Table_Fin"/>
    <w:basedOn w:val="Normal"/>
    <w:rsid w:val="00400D7C"/>
    <w:pPr>
      <w:tabs>
        <w:tab w:val="clear" w:pos="794"/>
        <w:tab w:val="clear" w:pos="1191"/>
        <w:tab w:val="clear" w:pos="1588"/>
        <w:tab w:val="clear" w:pos="1985"/>
        <w:tab w:val="left" w:pos="1871"/>
        <w:tab w:val="left" w:pos="2268"/>
      </w:tabs>
      <w:spacing w:before="0"/>
      <w:jc w:val="both"/>
    </w:pPr>
    <w:rPr>
      <w:sz w:val="6"/>
      <w:szCs w:val="6"/>
      <w:lang w:val="en-GB"/>
    </w:rPr>
  </w:style>
  <w:style w:type="paragraph" w:customStyle="1" w:styleId="MEP">
    <w:name w:val="MEP"/>
    <w:basedOn w:val="Normal"/>
    <w:rsid w:val="00400D7C"/>
    <w:pPr>
      <w:tabs>
        <w:tab w:val="clear" w:pos="794"/>
        <w:tab w:val="clear" w:pos="1191"/>
        <w:tab w:val="clear" w:pos="1588"/>
        <w:tab w:val="clear" w:pos="1985"/>
        <w:tab w:val="left" w:pos="1134"/>
        <w:tab w:val="left" w:pos="1871"/>
        <w:tab w:val="left" w:pos="2268"/>
      </w:tabs>
      <w:spacing w:before="200"/>
      <w:jc w:val="both"/>
    </w:pPr>
    <w:rPr>
      <w:lang w:val="en-GB"/>
    </w:rPr>
  </w:style>
  <w:style w:type="paragraph" w:customStyle="1" w:styleId="head0">
    <w:name w:val="head"/>
    <w:basedOn w:val="headfoot"/>
    <w:rsid w:val="00400D7C"/>
  </w:style>
  <w:style w:type="paragraph" w:customStyle="1" w:styleId="foot">
    <w:name w:val="foot"/>
    <w:basedOn w:val="headfoot"/>
    <w:rsid w:val="00400D7C"/>
  </w:style>
  <w:style w:type="character" w:customStyle="1" w:styleId="href">
    <w:name w:val="href"/>
    <w:basedOn w:val="DefaultParagraphFont"/>
    <w:rsid w:val="00400D7C"/>
  </w:style>
  <w:style w:type="paragraph" w:customStyle="1" w:styleId="Section3">
    <w:name w:val="Section_3"/>
    <w:basedOn w:val="Section1"/>
    <w:rsid w:val="00400D7C"/>
    <w:pPr>
      <w:tabs>
        <w:tab w:val="center" w:pos="4678"/>
      </w:tabs>
      <w:spacing w:before="360"/>
    </w:pPr>
    <w:rPr>
      <w:b w:val="0"/>
      <w:lang w:val="en-GB"/>
    </w:rPr>
  </w:style>
  <w:style w:type="paragraph" w:customStyle="1" w:styleId="EquationLegend0">
    <w:name w:val="Equation_Legend"/>
    <w:basedOn w:val="NormalIndent"/>
    <w:rsid w:val="00400D7C"/>
  </w:style>
  <w:style w:type="paragraph" w:customStyle="1" w:styleId="Headingb0">
    <w:name w:val="Heading b"/>
    <w:basedOn w:val="Heading3"/>
    <w:rsid w:val="00400D7C"/>
    <w:pPr>
      <w:tabs>
        <w:tab w:val="clear" w:pos="794"/>
        <w:tab w:val="clear" w:pos="1191"/>
        <w:tab w:val="clear" w:pos="1588"/>
        <w:tab w:val="clear" w:pos="1985"/>
        <w:tab w:val="left" w:pos="1134"/>
        <w:tab w:val="left" w:pos="1871"/>
      </w:tabs>
      <w:spacing w:before="400"/>
      <w:ind w:left="0" w:firstLine="0"/>
      <w:jc w:val="both"/>
      <w:outlineLvl w:val="9"/>
    </w:pPr>
    <w:rPr>
      <w:lang w:val="en-GB"/>
    </w:rPr>
  </w:style>
  <w:style w:type="paragraph" w:customStyle="1" w:styleId="TableHead0">
    <w:name w:val="Table_Head"/>
    <w:basedOn w:val="TableText0"/>
    <w:next w:val="TableText0"/>
    <w:rsid w:val="00400D7C"/>
    <w:pPr>
      <w:spacing w:before="80" w:after="80"/>
      <w:jc w:val="center"/>
    </w:pPr>
    <w:rPr>
      <w:b/>
    </w:rPr>
  </w:style>
  <w:style w:type="paragraph" w:customStyle="1" w:styleId="Line">
    <w:name w:val="Line"/>
    <w:basedOn w:val="Normal"/>
    <w:next w:val="Normal"/>
    <w:rsid w:val="00400D7C"/>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Headingi0">
    <w:name w:val="Heading i"/>
    <w:basedOn w:val="Headingb0"/>
    <w:rsid w:val="00400D7C"/>
    <w:rPr>
      <w:b w:val="0"/>
      <w:i/>
    </w:rPr>
  </w:style>
  <w:style w:type="paragraph" w:styleId="TableofFigures">
    <w:name w:val="table of figures"/>
    <w:basedOn w:val="Normal"/>
    <w:next w:val="Normal"/>
    <w:rsid w:val="00400D7C"/>
    <w:pPr>
      <w:tabs>
        <w:tab w:val="clear" w:pos="794"/>
        <w:tab w:val="clear" w:pos="1191"/>
        <w:tab w:val="clear" w:pos="1588"/>
        <w:tab w:val="clear" w:pos="1985"/>
        <w:tab w:val="right" w:leader="dot" w:pos="10773"/>
      </w:tabs>
      <w:spacing w:before="0"/>
    </w:pPr>
    <w:rPr>
      <w:rFonts w:ascii="Arial" w:hAnsi="Arial"/>
      <w:sz w:val="16"/>
      <w:lang w:val="en-US"/>
    </w:rPr>
  </w:style>
  <w:style w:type="character" w:styleId="CommentReference">
    <w:name w:val="annotation reference"/>
    <w:basedOn w:val="DefaultParagraphFont"/>
    <w:rsid w:val="00400D7C"/>
    <w:rPr>
      <w:sz w:val="16"/>
    </w:rPr>
  </w:style>
  <w:style w:type="paragraph" w:styleId="CommentText">
    <w:name w:val="annotation text"/>
    <w:basedOn w:val="Normal"/>
    <w:link w:val="CommentTextChar"/>
    <w:rsid w:val="00400D7C"/>
    <w:pPr>
      <w:tabs>
        <w:tab w:val="clear" w:pos="794"/>
        <w:tab w:val="clear" w:pos="1191"/>
        <w:tab w:val="clear" w:pos="1588"/>
        <w:tab w:val="clear" w:pos="1985"/>
        <w:tab w:val="left" w:pos="1134"/>
        <w:tab w:val="left" w:pos="1871"/>
        <w:tab w:val="left" w:pos="2268"/>
      </w:tabs>
      <w:spacing w:before="200"/>
      <w:jc w:val="both"/>
    </w:pPr>
    <w:rPr>
      <w:sz w:val="20"/>
      <w:lang w:val="fr-FR"/>
    </w:rPr>
  </w:style>
  <w:style w:type="character" w:customStyle="1" w:styleId="CommentTextChar">
    <w:name w:val="Comment Text Char"/>
    <w:basedOn w:val="DefaultParagraphFont"/>
    <w:link w:val="CommentText"/>
    <w:rsid w:val="00400D7C"/>
    <w:rPr>
      <w:rFonts w:ascii="Times New Roman" w:hAnsi="Times New Roman"/>
      <w:lang w:val="fr-FR" w:eastAsia="en-US"/>
    </w:rPr>
  </w:style>
  <w:style w:type="character" w:customStyle="1" w:styleId="Artrefdef">
    <w:name w:val="Art_ref_def"/>
    <w:basedOn w:val="DefaultParagraphFont"/>
    <w:rsid w:val="00400D7C"/>
  </w:style>
  <w:style w:type="character" w:customStyle="1" w:styleId="Apprefdef">
    <w:name w:val="App_ref_def"/>
    <w:basedOn w:val="DefaultParagraphFont"/>
    <w:rsid w:val="00400D7C"/>
  </w:style>
  <w:style w:type="character" w:customStyle="1" w:styleId="Resrefdef">
    <w:name w:val="Res_ref_def"/>
    <w:basedOn w:val="DefaultParagraphFont"/>
    <w:rsid w:val="00400D7C"/>
  </w:style>
  <w:style w:type="paragraph" w:customStyle="1" w:styleId="HeaderRegProc">
    <w:name w:val="Header_RegProc"/>
    <w:basedOn w:val="Normal"/>
    <w:rsid w:val="00400D7C"/>
    <w:pPr>
      <w:tabs>
        <w:tab w:val="clear" w:pos="794"/>
        <w:tab w:val="clear" w:pos="1191"/>
        <w:tab w:val="clear" w:pos="1588"/>
        <w:tab w:val="clear" w:pos="1985"/>
        <w:tab w:val="center" w:pos="4678"/>
        <w:tab w:val="right" w:pos="9356"/>
      </w:tabs>
      <w:spacing w:before="4"/>
      <w:ind w:left="142"/>
      <w:jc w:val="both"/>
    </w:pPr>
    <w:rPr>
      <w:rFonts w:ascii="Arial" w:hAnsi="Arial" w:cs="Arial"/>
      <w:bCs/>
      <w:sz w:val="20"/>
      <w:lang w:val="es-ES"/>
    </w:rPr>
  </w:style>
  <w:style w:type="paragraph" w:customStyle="1" w:styleId="enumlev4">
    <w:name w:val="enumlev4"/>
    <w:basedOn w:val="enumlev3"/>
    <w:rsid w:val="00400D7C"/>
    <w:pPr>
      <w:tabs>
        <w:tab w:val="clear" w:pos="794"/>
        <w:tab w:val="clear" w:pos="1191"/>
        <w:tab w:val="clear" w:pos="1588"/>
        <w:tab w:val="clear" w:pos="1985"/>
        <w:tab w:val="left" w:pos="1361"/>
        <w:tab w:val="left" w:pos="1814"/>
        <w:tab w:val="left" w:pos="3345"/>
      </w:tabs>
      <w:ind w:left="1815" w:hanging="454"/>
      <w:jc w:val="both"/>
    </w:pPr>
    <w:rPr>
      <w:lang w:val="fr-CH"/>
    </w:rPr>
  </w:style>
  <w:style w:type="character" w:customStyle="1" w:styleId="href2">
    <w:name w:val="href2"/>
    <w:basedOn w:val="href"/>
    <w:rsid w:val="00400D7C"/>
  </w:style>
  <w:style w:type="character" w:customStyle="1" w:styleId="Style1">
    <w:name w:val="Style1"/>
    <w:basedOn w:val="DefaultParagraphFont"/>
    <w:rsid w:val="00400D7C"/>
  </w:style>
  <w:style w:type="paragraph" w:styleId="BodyText">
    <w:name w:val="Body Text"/>
    <w:basedOn w:val="Normal"/>
    <w:link w:val="BodyTextChar"/>
    <w:rsid w:val="00400D7C"/>
    <w:pPr>
      <w:tabs>
        <w:tab w:val="clear" w:pos="794"/>
        <w:tab w:val="clear" w:pos="1191"/>
        <w:tab w:val="clear" w:pos="1588"/>
        <w:tab w:val="clear" w:pos="1985"/>
        <w:tab w:val="left" w:pos="1134"/>
        <w:tab w:val="left" w:pos="1871"/>
        <w:tab w:val="left" w:pos="2268"/>
      </w:tabs>
      <w:spacing w:before="40"/>
    </w:pPr>
    <w:rPr>
      <w:sz w:val="16"/>
      <w:lang w:val="en-GB"/>
    </w:rPr>
  </w:style>
  <w:style w:type="character" w:customStyle="1" w:styleId="BodyTextChar">
    <w:name w:val="Body Text Char"/>
    <w:basedOn w:val="DefaultParagraphFont"/>
    <w:link w:val="BodyText"/>
    <w:rsid w:val="00400D7C"/>
    <w:rPr>
      <w:rFonts w:ascii="Times New Roman" w:hAnsi="Times New Roman"/>
      <w:sz w:val="16"/>
      <w:lang w:val="en-GB" w:eastAsia="en-US"/>
    </w:rPr>
  </w:style>
  <w:style w:type="paragraph" w:styleId="BodyTextIndent">
    <w:name w:val="Body Text Indent"/>
    <w:basedOn w:val="Normal"/>
    <w:link w:val="BodyTextIndentChar"/>
    <w:rsid w:val="00400D7C"/>
    <w:pPr>
      <w:tabs>
        <w:tab w:val="clear" w:pos="794"/>
        <w:tab w:val="clear" w:pos="1191"/>
        <w:tab w:val="clear" w:pos="1588"/>
        <w:tab w:val="clear" w:pos="1985"/>
        <w:tab w:val="left" w:pos="1134"/>
        <w:tab w:val="left" w:pos="1871"/>
        <w:tab w:val="left" w:pos="2268"/>
      </w:tabs>
      <w:spacing w:before="40" w:line="160" w:lineRule="exact"/>
      <w:ind w:left="159" w:hanging="159"/>
    </w:pPr>
    <w:rPr>
      <w:color w:val="000000"/>
      <w:sz w:val="16"/>
      <w:lang w:val="es-ES"/>
    </w:rPr>
  </w:style>
  <w:style w:type="character" w:customStyle="1" w:styleId="BodyTextIndentChar">
    <w:name w:val="Body Text Indent Char"/>
    <w:basedOn w:val="DefaultParagraphFont"/>
    <w:link w:val="BodyTextIndent"/>
    <w:rsid w:val="00400D7C"/>
    <w:rPr>
      <w:rFonts w:ascii="Times New Roman" w:hAnsi="Times New Roman"/>
      <w:color w:val="000000"/>
      <w:sz w:val="16"/>
      <w:lang w:val="es-ES" w:eastAsia="en-US"/>
    </w:rPr>
  </w:style>
  <w:style w:type="paragraph" w:styleId="ListBullet">
    <w:name w:val="List Bullet"/>
    <w:basedOn w:val="Normal"/>
    <w:autoRedefine/>
    <w:rsid w:val="00400D7C"/>
    <w:pPr>
      <w:numPr>
        <w:numId w:val="1"/>
      </w:numPr>
      <w:tabs>
        <w:tab w:val="clear" w:pos="794"/>
        <w:tab w:val="clear" w:pos="1191"/>
        <w:tab w:val="clear" w:pos="1588"/>
        <w:tab w:val="clear" w:pos="1985"/>
        <w:tab w:val="left" w:pos="1134"/>
        <w:tab w:val="left" w:pos="1871"/>
        <w:tab w:val="left" w:pos="2268"/>
      </w:tabs>
      <w:spacing w:before="200"/>
      <w:jc w:val="both"/>
    </w:pPr>
    <w:rPr>
      <w:lang w:val="en-GB"/>
    </w:rPr>
  </w:style>
  <w:style w:type="paragraph" w:styleId="BodyText2">
    <w:name w:val="Body Text 2"/>
    <w:basedOn w:val="Normal"/>
    <w:link w:val="BodyText2Char"/>
    <w:rsid w:val="00400D7C"/>
    <w:pPr>
      <w:tabs>
        <w:tab w:val="clear" w:pos="794"/>
        <w:tab w:val="clear" w:pos="1191"/>
        <w:tab w:val="clear" w:pos="1588"/>
        <w:tab w:val="clear" w:pos="1985"/>
        <w:tab w:val="left" w:pos="1134"/>
        <w:tab w:val="left" w:pos="1871"/>
        <w:tab w:val="left" w:pos="2268"/>
      </w:tabs>
      <w:spacing w:before="200"/>
      <w:jc w:val="both"/>
    </w:pPr>
    <w:rPr>
      <w:color w:val="000000"/>
      <w:lang w:val="es-ES"/>
    </w:rPr>
  </w:style>
  <w:style w:type="character" w:customStyle="1" w:styleId="BodyText2Char">
    <w:name w:val="Body Text 2 Char"/>
    <w:basedOn w:val="DefaultParagraphFont"/>
    <w:link w:val="BodyText2"/>
    <w:rsid w:val="00400D7C"/>
    <w:rPr>
      <w:rFonts w:ascii="Times New Roman" w:hAnsi="Times New Roman"/>
      <w:color w:val="000000"/>
      <w:sz w:val="24"/>
      <w:lang w:val="es-ES" w:eastAsia="en-US"/>
    </w:rPr>
  </w:style>
  <w:style w:type="paragraph" w:customStyle="1" w:styleId="AnnexNoTitle0">
    <w:name w:val="Annex_NoTitle"/>
    <w:basedOn w:val="Normal"/>
    <w:next w:val="Normal"/>
    <w:rsid w:val="00400D7C"/>
    <w:pPr>
      <w:keepNext/>
      <w:keepLines/>
      <w:spacing w:before="480"/>
      <w:jc w:val="center"/>
    </w:pPr>
    <w:rPr>
      <w:b/>
      <w:sz w:val="28"/>
    </w:rPr>
  </w:style>
  <w:style w:type="character" w:customStyle="1" w:styleId="Artref0">
    <w:name w:val="Art#_ref"/>
    <w:basedOn w:val="DefaultParagraphFont"/>
    <w:rsid w:val="00400D7C"/>
  </w:style>
  <w:style w:type="paragraph" w:customStyle="1" w:styleId="Tabletitle0">
    <w:name w:val="Table_title"/>
    <w:basedOn w:val="Normal"/>
    <w:next w:val="Tablehead"/>
    <w:rsid w:val="00400D7C"/>
    <w:pPr>
      <w:keepNext/>
      <w:keepLines/>
      <w:spacing w:before="0" w:after="120"/>
      <w:jc w:val="center"/>
    </w:pPr>
    <w:rPr>
      <w:b/>
    </w:rPr>
  </w:style>
  <w:style w:type="paragraph" w:styleId="ListParagraph">
    <w:name w:val="List Paragraph"/>
    <w:basedOn w:val="Normal"/>
    <w:uiPriority w:val="34"/>
    <w:qFormat/>
    <w:rsid w:val="004B1B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96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rPr>
      <w:position w:val="6"/>
      <w:sz w:val="18"/>
    </w:rPr>
  </w:style>
  <w:style w:type="paragraph" w:styleId="FootnoteText">
    <w:name w:val="footnote text"/>
    <w:aliases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Proposal">
    <w:name w:val="Proposal"/>
    <w:basedOn w:val="Normal"/>
    <w:next w:val="Normal"/>
    <w:rsid w:val="00AA05C6"/>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AA05C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aliases w:val="footnote text Char"/>
    <w:basedOn w:val="DefaultParagraphFont"/>
    <w:link w:val="FootnoteText"/>
    <w:uiPriority w:val="99"/>
    <w:rsid w:val="0034757E"/>
    <w:rPr>
      <w:rFonts w:ascii="Times New Roman" w:hAnsi="Times New Roman"/>
      <w:sz w:val="24"/>
      <w:lang w:val="es-ES_tradnl" w:eastAsia="en-US"/>
    </w:rPr>
  </w:style>
  <w:style w:type="character" w:customStyle="1" w:styleId="Heading1Char">
    <w:name w:val="Heading 1 Char"/>
    <w:basedOn w:val="DefaultParagraphFont"/>
    <w:link w:val="Heading1"/>
    <w:rsid w:val="009A615A"/>
    <w:rPr>
      <w:rFonts w:ascii="Times New Roman" w:hAnsi="Times New Roman"/>
      <w:b/>
      <w:sz w:val="24"/>
      <w:lang w:val="es-ES_tradnl" w:eastAsia="en-US"/>
    </w:rPr>
  </w:style>
  <w:style w:type="character" w:customStyle="1" w:styleId="Heading2Char">
    <w:name w:val="Heading 2 Char"/>
    <w:basedOn w:val="DefaultParagraphFont"/>
    <w:link w:val="Heading2"/>
    <w:rsid w:val="009A615A"/>
    <w:rPr>
      <w:rFonts w:ascii="Times New Roman" w:hAnsi="Times New Roman"/>
      <w:b/>
      <w:sz w:val="24"/>
      <w:lang w:val="es-ES_tradnl" w:eastAsia="en-US"/>
    </w:rPr>
  </w:style>
  <w:style w:type="character" w:customStyle="1" w:styleId="enumlev1Char">
    <w:name w:val="enumlev1 Char"/>
    <w:basedOn w:val="DefaultParagraphFont"/>
    <w:link w:val="enumlev1"/>
    <w:rsid w:val="009A615A"/>
    <w:rPr>
      <w:rFonts w:ascii="Times New Roman" w:hAnsi="Times New Roman"/>
      <w:sz w:val="24"/>
      <w:lang w:val="es-ES_tradnl" w:eastAsia="en-US"/>
    </w:rPr>
  </w:style>
  <w:style w:type="paragraph" w:customStyle="1" w:styleId="Default">
    <w:name w:val="Default"/>
    <w:rsid w:val="004752BE"/>
    <w:pPr>
      <w:autoSpaceDE w:val="0"/>
      <w:autoSpaceDN w:val="0"/>
      <w:adjustRightInd w:val="0"/>
    </w:pPr>
    <w:rPr>
      <w:rFonts w:ascii="Arial" w:hAnsi="Arial" w:cs="Arial"/>
      <w:color w:val="000000"/>
      <w:sz w:val="24"/>
      <w:szCs w:val="24"/>
    </w:rPr>
  </w:style>
  <w:style w:type="paragraph" w:customStyle="1" w:styleId="AppendixNo">
    <w:name w:val="Appendix_No"/>
    <w:basedOn w:val="Normal"/>
    <w:next w:val="Normal"/>
    <w:rsid w:val="00EC3D7D"/>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ppendixtitle">
    <w:name w:val="Appendix_title"/>
    <w:basedOn w:val="Normal"/>
    <w:next w:val="Normal"/>
    <w:rsid w:val="00EC3D7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title">
    <w:name w:val="App_Art_title"/>
    <w:basedOn w:val="Arttitle"/>
    <w:next w:val="Normal"/>
    <w:qFormat/>
    <w:rsid w:val="00173F29"/>
    <w:pPr>
      <w:tabs>
        <w:tab w:val="clear" w:pos="794"/>
        <w:tab w:val="clear" w:pos="1191"/>
        <w:tab w:val="clear" w:pos="1588"/>
        <w:tab w:val="clear" w:pos="1985"/>
        <w:tab w:val="left" w:pos="1134"/>
        <w:tab w:val="left" w:pos="1871"/>
        <w:tab w:val="left" w:pos="2268"/>
      </w:tabs>
    </w:pPr>
  </w:style>
  <w:style w:type="paragraph" w:customStyle="1" w:styleId="AnnexNo">
    <w:name w:val="Annex_No"/>
    <w:basedOn w:val="AnnexNotitle"/>
    <w:rsid w:val="00D648B6"/>
    <w:rPr>
      <w:lang w:val="en-GB" w:eastAsia="zh-CN"/>
    </w:rPr>
  </w:style>
  <w:style w:type="paragraph" w:customStyle="1" w:styleId="Annextitle">
    <w:name w:val="Annex_title"/>
    <w:basedOn w:val="Normal"/>
    <w:next w:val="Normal"/>
    <w:rsid w:val="00D648B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HeaderChar">
    <w:name w:val="Header Char"/>
    <w:aliases w:val="encabezado Char"/>
    <w:basedOn w:val="DefaultParagraphFont"/>
    <w:link w:val="Header"/>
    <w:uiPriority w:val="99"/>
    <w:rsid w:val="00234B49"/>
    <w:rPr>
      <w:rFonts w:ascii="Times New Roman" w:hAnsi="Times New Roman"/>
      <w:sz w:val="18"/>
      <w:lang w:val="es-ES_tradnl" w:eastAsia="en-US"/>
    </w:rPr>
  </w:style>
  <w:style w:type="paragraph" w:styleId="BalloonText">
    <w:name w:val="Balloon Text"/>
    <w:basedOn w:val="Normal"/>
    <w:link w:val="BalloonTextChar"/>
    <w:rsid w:val="00D474F4"/>
    <w:pPr>
      <w:spacing w:before="0"/>
    </w:pPr>
    <w:rPr>
      <w:rFonts w:ascii="Tahoma" w:hAnsi="Tahoma" w:cs="Tahoma"/>
      <w:sz w:val="16"/>
      <w:szCs w:val="16"/>
    </w:rPr>
  </w:style>
  <w:style w:type="character" w:customStyle="1" w:styleId="BalloonTextChar">
    <w:name w:val="Balloon Text Char"/>
    <w:basedOn w:val="DefaultParagraphFont"/>
    <w:link w:val="BalloonText"/>
    <w:rsid w:val="00D474F4"/>
    <w:rPr>
      <w:rFonts w:ascii="Tahoma" w:hAnsi="Tahoma" w:cs="Tahoma"/>
      <w:sz w:val="16"/>
      <w:szCs w:val="16"/>
      <w:lang w:val="es-ES_tradnl" w:eastAsia="en-US"/>
    </w:rPr>
  </w:style>
  <w:style w:type="character" w:customStyle="1" w:styleId="Heading3Char">
    <w:name w:val="Heading 3 Char"/>
    <w:basedOn w:val="DefaultParagraphFont"/>
    <w:link w:val="Heading3"/>
    <w:rsid w:val="00400D7C"/>
    <w:rPr>
      <w:rFonts w:ascii="Times New Roman" w:hAnsi="Times New Roman"/>
      <w:b/>
      <w:sz w:val="24"/>
      <w:lang w:val="es-ES_tradnl" w:eastAsia="en-US"/>
    </w:rPr>
  </w:style>
  <w:style w:type="character" w:customStyle="1" w:styleId="Heading4Char">
    <w:name w:val="Heading 4 Char"/>
    <w:basedOn w:val="DefaultParagraphFont"/>
    <w:link w:val="Heading4"/>
    <w:rsid w:val="00400D7C"/>
    <w:rPr>
      <w:rFonts w:ascii="Times New Roman" w:hAnsi="Times New Roman"/>
      <w:b/>
      <w:sz w:val="24"/>
      <w:lang w:val="es-ES_tradnl" w:eastAsia="en-US"/>
    </w:rPr>
  </w:style>
  <w:style w:type="character" w:customStyle="1" w:styleId="Heading5Char">
    <w:name w:val="Heading 5 Char"/>
    <w:basedOn w:val="DefaultParagraphFont"/>
    <w:link w:val="Heading5"/>
    <w:rsid w:val="00400D7C"/>
    <w:rPr>
      <w:rFonts w:ascii="Times New Roman" w:hAnsi="Times New Roman"/>
      <w:b/>
      <w:sz w:val="24"/>
      <w:lang w:val="es-ES_tradnl" w:eastAsia="en-US"/>
    </w:rPr>
  </w:style>
  <w:style w:type="character" w:customStyle="1" w:styleId="Heading6Char">
    <w:name w:val="Heading 6 Char"/>
    <w:basedOn w:val="DefaultParagraphFont"/>
    <w:link w:val="Heading6"/>
    <w:rsid w:val="00400D7C"/>
    <w:rPr>
      <w:rFonts w:ascii="Times New Roman" w:hAnsi="Times New Roman"/>
      <w:b/>
      <w:sz w:val="24"/>
      <w:lang w:val="es-ES_tradnl" w:eastAsia="en-US"/>
    </w:rPr>
  </w:style>
  <w:style w:type="character" w:customStyle="1" w:styleId="Heading7Char">
    <w:name w:val="Heading 7 Char"/>
    <w:basedOn w:val="DefaultParagraphFont"/>
    <w:link w:val="Heading7"/>
    <w:rsid w:val="00400D7C"/>
    <w:rPr>
      <w:rFonts w:ascii="Times New Roman" w:hAnsi="Times New Roman"/>
      <w:b/>
      <w:sz w:val="24"/>
      <w:lang w:val="es-ES_tradnl" w:eastAsia="en-US"/>
    </w:rPr>
  </w:style>
  <w:style w:type="character" w:customStyle="1" w:styleId="Heading8Char">
    <w:name w:val="Heading 8 Char"/>
    <w:basedOn w:val="DefaultParagraphFont"/>
    <w:link w:val="Heading8"/>
    <w:rsid w:val="00400D7C"/>
    <w:rPr>
      <w:rFonts w:ascii="Times New Roman" w:hAnsi="Times New Roman"/>
      <w:b/>
      <w:sz w:val="24"/>
      <w:lang w:val="es-ES_tradnl" w:eastAsia="en-US"/>
    </w:rPr>
  </w:style>
  <w:style w:type="character" w:customStyle="1" w:styleId="Heading9Char">
    <w:name w:val="Heading 9 Char"/>
    <w:basedOn w:val="DefaultParagraphFont"/>
    <w:link w:val="Heading9"/>
    <w:rsid w:val="00400D7C"/>
    <w:rPr>
      <w:rFonts w:ascii="Times New Roman" w:hAnsi="Times New Roman"/>
      <w:b/>
      <w:sz w:val="24"/>
      <w:lang w:val="es-ES_tradnl" w:eastAsia="en-US"/>
    </w:rPr>
  </w:style>
  <w:style w:type="character" w:customStyle="1" w:styleId="FooterChar">
    <w:name w:val="Footer Char"/>
    <w:basedOn w:val="DefaultParagraphFont"/>
    <w:link w:val="Footer"/>
    <w:rsid w:val="00400D7C"/>
    <w:rPr>
      <w:rFonts w:ascii="Times New Roman" w:hAnsi="Times New Roman"/>
      <w:caps/>
      <w:noProof/>
      <w:sz w:val="16"/>
      <w:lang w:val="es-ES_tradnl" w:eastAsia="en-US"/>
    </w:rPr>
  </w:style>
  <w:style w:type="paragraph" w:styleId="NormalIndent">
    <w:name w:val="Normal Indent"/>
    <w:basedOn w:val="Normal"/>
    <w:rsid w:val="00400D7C"/>
    <w:pPr>
      <w:tabs>
        <w:tab w:val="clear" w:pos="794"/>
        <w:tab w:val="clear" w:pos="1191"/>
        <w:tab w:val="clear" w:pos="1588"/>
        <w:tab w:val="clear" w:pos="1985"/>
        <w:tab w:val="left" w:pos="1134"/>
        <w:tab w:val="left" w:pos="1871"/>
        <w:tab w:val="left" w:pos="2268"/>
      </w:tabs>
      <w:ind w:left="1134"/>
      <w:jc w:val="both"/>
    </w:pPr>
    <w:rPr>
      <w:lang w:val="en-GB"/>
    </w:rPr>
  </w:style>
  <w:style w:type="paragraph" w:customStyle="1" w:styleId="TableLegend0">
    <w:name w:val="Table_Legend"/>
    <w:basedOn w:val="TableText0"/>
    <w:next w:val="Normal"/>
    <w:rsid w:val="00400D7C"/>
    <w:pPr>
      <w:keepNext/>
      <w:tabs>
        <w:tab w:val="left" w:pos="284"/>
        <w:tab w:val="left" w:pos="567"/>
        <w:tab w:val="left" w:pos="851"/>
        <w:tab w:val="left" w:pos="1134"/>
      </w:tabs>
      <w:spacing w:before="120" w:after="0"/>
    </w:pPr>
  </w:style>
  <w:style w:type="paragraph" w:customStyle="1" w:styleId="TableText0">
    <w:name w:val="Table_Text"/>
    <w:basedOn w:val="Normal"/>
    <w:rsid w:val="00400D7C"/>
    <w:pPr>
      <w:tabs>
        <w:tab w:val="clear" w:pos="794"/>
        <w:tab w:val="clear" w:pos="1191"/>
        <w:tab w:val="clear" w:pos="1588"/>
        <w:tab w:val="clear" w:pos="1985"/>
      </w:tabs>
      <w:spacing w:before="40" w:after="40"/>
      <w:jc w:val="both"/>
    </w:pPr>
    <w:rPr>
      <w:sz w:val="20"/>
      <w:lang w:val="en-GB"/>
    </w:rPr>
  </w:style>
  <w:style w:type="paragraph" w:customStyle="1" w:styleId="TableTitle">
    <w:name w:val="Table_Title"/>
    <w:basedOn w:val="Table"/>
    <w:next w:val="TableText0"/>
    <w:rsid w:val="00400D7C"/>
    <w:pPr>
      <w:spacing w:before="0"/>
    </w:pPr>
    <w:rPr>
      <w:b/>
    </w:rPr>
  </w:style>
  <w:style w:type="paragraph" w:customStyle="1" w:styleId="Table">
    <w:name w:val="Table_#"/>
    <w:basedOn w:val="Normal"/>
    <w:next w:val="TableTitle"/>
    <w:rsid w:val="00400D7C"/>
    <w:pPr>
      <w:keepNext/>
      <w:tabs>
        <w:tab w:val="clear" w:pos="794"/>
        <w:tab w:val="clear" w:pos="1191"/>
        <w:tab w:val="clear" w:pos="1588"/>
        <w:tab w:val="clear" w:pos="1985"/>
      </w:tabs>
      <w:spacing w:before="360" w:after="120"/>
      <w:jc w:val="center"/>
    </w:pPr>
    <w:rPr>
      <w:sz w:val="20"/>
      <w:lang w:val="en-GB"/>
    </w:rPr>
  </w:style>
  <w:style w:type="paragraph" w:customStyle="1" w:styleId="Figure0">
    <w:name w:val="Figure_#"/>
    <w:basedOn w:val="Table"/>
    <w:next w:val="FigureTitle"/>
    <w:rsid w:val="00400D7C"/>
  </w:style>
  <w:style w:type="paragraph" w:customStyle="1" w:styleId="FigureTitle">
    <w:name w:val="Figure_Title"/>
    <w:basedOn w:val="TableTitle"/>
    <w:next w:val="Normal"/>
    <w:rsid w:val="00400D7C"/>
    <w:pPr>
      <w:spacing w:after="720"/>
    </w:pPr>
  </w:style>
  <w:style w:type="paragraph" w:customStyle="1" w:styleId="Annex">
    <w:name w:val="Annex_#"/>
    <w:basedOn w:val="Art"/>
    <w:next w:val="AnnexRef"/>
    <w:rsid w:val="00400D7C"/>
  </w:style>
  <w:style w:type="paragraph" w:customStyle="1" w:styleId="Art">
    <w:name w:val="Art_#"/>
    <w:basedOn w:val="Normal"/>
    <w:next w:val="Arttitle"/>
    <w:rsid w:val="00400D7C"/>
    <w:pPr>
      <w:keepNext/>
      <w:keepLines/>
      <w:tabs>
        <w:tab w:val="clear" w:pos="794"/>
        <w:tab w:val="clear" w:pos="1191"/>
        <w:tab w:val="clear" w:pos="1588"/>
        <w:tab w:val="clear" w:pos="1985"/>
        <w:tab w:val="left" w:pos="1134"/>
        <w:tab w:val="left" w:pos="1871"/>
        <w:tab w:val="left" w:pos="2268"/>
      </w:tabs>
      <w:spacing w:before="720"/>
      <w:jc w:val="center"/>
    </w:pPr>
    <w:rPr>
      <w:sz w:val="28"/>
      <w:lang w:val="en-GB"/>
    </w:rPr>
  </w:style>
  <w:style w:type="paragraph" w:customStyle="1" w:styleId="Normalaftertitle0">
    <w:name w:val="Normal after title"/>
    <w:basedOn w:val="Normal"/>
    <w:next w:val="Normal"/>
    <w:rsid w:val="00400D7C"/>
    <w:pPr>
      <w:tabs>
        <w:tab w:val="clear" w:pos="794"/>
        <w:tab w:val="clear" w:pos="1191"/>
        <w:tab w:val="clear" w:pos="1588"/>
        <w:tab w:val="clear" w:pos="1985"/>
        <w:tab w:val="left" w:pos="1134"/>
        <w:tab w:val="left" w:pos="1871"/>
        <w:tab w:val="left" w:pos="2268"/>
      </w:tabs>
      <w:spacing w:before="360"/>
      <w:jc w:val="both"/>
    </w:pPr>
    <w:rPr>
      <w:lang w:val="en-GB"/>
    </w:rPr>
  </w:style>
  <w:style w:type="paragraph" w:customStyle="1" w:styleId="AnnexRef">
    <w:name w:val="Annex_Ref"/>
    <w:basedOn w:val="Normal"/>
    <w:rsid w:val="00400D7C"/>
    <w:pPr>
      <w:tabs>
        <w:tab w:val="clear" w:pos="794"/>
        <w:tab w:val="clear" w:pos="1191"/>
        <w:tab w:val="clear" w:pos="1588"/>
        <w:tab w:val="clear" w:pos="1985"/>
        <w:tab w:val="left" w:pos="1134"/>
        <w:tab w:val="left" w:pos="1871"/>
        <w:tab w:val="left" w:pos="2268"/>
      </w:tabs>
      <w:spacing w:before="200"/>
      <w:jc w:val="center"/>
    </w:pPr>
    <w:rPr>
      <w:lang w:val="en-GB"/>
    </w:rPr>
  </w:style>
  <w:style w:type="paragraph" w:customStyle="1" w:styleId="AnnexTitle0">
    <w:name w:val="Annex_Title"/>
    <w:basedOn w:val="Arttitle"/>
    <w:next w:val="Normal"/>
    <w:rsid w:val="00400D7C"/>
    <w:pPr>
      <w:tabs>
        <w:tab w:val="clear" w:pos="794"/>
        <w:tab w:val="clear" w:pos="1191"/>
        <w:tab w:val="clear" w:pos="1588"/>
        <w:tab w:val="clear" w:pos="1985"/>
      </w:tabs>
      <w:spacing w:before="160"/>
    </w:pPr>
    <w:rPr>
      <w:noProof/>
      <w:lang w:val="en-US"/>
    </w:rPr>
  </w:style>
  <w:style w:type="paragraph" w:customStyle="1" w:styleId="Appendix">
    <w:name w:val="Appendix_#"/>
    <w:basedOn w:val="Art"/>
    <w:next w:val="AppendixTitle0"/>
    <w:rsid w:val="00400D7C"/>
  </w:style>
  <w:style w:type="paragraph" w:customStyle="1" w:styleId="AppendixTitle0">
    <w:name w:val="Appendix_Title"/>
    <w:basedOn w:val="Arttitle"/>
    <w:next w:val="Normal"/>
    <w:rsid w:val="00400D7C"/>
    <w:pPr>
      <w:tabs>
        <w:tab w:val="clear" w:pos="794"/>
        <w:tab w:val="clear" w:pos="1191"/>
        <w:tab w:val="clear" w:pos="1588"/>
        <w:tab w:val="clear" w:pos="1985"/>
      </w:tabs>
      <w:spacing w:before="160" w:after="80"/>
    </w:pPr>
    <w:rPr>
      <w:noProof/>
      <w:lang w:val="en-US"/>
    </w:rPr>
  </w:style>
  <w:style w:type="paragraph" w:customStyle="1" w:styleId="headfoot">
    <w:name w:val="head_foot"/>
    <w:basedOn w:val="Normal"/>
    <w:next w:val="Normalaftertitle0"/>
    <w:rsid w:val="00400D7C"/>
    <w:pPr>
      <w:tabs>
        <w:tab w:val="clear" w:pos="794"/>
        <w:tab w:val="clear" w:pos="1191"/>
        <w:tab w:val="clear" w:pos="1588"/>
        <w:tab w:val="clear" w:pos="1985"/>
        <w:tab w:val="left" w:pos="1134"/>
        <w:tab w:val="left" w:pos="1871"/>
        <w:tab w:val="left" w:pos="2268"/>
      </w:tabs>
      <w:spacing w:before="0"/>
      <w:jc w:val="both"/>
    </w:pPr>
    <w:rPr>
      <w:b/>
      <w:color w:val="FFFFFF"/>
      <w:sz w:val="8"/>
      <w:lang w:val="en-GB"/>
    </w:rPr>
  </w:style>
  <w:style w:type="paragraph" w:customStyle="1" w:styleId="AppendixRef">
    <w:name w:val="Appendix_Ref"/>
    <w:basedOn w:val="AnnexRef"/>
    <w:next w:val="AppendixTitle0"/>
    <w:rsid w:val="00400D7C"/>
  </w:style>
  <w:style w:type="paragraph" w:customStyle="1" w:styleId="RefTitle0">
    <w:name w:val="Ref_Title"/>
    <w:basedOn w:val="Normal"/>
    <w:next w:val="RefText0"/>
    <w:rsid w:val="00400D7C"/>
    <w:pPr>
      <w:tabs>
        <w:tab w:val="clear" w:pos="794"/>
        <w:tab w:val="clear" w:pos="1191"/>
        <w:tab w:val="clear" w:pos="1588"/>
        <w:tab w:val="clear" w:pos="1985"/>
        <w:tab w:val="left" w:pos="1134"/>
        <w:tab w:val="left" w:pos="1871"/>
        <w:tab w:val="left" w:pos="2268"/>
      </w:tabs>
      <w:spacing w:before="480"/>
    </w:pPr>
    <w:rPr>
      <w:b/>
      <w:lang w:val="en-GB"/>
    </w:rPr>
  </w:style>
  <w:style w:type="paragraph" w:customStyle="1" w:styleId="RefText0">
    <w:name w:val="Ref_Text"/>
    <w:basedOn w:val="Normal"/>
    <w:rsid w:val="00400D7C"/>
    <w:pPr>
      <w:tabs>
        <w:tab w:val="clear" w:pos="794"/>
        <w:tab w:val="clear" w:pos="1191"/>
        <w:tab w:val="clear" w:pos="1588"/>
        <w:tab w:val="clear" w:pos="1985"/>
        <w:tab w:val="left" w:pos="1134"/>
        <w:tab w:val="left" w:pos="1871"/>
        <w:tab w:val="left" w:pos="2268"/>
      </w:tabs>
      <w:spacing w:before="200"/>
      <w:jc w:val="both"/>
    </w:pPr>
    <w:rPr>
      <w:lang w:val="en-GB"/>
    </w:rPr>
  </w:style>
  <w:style w:type="paragraph" w:customStyle="1" w:styleId="listitem">
    <w:name w:val="listitem"/>
    <w:basedOn w:val="Normal"/>
    <w:rsid w:val="00400D7C"/>
    <w:pPr>
      <w:keepLines/>
      <w:tabs>
        <w:tab w:val="clear" w:pos="794"/>
        <w:tab w:val="clear" w:pos="1191"/>
        <w:tab w:val="clear" w:pos="1588"/>
        <w:tab w:val="clear" w:pos="1985"/>
        <w:tab w:val="left" w:pos="1134"/>
        <w:tab w:val="left" w:pos="1871"/>
        <w:tab w:val="left" w:pos="2268"/>
      </w:tabs>
      <w:spacing w:before="0"/>
    </w:pPr>
    <w:rPr>
      <w:lang w:val="en-GB"/>
    </w:rPr>
  </w:style>
  <w:style w:type="paragraph" w:customStyle="1" w:styleId="TableRef0">
    <w:name w:val="Table_Ref"/>
    <w:basedOn w:val="Normal"/>
    <w:next w:val="TableTitle"/>
    <w:rsid w:val="00400D7C"/>
    <w:pPr>
      <w:keepNext/>
      <w:tabs>
        <w:tab w:val="clear" w:pos="794"/>
        <w:tab w:val="clear" w:pos="1191"/>
        <w:tab w:val="clear" w:pos="1588"/>
        <w:tab w:val="clear" w:pos="1985"/>
        <w:tab w:val="left" w:pos="1134"/>
        <w:tab w:val="left" w:pos="1871"/>
        <w:tab w:val="left" w:pos="2268"/>
      </w:tabs>
      <w:spacing w:before="567"/>
      <w:jc w:val="center"/>
    </w:pPr>
    <w:rPr>
      <w:sz w:val="18"/>
      <w:lang w:val="en-GB"/>
    </w:rPr>
  </w:style>
  <w:style w:type="paragraph" w:customStyle="1" w:styleId="Signcountry">
    <w:name w:val="Sign_country"/>
    <w:basedOn w:val="Normal"/>
    <w:next w:val="SignPart"/>
    <w:rsid w:val="00400D7C"/>
    <w:pPr>
      <w:keepNext/>
      <w:keepLines/>
      <w:tabs>
        <w:tab w:val="clear" w:pos="794"/>
        <w:tab w:val="clear" w:pos="1191"/>
        <w:tab w:val="clear" w:pos="1588"/>
        <w:tab w:val="clear" w:pos="1985"/>
        <w:tab w:val="left" w:pos="1134"/>
        <w:tab w:val="left" w:pos="1871"/>
        <w:tab w:val="left" w:pos="2268"/>
      </w:tabs>
      <w:spacing w:before="240" w:after="57"/>
    </w:pPr>
    <w:rPr>
      <w:b/>
      <w:lang w:val="en-GB"/>
    </w:rPr>
  </w:style>
  <w:style w:type="paragraph" w:customStyle="1" w:styleId="SignPart">
    <w:name w:val="Sign_Part"/>
    <w:basedOn w:val="Signcountry"/>
    <w:rsid w:val="00400D7C"/>
    <w:pPr>
      <w:keepNext w:val="0"/>
      <w:keepLines w:val="0"/>
      <w:spacing w:before="0"/>
      <w:ind w:left="284"/>
    </w:pPr>
    <w:rPr>
      <w:b w:val="0"/>
      <w:smallCaps/>
    </w:rPr>
  </w:style>
  <w:style w:type="paragraph" w:customStyle="1" w:styleId="Chap">
    <w:name w:val="Chap_#"/>
    <w:basedOn w:val="Art"/>
    <w:next w:val="Chaptitle"/>
    <w:rsid w:val="00400D7C"/>
    <w:pPr>
      <w:spacing w:before="1200"/>
    </w:pPr>
    <w:rPr>
      <w:sz w:val="32"/>
    </w:rPr>
  </w:style>
  <w:style w:type="paragraph" w:customStyle="1" w:styleId="Protfin">
    <w:name w:val="Prot_fin"/>
    <w:basedOn w:val="Normal"/>
    <w:next w:val="Normalaftertitle0"/>
    <w:rsid w:val="00400D7C"/>
    <w:pPr>
      <w:pageBreakBefore/>
      <w:tabs>
        <w:tab w:val="clear" w:pos="794"/>
        <w:tab w:val="clear" w:pos="1191"/>
        <w:tab w:val="clear" w:pos="1588"/>
        <w:tab w:val="clear" w:pos="1985"/>
        <w:tab w:val="left" w:pos="1134"/>
        <w:tab w:val="left" w:pos="1871"/>
        <w:tab w:val="left" w:pos="2268"/>
      </w:tabs>
      <w:spacing w:before="720" w:after="240"/>
      <w:jc w:val="center"/>
    </w:pPr>
    <w:rPr>
      <w:b/>
      <w:lang w:val="en-GB"/>
    </w:rPr>
  </w:style>
  <w:style w:type="paragraph" w:customStyle="1" w:styleId="Prot">
    <w:name w:val="Prot_#"/>
    <w:basedOn w:val="Normal"/>
    <w:next w:val="Protlang"/>
    <w:rsid w:val="00400D7C"/>
    <w:pPr>
      <w:keepNext/>
      <w:tabs>
        <w:tab w:val="clear" w:pos="794"/>
        <w:tab w:val="clear" w:pos="1191"/>
        <w:tab w:val="clear" w:pos="1588"/>
        <w:tab w:val="clear" w:pos="1985"/>
        <w:tab w:val="left" w:pos="1134"/>
        <w:tab w:val="left" w:pos="1871"/>
        <w:tab w:val="left" w:pos="2268"/>
      </w:tabs>
      <w:spacing w:before="240"/>
      <w:jc w:val="center"/>
    </w:pPr>
    <w:rPr>
      <w:lang w:val="en-GB"/>
    </w:rPr>
  </w:style>
  <w:style w:type="paragraph" w:customStyle="1" w:styleId="Protlang">
    <w:name w:val="Prot_lang"/>
    <w:basedOn w:val="Prot"/>
    <w:next w:val="Protpays"/>
    <w:rsid w:val="00400D7C"/>
    <w:pPr>
      <w:keepLines/>
      <w:framePr w:hSpace="181" w:vSpace="181" w:wrap="auto" w:hAnchor="text" w:xAlign="right"/>
      <w:spacing w:before="0"/>
      <w:jc w:val="right"/>
    </w:pPr>
    <w:rPr>
      <w:i/>
      <w:sz w:val="18"/>
    </w:rPr>
  </w:style>
  <w:style w:type="paragraph" w:customStyle="1" w:styleId="Protpays">
    <w:name w:val="Prot_pays"/>
    <w:basedOn w:val="Protlang"/>
    <w:next w:val="headfoot"/>
    <w:rsid w:val="00400D7C"/>
    <w:pPr>
      <w:framePr w:wrap="auto"/>
      <w:spacing w:before="113" w:line="199" w:lineRule="exact"/>
      <w:jc w:val="left"/>
    </w:pPr>
  </w:style>
  <w:style w:type="paragraph" w:customStyle="1" w:styleId="Prottexte">
    <w:name w:val="Prot_texte"/>
    <w:basedOn w:val="Protlang"/>
    <w:rsid w:val="00400D7C"/>
    <w:pPr>
      <w:keepNext w:val="0"/>
      <w:keepLines w:val="0"/>
      <w:framePr w:wrap="auto"/>
      <w:spacing w:before="113" w:line="199" w:lineRule="exact"/>
      <w:jc w:val="both"/>
    </w:pPr>
    <w:rPr>
      <w:i w:val="0"/>
    </w:rPr>
  </w:style>
  <w:style w:type="paragraph" w:customStyle="1" w:styleId="Protcall">
    <w:name w:val="Prot_call"/>
    <w:basedOn w:val="Prottexte"/>
    <w:next w:val="Prottexte"/>
    <w:rsid w:val="00400D7C"/>
    <w:pPr>
      <w:keepNext/>
      <w:keepLines/>
      <w:framePr w:wrap="auto" w:xAlign="left"/>
      <w:spacing w:before="170"/>
      <w:ind w:left="794"/>
      <w:jc w:val="left"/>
    </w:pPr>
    <w:rPr>
      <w:i/>
    </w:rPr>
  </w:style>
  <w:style w:type="paragraph" w:customStyle="1" w:styleId="Res">
    <w:name w:val="Res_#"/>
    <w:basedOn w:val="Art"/>
    <w:next w:val="Restitle"/>
    <w:rsid w:val="00400D7C"/>
  </w:style>
  <w:style w:type="paragraph" w:customStyle="1" w:styleId="Rec">
    <w:name w:val="Rec_#"/>
    <w:basedOn w:val="Res"/>
    <w:next w:val="Rectitle"/>
    <w:rsid w:val="00400D7C"/>
  </w:style>
  <w:style w:type="paragraph" w:customStyle="1" w:styleId="Signcountry0">
    <w:name w:val="Sign country"/>
    <w:basedOn w:val="Normal"/>
    <w:next w:val="Signpart0"/>
    <w:rsid w:val="00400D7C"/>
    <w:pPr>
      <w:keepNext/>
      <w:keepLines/>
      <w:tabs>
        <w:tab w:val="clear" w:pos="794"/>
        <w:tab w:val="clear" w:pos="1191"/>
        <w:tab w:val="clear" w:pos="1588"/>
        <w:tab w:val="clear" w:pos="1985"/>
        <w:tab w:val="left" w:pos="1134"/>
        <w:tab w:val="left" w:pos="1871"/>
        <w:tab w:val="left" w:pos="2268"/>
      </w:tabs>
      <w:spacing w:before="240" w:after="57"/>
    </w:pPr>
    <w:rPr>
      <w:b/>
      <w:lang w:val="en-GB"/>
    </w:rPr>
  </w:style>
  <w:style w:type="paragraph" w:customStyle="1" w:styleId="Signpart0">
    <w:name w:val="Sign part"/>
    <w:basedOn w:val="Signcountry0"/>
    <w:rsid w:val="00400D7C"/>
    <w:pPr>
      <w:keepNext w:val="0"/>
      <w:keepLines w:val="0"/>
      <w:spacing w:before="0"/>
      <w:ind w:left="284"/>
    </w:pPr>
    <w:rPr>
      <w:b w:val="0"/>
      <w:smallCaps/>
    </w:rPr>
  </w:style>
  <w:style w:type="paragraph" w:customStyle="1" w:styleId="Protfin0">
    <w:name w:val="Prot fin"/>
    <w:basedOn w:val="Normal"/>
    <w:next w:val="Normalaftertitle0"/>
    <w:rsid w:val="00400D7C"/>
    <w:pPr>
      <w:pageBreakBefore/>
      <w:tabs>
        <w:tab w:val="clear" w:pos="794"/>
        <w:tab w:val="clear" w:pos="1191"/>
        <w:tab w:val="clear" w:pos="1588"/>
        <w:tab w:val="clear" w:pos="1985"/>
        <w:tab w:val="left" w:pos="1134"/>
        <w:tab w:val="left" w:pos="1871"/>
        <w:tab w:val="left" w:pos="2268"/>
      </w:tabs>
      <w:spacing w:before="720" w:after="240"/>
      <w:jc w:val="center"/>
    </w:pPr>
    <w:rPr>
      <w:b/>
      <w:lang w:val="en-GB"/>
    </w:rPr>
  </w:style>
  <w:style w:type="paragraph" w:customStyle="1" w:styleId="Prot0">
    <w:name w:val="Prot #"/>
    <w:basedOn w:val="Normal"/>
    <w:next w:val="Protlang0"/>
    <w:rsid w:val="00400D7C"/>
    <w:pPr>
      <w:keepNext/>
      <w:tabs>
        <w:tab w:val="clear" w:pos="794"/>
        <w:tab w:val="clear" w:pos="1191"/>
        <w:tab w:val="clear" w:pos="1588"/>
        <w:tab w:val="clear" w:pos="1985"/>
        <w:tab w:val="left" w:pos="1134"/>
        <w:tab w:val="left" w:pos="1871"/>
        <w:tab w:val="left" w:pos="2268"/>
      </w:tabs>
      <w:spacing w:before="240"/>
      <w:jc w:val="center"/>
    </w:pPr>
    <w:rPr>
      <w:lang w:val="en-GB"/>
    </w:rPr>
  </w:style>
  <w:style w:type="paragraph" w:customStyle="1" w:styleId="Protlang0">
    <w:name w:val="Prot lang"/>
    <w:basedOn w:val="Prot0"/>
    <w:next w:val="Protpays0"/>
    <w:rsid w:val="00400D7C"/>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400D7C"/>
    <w:pPr>
      <w:framePr w:wrap="auto"/>
      <w:spacing w:before="113" w:line="199" w:lineRule="exact"/>
      <w:jc w:val="left"/>
    </w:pPr>
  </w:style>
  <w:style w:type="paragraph" w:customStyle="1" w:styleId="Prottexte0">
    <w:name w:val="Prot texte"/>
    <w:basedOn w:val="Protlang0"/>
    <w:rsid w:val="00400D7C"/>
    <w:pPr>
      <w:keepNext w:val="0"/>
      <w:keepLines w:val="0"/>
      <w:framePr w:wrap="auto"/>
      <w:spacing w:before="113" w:line="199" w:lineRule="exact"/>
      <w:jc w:val="both"/>
    </w:pPr>
    <w:rPr>
      <w:i w:val="0"/>
    </w:rPr>
  </w:style>
  <w:style w:type="paragraph" w:customStyle="1" w:styleId="Protcall0">
    <w:name w:val="Prot call"/>
    <w:basedOn w:val="Prottexte0"/>
    <w:next w:val="Prottexte0"/>
    <w:rsid w:val="00400D7C"/>
    <w:pPr>
      <w:keepNext/>
      <w:keepLines/>
      <w:framePr w:wrap="auto" w:xAlign="left"/>
      <w:spacing w:before="170"/>
      <w:ind w:left="794"/>
      <w:jc w:val="left"/>
    </w:pPr>
    <w:rPr>
      <w:i/>
    </w:rPr>
  </w:style>
  <w:style w:type="paragraph" w:customStyle="1" w:styleId="TableFin">
    <w:name w:val="Table_Fin"/>
    <w:basedOn w:val="Normal"/>
    <w:rsid w:val="00400D7C"/>
    <w:pPr>
      <w:tabs>
        <w:tab w:val="clear" w:pos="794"/>
        <w:tab w:val="clear" w:pos="1191"/>
        <w:tab w:val="clear" w:pos="1588"/>
        <w:tab w:val="clear" w:pos="1985"/>
        <w:tab w:val="left" w:pos="1871"/>
        <w:tab w:val="left" w:pos="2268"/>
      </w:tabs>
      <w:spacing w:before="0"/>
      <w:jc w:val="both"/>
    </w:pPr>
    <w:rPr>
      <w:sz w:val="6"/>
      <w:szCs w:val="6"/>
      <w:lang w:val="en-GB"/>
    </w:rPr>
  </w:style>
  <w:style w:type="paragraph" w:customStyle="1" w:styleId="MEP">
    <w:name w:val="MEP"/>
    <w:basedOn w:val="Normal"/>
    <w:rsid w:val="00400D7C"/>
    <w:pPr>
      <w:tabs>
        <w:tab w:val="clear" w:pos="794"/>
        <w:tab w:val="clear" w:pos="1191"/>
        <w:tab w:val="clear" w:pos="1588"/>
        <w:tab w:val="clear" w:pos="1985"/>
        <w:tab w:val="left" w:pos="1134"/>
        <w:tab w:val="left" w:pos="1871"/>
        <w:tab w:val="left" w:pos="2268"/>
      </w:tabs>
      <w:spacing w:before="200"/>
      <w:jc w:val="both"/>
    </w:pPr>
    <w:rPr>
      <w:lang w:val="en-GB"/>
    </w:rPr>
  </w:style>
  <w:style w:type="paragraph" w:customStyle="1" w:styleId="head0">
    <w:name w:val="head"/>
    <w:basedOn w:val="headfoot"/>
    <w:rsid w:val="00400D7C"/>
  </w:style>
  <w:style w:type="paragraph" w:customStyle="1" w:styleId="foot">
    <w:name w:val="foot"/>
    <w:basedOn w:val="headfoot"/>
    <w:rsid w:val="00400D7C"/>
  </w:style>
  <w:style w:type="character" w:customStyle="1" w:styleId="href">
    <w:name w:val="href"/>
    <w:basedOn w:val="DefaultParagraphFont"/>
    <w:rsid w:val="00400D7C"/>
  </w:style>
  <w:style w:type="paragraph" w:customStyle="1" w:styleId="Section3">
    <w:name w:val="Section_3"/>
    <w:basedOn w:val="Section1"/>
    <w:rsid w:val="00400D7C"/>
    <w:pPr>
      <w:tabs>
        <w:tab w:val="center" w:pos="4678"/>
      </w:tabs>
      <w:spacing w:before="360"/>
    </w:pPr>
    <w:rPr>
      <w:b w:val="0"/>
      <w:lang w:val="en-GB"/>
    </w:rPr>
  </w:style>
  <w:style w:type="paragraph" w:customStyle="1" w:styleId="EquationLegend0">
    <w:name w:val="Equation_Legend"/>
    <w:basedOn w:val="NormalIndent"/>
    <w:rsid w:val="00400D7C"/>
  </w:style>
  <w:style w:type="paragraph" w:customStyle="1" w:styleId="Headingb0">
    <w:name w:val="Heading b"/>
    <w:basedOn w:val="Heading3"/>
    <w:rsid w:val="00400D7C"/>
    <w:pPr>
      <w:tabs>
        <w:tab w:val="clear" w:pos="794"/>
        <w:tab w:val="clear" w:pos="1191"/>
        <w:tab w:val="clear" w:pos="1588"/>
        <w:tab w:val="clear" w:pos="1985"/>
        <w:tab w:val="left" w:pos="1134"/>
        <w:tab w:val="left" w:pos="1871"/>
      </w:tabs>
      <w:spacing w:before="400"/>
      <w:ind w:left="0" w:firstLine="0"/>
      <w:jc w:val="both"/>
      <w:outlineLvl w:val="9"/>
    </w:pPr>
    <w:rPr>
      <w:lang w:val="en-GB"/>
    </w:rPr>
  </w:style>
  <w:style w:type="paragraph" w:customStyle="1" w:styleId="TableHead0">
    <w:name w:val="Table_Head"/>
    <w:basedOn w:val="TableText0"/>
    <w:next w:val="TableText0"/>
    <w:rsid w:val="00400D7C"/>
    <w:pPr>
      <w:spacing w:before="80" w:after="80"/>
      <w:jc w:val="center"/>
    </w:pPr>
    <w:rPr>
      <w:b/>
    </w:rPr>
  </w:style>
  <w:style w:type="paragraph" w:customStyle="1" w:styleId="Line">
    <w:name w:val="Line"/>
    <w:basedOn w:val="Normal"/>
    <w:next w:val="Normal"/>
    <w:rsid w:val="00400D7C"/>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Headingi0">
    <w:name w:val="Heading i"/>
    <w:basedOn w:val="Headingb0"/>
    <w:rsid w:val="00400D7C"/>
    <w:rPr>
      <w:b w:val="0"/>
      <w:i/>
    </w:rPr>
  </w:style>
  <w:style w:type="paragraph" w:styleId="TableofFigures">
    <w:name w:val="table of figures"/>
    <w:basedOn w:val="Normal"/>
    <w:next w:val="Normal"/>
    <w:rsid w:val="00400D7C"/>
    <w:pPr>
      <w:tabs>
        <w:tab w:val="clear" w:pos="794"/>
        <w:tab w:val="clear" w:pos="1191"/>
        <w:tab w:val="clear" w:pos="1588"/>
        <w:tab w:val="clear" w:pos="1985"/>
        <w:tab w:val="right" w:leader="dot" w:pos="10773"/>
      </w:tabs>
      <w:spacing w:before="0"/>
    </w:pPr>
    <w:rPr>
      <w:rFonts w:ascii="Arial" w:hAnsi="Arial"/>
      <w:sz w:val="16"/>
      <w:lang w:val="en-US"/>
    </w:rPr>
  </w:style>
  <w:style w:type="character" w:styleId="CommentReference">
    <w:name w:val="annotation reference"/>
    <w:basedOn w:val="DefaultParagraphFont"/>
    <w:rsid w:val="00400D7C"/>
    <w:rPr>
      <w:sz w:val="16"/>
    </w:rPr>
  </w:style>
  <w:style w:type="paragraph" w:styleId="CommentText">
    <w:name w:val="annotation text"/>
    <w:basedOn w:val="Normal"/>
    <w:link w:val="CommentTextChar"/>
    <w:rsid w:val="00400D7C"/>
    <w:pPr>
      <w:tabs>
        <w:tab w:val="clear" w:pos="794"/>
        <w:tab w:val="clear" w:pos="1191"/>
        <w:tab w:val="clear" w:pos="1588"/>
        <w:tab w:val="clear" w:pos="1985"/>
        <w:tab w:val="left" w:pos="1134"/>
        <w:tab w:val="left" w:pos="1871"/>
        <w:tab w:val="left" w:pos="2268"/>
      </w:tabs>
      <w:spacing w:before="200"/>
      <w:jc w:val="both"/>
    </w:pPr>
    <w:rPr>
      <w:sz w:val="20"/>
      <w:lang w:val="fr-FR"/>
    </w:rPr>
  </w:style>
  <w:style w:type="character" w:customStyle="1" w:styleId="CommentTextChar">
    <w:name w:val="Comment Text Char"/>
    <w:basedOn w:val="DefaultParagraphFont"/>
    <w:link w:val="CommentText"/>
    <w:rsid w:val="00400D7C"/>
    <w:rPr>
      <w:rFonts w:ascii="Times New Roman" w:hAnsi="Times New Roman"/>
      <w:lang w:val="fr-FR" w:eastAsia="en-US"/>
    </w:rPr>
  </w:style>
  <w:style w:type="character" w:customStyle="1" w:styleId="Artrefdef">
    <w:name w:val="Art_ref_def"/>
    <w:basedOn w:val="DefaultParagraphFont"/>
    <w:rsid w:val="00400D7C"/>
  </w:style>
  <w:style w:type="character" w:customStyle="1" w:styleId="Apprefdef">
    <w:name w:val="App_ref_def"/>
    <w:basedOn w:val="DefaultParagraphFont"/>
    <w:rsid w:val="00400D7C"/>
  </w:style>
  <w:style w:type="character" w:customStyle="1" w:styleId="Resrefdef">
    <w:name w:val="Res_ref_def"/>
    <w:basedOn w:val="DefaultParagraphFont"/>
    <w:rsid w:val="00400D7C"/>
  </w:style>
  <w:style w:type="paragraph" w:customStyle="1" w:styleId="HeaderRegProc">
    <w:name w:val="Header_RegProc"/>
    <w:basedOn w:val="Normal"/>
    <w:rsid w:val="00400D7C"/>
    <w:pPr>
      <w:tabs>
        <w:tab w:val="clear" w:pos="794"/>
        <w:tab w:val="clear" w:pos="1191"/>
        <w:tab w:val="clear" w:pos="1588"/>
        <w:tab w:val="clear" w:pos="1985"/>
        <w:tab w:val="center" w:pos="4678"/>
        <w:tab w:val="right" w:pos="9356"/>
      </w:tabs>
      <w:spacing w:before="4"/>
      <w:ind w:left="142"/>
      <w:jc w:val="both"/>
    </w:pPr>
    <w:rPr>
      <w:rFonts w:ascii="Arial" w:hAnsi="Arial" w:cs="Arial"/>
      <w:bCs/>
      <w:sz w:val="20"/>
      <w:lang w:val="es-ES"/>
    </w:rPr>
  </w:style>
  <w:style w:type="paragraph" w:customStyle="1" w:styleId="enumlev4">
    <w:name w:val="enumlev4"/>
    <w:basedOn w:val="enumlev3"/>
    <w:rsid w:val="00400D7C"/>
    <w:pPr>
      <w:tabs>
        <w:tab w:val="clear" w:pos="794"/>
        <w:tab w:val="clear" w:pos="1191"/>
        <w:tab w:val="clear" w:pos="1588"/>
        <w:tab w:val="clear" w:pos="1985"/>
        <w:tab w:val="left" w:pos="1361"/>
        <w:tab w:val="left" w:pos="1814"/>
        <w:tab w:val="left" w:pos="3345"/>
      </w:tabs>
      <w:ind w:left="1815" w:hanging="454"/>
      <w:jc w:val="both"/>
    </w:pPr>
    <w:rPr>
      <w:lang w:val="fr-CH"/>
    </w:rPr>
  </w:style>
  <w:style w:type="character" w:customStyle="1" w:styleId="href2">
    <w:name w:val="href2"/>
    <w:basedOn w:val="href"/>
    <w:rsid w:val="00400D7C"/>
  </w:style>
  <w:style w:type="character" w:customStyle="1" w:styleId="Style1">
    <w:name w:val="Style1"/>
    <w:basedOn w:val="DefaultParagraphFont"/>
    <w:rsid w:val="00400D7C"/>
  </w:style>
  <w:style w:type="paragraph" w:styleId="BodyText">
    <w:name w:val="Body Text"/>
    <w:basedOn w:val="Normal"/>
    <w:link w:val="BodyTextChar"/>
    <w:rsid w:val="00400D7C"/>
    <w:pPr>
      <w:tabs>
        <w:tab w:val="clear" w:pos="794"/>
        <w:tab w:val="clear" w:pos="1191"/>
        <w:tab w:val="clear" w:pos="1588"/>
        <w:tab w:val="clear" w:pos="1985"/>
        <w:tab w:val="left" w:pos="1134"/>
        <w:tab w:val="left" w:pos="1871"/>
        <w:tab w:val="left" w:pos="2268"/>
      </w:tabs>
      <w:spacing w:before="40"/>
    </w:pPr>
    <w:rPr>
      <w:sz w:val="16"/>
      <w:lang w:val="en-GB"/>
    </w:rPr>
  </w:style>
  <w:style w:type="character" w:customStyle="1" w:styleId="BodyTextChar">
    <w:name w:val="Body Text Char"/>
    <w:basedOn w:val="DefaultParagraphFont"/>
    <w:link w:val="BodyText"/>
    <w:rsid w:val="00400D7C"/>
    <w:rPr>
      <w:rFonts w:ascii="Times New Roman" w:hAnsi="Times New Roman"/>
      <w:sz w:val="16"/>
      <w:lang w:val="en-GB" w:eastAsia="en-US"/>
    </w:rPr>
  </w:style>
  <w:style w:type="paragraph" w:styleId="BodyTextIndent">
    <w:name w:val="Body Text Indent"/>
    <w:basedOn w:val="Normal"/>
    <w:link w:val="BodyTextIndentChar"/>
    <w:rsid w:val="00400D7C"/>
    <w:pPr>
      <w:tabs>
        <w:tab w:val="clear" w:pos="794"/>
        <w:tab w:val="clear" w:pos="1191"/>
        <w:tab w:val="clear" w:pos="1588"/>
        <w:tab w:val="clear" w:pos="1985"/>
        <w:tab w:val="left" w:pos="1134"/>
        <w:tab w:val="left" w:pos="1871"/>
        <w:tab w:val="left" w:pos="2268"/>
      </w:tabs>
      <w:spacing w:before="40" w:line="160" w:lineRule="exact"/>
      <w:ind w:left="159" w:hanging="159"/>
    </w:pPr>
    <w:rPr>
      <w:color w:val="000000"/>
      <w:sz w:val="16"/>
      <w:lang w:val="es-ES"/>
    </w:rPr>
  </w:style>
  <w:style w:type="character" w:customStyle="1" w:styleId="BodyTextIndentChar">
    <w:name w:val="Body Text Indent Char"/>
    <w:basedOn w:val="DefaultParagraphFont"/>
    <w:link w:val="BodyTextIndent"/>
    <w:rsid w:val="00400D7C"/>
    <w:rPr>
      <w:rFonts w:ascii="Times New Roman" w:hAnsi="Times New Roman"/>
      <w:color w:val="000000"/>
      <w:sz w:val="16"/>
      <w:lang w:val="es-ES" w:eastAsia="en-US"/>
    </w:rPr>
  </w:style>
  <w:style w:type="paragraph" w:styleId="ListBullet">
    <w:name w:val="List Bullet"/>
    <w:basedOn w:val="Normal"/>
    <w:autoRedefine/>
    <w:rsid w:val="00400D7C"/>
    <w:pPr>
      <w:numPr>
        <w:numId w:val="1"/>
      </w:numPr>
      <w:tabs>
        <w:tab w:val="clear" w:pos="794"/>
        <w:tab w:val="clear" w:pos="1191"/>
        <w:tab w:val="clear" w:pos="1588"/>
        <w:tab w:val="clear" w:pos="1985"/>
        <w:tab w:val="left" w:pos="1134"/>
        <w:tab w:val="left" w:pos="1871"/>
        <w:tab w:val="left" w:pos="2268"/>
      </w:tabs>
      <w:spacing w:before="200"/>
      <w:jc w:val="both"/>
    </w:pPr>
    <w:rPr>
      <w:lang w:val="en-GB"/>
    </w:rPr>
  </w:style>
  <w:style w:type="paragraph" w:styleId="BodyText2">
    <w:name w:val="Body Text 2"/>
    <w:basedOn w:val="Normal"/>
    <w:link w:val="BodyText2Char"/>
    <w:rsid w:val="00400D7C"/>
    <w:pPr>
      <w:tabs>
        <w:tab w:val="clear" w:pos="794"/>
        <w:tab w:val="clear" w:pos="1191"/>
        <w:tab w:val="clear" w:pos="1588"/>
        <w:tab w:val="clear" w:pos="1985"/>
        <w:tab w:val="left" w:pos="1134"/>
        <w:tab w:val="left" w:pos="1871"/>
        <w:tab w:val="left" w:pos="2268"/>
      </w:tabs>
      <w:spacing w:before="200"/>
      <w:jc w:val="both"/>
    </w:pPr>
    <w:rPr>
      <w:color w:val="000000"/>
      <w:lang w:val="es-ES"/>
    </w:rPr>
  </w:style>
  <w:style w:type="character" w:customStyle="1" w:styleId="BodyText2Char">
    <w:name w:val="Body Text 2 Char"/>
    <w:basedOn w:val="DefaultParagraphFont"/>
    <w:link w:val="BodyText2"/>
    <w:rsid w:val="00400D7C"/>
    <w:rPr>
      <w:rFonts w:ascii="Times New Roman" w:hAnsi="Times New Roman"/>
      <w:color w:val="000000"/>
      <w:sz w:val="24"/>
      <w:lang w:val="es-ES" w:eastAsia="en-US"/>
    </w:rPr>
  </w:style>
  <w:style w:type="paragraph" w:customStyle="1" w:styleId="AnnexNoTitle0">
    <w:name w:val="Annex_NoTitle"/>
    <w:basedOn w:val="Normal"/>
    <w:next w:val="Normal"/>
    <w:rsid w:val="00400D7C"/>
    <w:pPr>
      <w:keepNext/>
      <w:keepLines/>
      <w:spacing w:before="480"/>
      <w:jc w:val="center"/>
    </w:pPr>
    <w:rPr>
      <w:b/>
      <w:sz w:val="28"/>
    </w:rPr>
  </w:style>
  <w:style w:type="character" w:customStyle="1" w:styleId="Artref0">
    <w:name w:val="Art#_ref"/>
    <w:basedOn w:val="DefaultParagraphFont"/>
    <w:rsid w:val="00400D7C"/>
  </w:style>
  <w:style w:type="paragraph" w:customStyle="1" w:styleId="Tabletitle0">
    <w:name w:val="Table_title"/>
    <w:basedOn w:val="Normal"/>
    <w:next w:val="Tablehead"/>
    <w:rsid w:val="00400D7C"/>
    <w:pPr>
      <w:keepNext/>
      <w:keepLines/>
      <w:spacing w:before="0" w:after="120"/>
      <w:jc w:val="center"/>
    </w:pPr>
    <w:rPr>
      <w:b/>
    </w:rPr>
  </w:style>
  <w:style w:type="paragraph" w:styleId="ListParagraph">
    <w:name w:val="List Paragraph"/>
    <w:basedOn w:val="Normal"/>
    <w:uiPriority w:val="34"/>
    <w:qFormat/>
    <w:rsid w:val="004B1BBD"/>
    <w:pPr>
      <w:ind w:left="720"/>
      <w:contextualSpacing/>
    </w:pPr>
  </w:style>
</w:styles>
</file>

<file path=word/webSettings.xml><?xml version="1.0" encoding="utf-8"?>
<w:webSettings xmlns:r="http://schemas.openxmlformats.org/officeDocument/2006/relationships" xmlns:w="http://schemas.openxmlformats.org/wordprocessingml/2006/main">
  <w:divs>
    <w:div w:id="560481899">
      <w:bodyDiv w:val="1"/>
      <w:marLeft w:val="0"/>
      <w:marRight w:val="0"/>
      <w:marTop w:val="0"/>
      <w:marBottom w:val="0"/>
      <w:divBdr>
        <w:top w:val="none" w:sz="0" w:space="0" w:color="auto"/>
        <w:left w:val="none" w:sz="0" w:space="0" w:color="auto"/>
        <w:bottom w:val="none" w:sz="0" w:space="0" w:color="auto"/>
        <w:right w:val="none" w:sz="0" w:space="0" w:color="auto"/>
      </w:divBdr>
    </w:div>
    <w:div w:id="1312172863">
      <w:bodyDiv w:val="1"/>
      <w:marLeft w:val="0"/>
      <w:marRight w:val="0"/>
      <w:marTop w:val="0"/>
      <w:marBottom w:val="0"/>
      <w:divBdr>
        <w:top w:val="none" w:sz="0" w:space="0" w:color="auto"/>
        <w:left w:val="none" w:sz="0" w:space="0" w:color="auto"/>
        <w:bottom w:val="none" w:sz="0" w:space="0" w:color="auto"/>
        <w:right w:val="none" w:sz="0" w:space="0" w:color="auto"/>
      </w:divBdr>
    </w:div>
    <w:div w:id="20801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2DEC2-3A41-4B36-8556-B0DE6A80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2</TotalTime>
  <Pages>7</Pages>
  <Words>2336</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14950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anghelon</cp:lastModifiedBy>
  <cp:revision>2</cp:revision>
  <cp:lastPrinted>2013-01-07T15:33:00Z</cp:lastPrinted>
  <dcterms:created xsi:type="dcterms:W3CDTF">2013-01-07T15:35:00Z</dcterms:created>
  <dcterms:modified xsi:type="dcterms:W3CDTF">2013-01-07T15:35:00Z</dcterms:modified>
</cp:coreProperties>
</file>