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C4089F">
        <w:tc>
          <w:tcPr>
            <w:tcW w:w="8188" w:type="dxa"/>
            <w:vAlign w:val="center"/>
          </w:tcPr>
          <w:p w:rsidR="00D35752" w:rsidRPr="00C4089F" w:rsidRDefault="00D35752" w:rsidP="00D35752">
            <w:pPr>
              <w:spacing w:before="0"/>
              <w:rPr>
                <w:rFonts w:asciiTheme="minorHAnsi" w:hAnsiTheme="minorHAnsi" w:cstheme="minorHAnsi"/>
              </w:rPr>
            </w:pPr>
            <w:bookmarkStart w:id="0" w:name="_GoBack"/>
            <w:bookmarkEnd w:id="0"/>
            <w:r w:rsidRPr="00C4089F">
              <w:rPr>
                <w:rFonts w:asciiTheme="minorHAnsi" w:hAnsiTheme="minorHAnsi" w:cstheme="minorHAnsi"/>
                <w:sz w:val="48"/>
                <w:szCs w:val="22"/>
              </w:rPr>
              <w:t>I</w:t>
            </w:r>
            <w:r w:rsidRPr="00C4089F">
              <w:rPr>
                <w:rFonts w:asciiTheme="minorHAnsi" w:hAnsiTheme="minorHAnsi" w:cstheme="minorHAnsi"/>
                <w:sz w:val="40"/>
                <w:szCs w:val="22"/>
              </w:rPr>
              <w:t xml:space="preserve">NTERNATIONAL </w:t>
            </w:r>
            <w:r w:rsidRPr="00C4089F">
              <w:rPr>
                <w:rFonts w:asciiTheme="minorHAnsi" w:hAnsiTheme="minorHAnsi" w:cstheme="minorHAnsi"/>
                <w:sz w:val="48"/>
                <w:szCs w:val="22"/>
              </w:rPr>
              <w:t>T</w:t>
            </w:r>
            <w:r w:rsidRPr="00C4089F">
              <w:rPr>
                <w:rFonts w:asciiTheme="minorHAnsi" w:hAnsiTheme="minorHAnsi" w:cstheme="minorHAnsi"/>
                <w:sz w:val="40"/>
                <w:szCs w:val="22"/>
              </w:rPr>
              <w:t xml:space="preserve">ELECOMMUNICATION </w:t>
            </w:r>
            <w:r w:rsidRPr="00C4089F">
              <w:rPr>
                <w:rFonts w:asciiTheme="minorHAnsi" w:hAnsiTheme="minorHAnsi" w:cstheme="minorHAnsi"/>
                <w:sz w:val="48"/>
                <w:szCs w:val="22"/>
              </w:rPr>
              <w:t>U</w:t>
            </w:r>
            <w:r w:rsidRPr="00C4089F">
              <w:rPr>
                <w:rFonts w:asciiTheme="minorHAnsi" w:hAnsiTheme="minorHAnsi" w:cstheme="minorHAnsi"/>
                <w:sz w:val="40"/>
                <w:szCs w:val="22"/>
              </w:rPr>
              <w:t>NION</w:t>
            </w:r>
          </w:p>
        </w:tc>
        <w:tc>
          <w:tcPr>
            <w:tcW w:w="1667" w:type="dxa"/>
          </w:tcPr>
          <w:p w:rsidR="00D35752" w:rsidRPr="00C4089F" w:rsidRDefault="0050552C" w:rsidP="00D35752">
            <w:pPr>
              <w:spacing w:before="0"/>
              <w:jc w:val="right"/>
            </w:pPr>
            <w:r w:rsidRPr="00C4089F">
              <w:rPr>
                <w:noProof/>
                <w:lang w:val="en-US" w:eastAsia="zh-CN"/>
              </w:rPr>
              <w:drawing>
                <wp:inline distT="0" distB="0" distL="0" distR="0" wp14:anchorId="04830F24" wp14:editId="32E891C6">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C4089F">
        <w:trPr>
          <w:cantSplit/>
        </w:trPr>
        <w:tc>
          <w:tcPr>
            <w:tcW w:w="5075" w:type="dxa"/>
          </w:tcPr>
          <w:p w:rsidR="00B87E04" w:rsidRPr="00EE1056" w:rsidRDefault="00B87E04">
            <w:pPr>
              <w:rPr>
                <w:b/>
                <w:smallCaps/>
                <w:sz w:val="20"/>
                <w:lang w:val="fr-CH"/>
              </w:rPr>
            </w:pPr>
            <w:r w:rsidRPr="00EE1056">
              <w:rPr>
                <w:i/>
                <w:sz w:val="28"/>
                <w:lang w:val="fr-CH"/>
              </w:rPr>
              <w:t>Radiocommunication Bureau</w:t>
            </w:r>
          </w:p>
          <w:p w:rsidR="00B87E04" w:rsidRPr="00C4089F" w:rsidRDefault="00B87E04">
            <w:pPr>
              <w:tabs>
                <w:tab w:val="clear" w:pos="794"/>
                <w:tab w:val="clear" w:pos="1191"/>
                <w:tab w:val="clear" w:pos="1588"/>
                <w:tab w:val="clear" w:pos="1985"/>
                <w:tab w:val="center" w:pos="1701"/>
              </w:tabs>
              <w:spacing w:before="0"/>
              <w:rPr>
                <w:b/>
                <w:smallCaps/>
                <w:sz w:val="20"/>
              </w:rPr>
            </w:pPr>
            <w:r w:rsidRPr="00EE1056">
              <w:rPr>
                <w:b/>
                <w:sz w:val="18"/>
                <w:lang w:val="fr-CH"/>
              </w:rPr>
              <w:tab/>
            </w:r>
            <w:r w:rsidRPr="00EE1056">
              <w:rPr>
                <w:i/>
                <w:sz w:val="18"/>
                <w:lang w:val="fr-CH"/>
              </w:rPr>
              <w:t xml:space="preserve">(Direct Fax N°. </w:t>
            </w:r>
            <w:r w:rsidRPr="00C4089F">
              <w:rPr>
                <w:i/>
                <w:sz w:val="18"/>
              </w:rPr>
              <w:t>+41 22 730 57 85)</w:t>
            </w:r>
          </w:p>
        </w:tc>
      </w:tr>
    </w:tbl>
    <w:p w:rsidR="00B87E04" w:rsidRPr="00C4089F" w:rsidRDefault="00B87E04">
      <w:pPr>
        <w:tabs>
          <w:tab w:val="left" w:pos="7513"/>
        </w:tabs>
      </w:pPr>
    </w:p>
    <w:p w:rsidR="00D35752" w:rsidRPr="00C4089F" w:rsidRDefault="00D35752">
      <w:pPr>
        <w:tabs>
          <w:tab w:val="left" w:pos="7513"/>
        </w:tabs>
      </w:pPr>
    </w:p>
    <w:tbl>
      <w:tblPr>
        <w:tblW w:w="10020" w:type="dxa"/>
        <w:tblLayout w:type="fixed"/>
        <w:tblLook w:val="0000" w:firstRow="0" w:lastRow="0" w:firstColumn="0" w:lastColumn="0" w:noHBand="0" w:noVBand="0"/>
      </w:tblPr>
      <w:tblGrid>
        <w:gridCol w:w="2518"/>
        <w:gridCol w:w="7502"/>
      </w:tblGrid>
      <w:tr w:rsidR="00B87E04" w:rsidRPr="00C4089F">
        <w:trPr>
          <w:cantSplit/>
        </w:trPr>
        <w:tc>
          <w:tcPr>
            <w:tcW w:w="2518" w:type="dxa"/>
          </w:tcPr>
          <w:p w:rsidR="00B87E04" w:rsidRPr="00C4089F" w:rsidRDefault="00C83BDF" w:rsidP="00210B45">
            <w:pPr>
              <w:tabs>
                <w:tab w:val="left" w:pos="7513"/>
              </w:tabs>
              <w:jc w:val="center"/>
              <w:rPr>
                <w:b/>
              </w:rPr>
            </w:pPr>
            <w:bookmarkStart w:id="1" w:name="dletter"/>
            <w:bookmarkEnd w:id="1"/>
            <w:r w:rsidRPr="00C4089F">
              <w:t>Circular Letter</w:t>
            </w:r>
          </w:p>
          <w:p w:rsidR="0071106C" w:rsidRPr="00C4089F" w:rsidRDefault="00C83BDF" w:rsidP="004A5AB1">
            <w:pPr>
              <w:tabs>
                <w:tab w:val="clear" w:pos="794"/>
                <w:tab w:val="clear" w:pos="1191"/>
                <w:tab w:val="clear" w:pos="1588"/>
              </w:tabs>
              <w:spacing w:before="0"/>
              <w:jc w:val="center"/>
              <w:rPr>
                <w:b/>
                <w:bCs/>
              </w:rPr>
            </w:pPr>
            <w:bookmarkStart w:id="2" w:name="dnum"/>
            <w:bookmarkEnd w:id="2"/>
            <w:r w:rsidRPr="00C4089F">
              <w:rPr>
                <w:b/>
                <w:bCs/>
              </w:rPr>
              <w:t>CCRR/47</w:t>
            </w:r>
          </w:p>
        </w:tc>
        <w:tc>
          <w:tcPr>
            <w:tcW w:w="7502" w:type="dxa"/>
          </w:tcPr>
          <w:p w:rsidR="00B87E04" w:rsidRPr="00C4089F" w:rsidRDefault="00C83BDF" w:rsidP="00D35752">
            <w:pPr>
              <w:tabs>
                <w:tab w:val="left" w:pos="7513"/>
              </w:tabs>
              <w:jc w:val="right"/>
              <w:rPr>
                <w:bCs/>
              </w:rPr>
            </w:pPr>
            <w:bookmarkStart w:id="3" w:name="ddate"/>
            <w:bookmarkEnd w:id="3"/>
            <w:r w:rsidRPr="00C4089F">
              <w:rPr>
                <w:bCs/>
              </w:rPr>
              <w:t>7 January 2013</w:t>
            </w:r>
          </w:p>
        </w:tc>
      </w:tr>
    </w:tbl>
    <w:p w:rsidR="00B87E04" w:rsidRPr="00C4089F" w:rsidRDefault="005F7F4C">
      <w:pPr>
        <w:tabs>
          <w:tab w:val="left" w:pos="7513"/>
        </w:tabs>
        <w:spacing w:before="480"/>
        <w:jc w:val="center"/>
        <w:rPr>
          <w:b/>
        </w:rPr>
      </w:pPr>
      <w:r w:rsidRPr="00C4089F">
        <w:rPr>
          <w:b/>
          <w:bCs/>
        </w:rPr>
        <w:t>To Administrations of Member States of ITU</w:t>
      </w:r>
    </w:p>
    <w:p w:rsidR="00B87E04" w:rsidRPr="00C4089F" w:rsidRDefault="00B87E04" w:rsidP="007A7993">
      <w:pPr>
        <w:tabs>
          <w:tab w:val="clear" w:pos="794"/>
          <w:tab w:val="clear" w:pos="1191"/>
          <w:tab w:val="clear" w:pos="1588"/>
          <w:tab w:val="clear" w:pos="1985"/>
          <w:tab w:val="left" w:pos="709"/>
        </w:tabs>
        <w:spacing w:before="720"/>
        <w:ind w:left="1440" w:hanging="1440"/>
      </w:pPr>
      <w:r w:rsidRPr="00C4089F">
        <w:rPr>
          <w:b/>
        </w:rPr>
        <w:t>Subject</w:t>
      </w:r>
      <w:r w:rsidRPr="00C4089F">
        <w:t>:</w:t>
      </w:r>
      <w:r w:rsidRPr="00C4089F">
        <w:tab/>
      </w:r>
      <w:bookmarkStart w:id="4" w:name="dtitle1"/>
      <w:bookmarkEnd w:id="4"/>
      <w:r w:rsidR="00C83BDF" w:rsidRPr="00C4089F">
        <w:t>Draft Rules of Procedure</w:t>
      </w:r>
      <w:r w:rsidR="007A7993" w:rsidRPr="00C4089F">
        <w:t xml:space="preserve"> to reflect the decisions of WRC-12 and existing rules that may require updates</w:t>
      </w:r>
    </w:p>
    <w:p w:rsidR="001E15AA" w:rsidRPr="00C4089F" w:rsidRDefault="001E15AA" w:rsidP="001E15AA">
      <w:pPr>
        <w:tabs>
          <w:tab w:val="clear" w:pos="794"/>
          <w:tab w:val="clear" w:pos="1191"/>
          <w:tab w:val="clear" w:pos="1588"/>
          <w:tab w:val="clear" w:pos="1985"/>
          <w:tab w:val="left" w:pos="709"/>
        </w:tabs>
        <w:spacing w:before="480"/>
        <w:ind w:left="709" w:hanging="709"/>
        <w:rPr>
          <w:b/>
          <w:bCs/>
        </w:rPr>
      </w:pPr>
      <w:r w:rsidRPr="00C4089F">
        <w:rPr>
          <w:b/>
          <w:bCs/>
        </w:rPr>
        <w:t>To the Director-General</w:t>
      </w:r>
    </w:p>
    <w:p w:rsidR="00C83BDF" w:rsidRPr="00C4089F" w:rsidRDefault="00C83BDF" w:rsidP="004F1B56">
      <w:pPr>
        <w:spacing w:before="360"/>
      </w:pPr>
      <w:r w:rsidRPr="00C4089F">
        <w:t>Dear Madam/Sir,</w:t>
      </w:r>
    </w:p>
    <w:p w:rsidR="00C83BDF" w:rsidRPr="00C4089F" w:rsidRDefault="00C83BDF" w:rsidP="007A7993">
      <w:r w:rsidRPr="00C4089F">
        <w:t>At its 59th meeting (14-18 May 2012), the Radio Regulations Board considered the impact of WRC</w:t>
      </w:r>
      <w:r w:rsidRPr="00C4089F">
        <w:noBreakHyphen/>
        <w:t>12 decisions on the current Rules of Procedure and agreed on the schedule for considering draft new and modified existing Rules of Procedure on the basis of the document presented by BR (see Document RRB12-1/4) and other inputs by Board members. The Board instructed the Bureau to proceed accordingly, under the understanding that the schedule may be eventually adjusted on the basis of additional studies (see Revision 4 to Document RRB12-1/4).</w:t>
      </w:r>
      <w:r w:rsidR="007A7993" w:rsidRPr="00C4089F">
        <w:t xml:space="preserve"> </w:t>
      </w:r>
    </w:p>
    <w:p w:rsidR="00C83BDF" w:rsidRPr="00C4089F" w:rsidRDefault="00C83BDF" w:rsidP="007A7993">
      <w:r w:rsidRPr="00C4089F">
        <w:t>The Bureau therefore prepared a third set of draft new or modified Rules of Procedure as a consequence of the decisions of WRC-12.</w:t>
      </w:r>
    </w:p>
    <w:p w:rsidR="00C83BDF" w:rsidRPr="00C4089F" w:rsidRDefault="00C83BDF" w:rsidP="007A7993">
      <w:r w:rsidRPr="00C4089F">
        <w:t xml:space="preserve">In accordance with No. </w:t>
      </w:r>
      <w:r w:rsidRPr="00C4089F">
        <w:rPr>
          <w:b/>
          <w:bCs/>
        </w:rPr>
        <w:t>13.17</w:t>
      </w:r>
      <w:r w:rsidRPr="00C4089F">
        <w:t xml:space="preserve"> of the Radio Regulations, these draft Rules of Procedure are made available to administrations for comment before being submitted to the RRB pursuant to No. </w:t>
      </w:r>
      <w:r w:rsidRPr="00C4089F">
        <w:rPr>
          <w:b/>
          <w:bCs/>
        </w:rPr>
        <w:t>13.14</w:t>
      </w:r>
      <w:r w:rsidRPr="00C4089F">
        <w:t xml:space="preserve">. As indicated in No. </w:t>
      </w:r>
      <w:r w:rsidRPr="00C4089F">
        <w:rPr>
          <w:b/>
          <w:bCs/>
        </w:rPr>
        <w:t>13.12A</w:t>
      </w:r>
      <w:r w:rsidRPr="00C4089F">
        <w:t xml:space="preserve"> </w:t>
      </w:r>
      <w:r w:rsidRPr="00C4089F">
        <w:rPr>
          <w:i/>
          <w:iCs/>
        </w:rPr>
        <w:t>d)</w:t>
      </w:r>
      <w:r w:rsidRPr="00C4089F">
        <w:t xml:space="preserve"> of the Radio Regulations, any comments that you may wish to submit should reach the Bureau not later than </w:t>
      </w:r>
      <w:r w:rsidRPr="00C4089F">
        <w:rPr>
          <w:b/>
          <w:bCs/>
        </w:rPr>
        <w:t>18 February 2013</w:t>
      </w:r>
      <w:r w:rsidRPr="00C4089F">
        <w:t xml:space="preserve">, in order to be considered at the 62nd meeting of the RRB, scheduled for 18-22 March 2013. All e-mail comments should be sent to: </w:t>
      </w:r>
      <w:hyperlink r:id="rId10" w:history="1">
        <w:r w:rsidRPr="00C4089F">
          <w:rPr>
            <w:color w:val="0000FF"/>
            <w:u w:val="single"/>
          </w:rPr>
          <w:t>brmail@itu.int</w:t>
        </w:r>
      </w:hyperlink>
      <w:r w:rsidRPr="00C4089F">
        <w:t>.</w:t>
      </w:r>
    </w:p>
    <w:p w:rsidR="00C83BDF" w:rsidRPr="00C4089F" w:rsidRDefault="00C83BDF" w:rsidP="004F1B56">
      <w:pPr>
        <w:tabs>
          <w:tab w:val="center" w:pos="7140"/>
        </w:tabs>
      </w:pPr>
      <w:r w:rsidRPr="00C4089F">
        <w:tab/>
      </w:r>
      <w:r w:rsidRPr="00C4089F">
        <w:tab/>
      </w:r>
      <w:r w:rsidRPr="00C4089F">
        <w:tab/>
      </w:r>
      <w:r w:rsidRPr="00C4089F">
        <w:tab/>
      </w:r>
      <w:r w:rsidRPr="00C4089F">
        <w:tab/>
        <w:t>Yours faithfully,</w:t>
      </w:r>
    </w:p>
    <w:p w:rsidR="00C83BDF" w:rsidRPr="00C4089F" w:rsidRDefault="00C83BDF" w:rsidP="004F1B56">
      <w:pPr>
        <w:tabs>
          <w:tab w:val="center" w:pos="7140"/>
        </w:tabs>
        <w:spacing w:before="720"/>
      </w:pPr>
      <w:r w:rsidRPr="00C4089F">
        <w:tab/>
      </w:r>
      <w:r w:rsidRPr="00C4089F">
        <w:tab/>
      </w:r>
      <w:r w:rsidRPr="00C4089F">
        <w:tab/>
      </w:r>
      <w:r w:rsidRPr="00C4089F">
        <w:tab/>
      </w:r>
      <w:r w:rsidRPr="00C4089F">
        <w:tab/>
        <w:t>F. Rancy</w:t>
      </w:r>
      <w:r w:rsidRPr="00C4089F">
        <w:br/>
      </w:r>
      <w:r w:rsidRPr="00C4089F">
        <w:tab/>
      </w:r>
      <w:r w:rsidRPr="00C4089F">
        <w:tab/>
      </w:r>
      <w:r w:rsidRPr="00C4089F">
        <w:tab/>
      </w:r>
      <w:r w:rsidRPr="00C4089F">
        <w:tab/>
      </w:r>
      <w:r w:rsidRPr="00C4089F">
        <w:tab/>
        <w:t xml:space="preserve">Director, </w:t>
      </w:r>
      <w:proofErr w:type="spellStart"/>
      <w:r w:rsidRPr="00C4089F">
        <w:t>Radiocommunication</w:t>
      </w:r>
      <w:proofErr w:type="spellEnd"/>
      <w:r w:rsidRPr="00C4089F">
        <w:t xml:space="preserve"> Bureau</w:t>
      </w:r>
    </w:p>
    <w:p w:rsidR="00C83BDF" w:rsidRPr="00C4089F" w:rsidRDefault="00C83BDF" w:rsidP="004F1B56">
      <w:r w:rsidRPr="00C4089F">
        <w:rPr>
          <w:b/>
          <w:bCs/>
        </w:rPr>
        <w:t xml:space="preserve">Annexes: </w:t>
      </w:r>
      <w:r w:rsidRPr="00C4089F">
        <w:t>1</w:t>
      </w:r>
    </w:p>
    <w:p w:rsidR="00C83BDF" w:rsidRPr="00C4089F" w:rsidRDefault="00C83BDF" w:rsidP="004F1B56">
      <w:pPr>
        <w:tabs>
          <w:tab w:val="left" w:pos="284"/>
          <w:tab w:val="left" w:pos="568"/>
        </w:tabs>
        <w:spacing w:before="240" w:after="80"/>
        <w:ind w:right="-1"/>
        <w:rPr>
          <w:b/>
          <w:bCs/>
          <w:sz w:val="18"/>
          <w:szCs w:val="18"/>
        </w:rPr>
      </w:pPr>
      <w:r w:rsidRPr="00C4089F">
        <w:rPr>
          <w:b/>
          <w:bCs/>
          <w:sz w:val="18"/>
          <w:szCs w:val="18"/>
        </w:rPr>
        <w:t>Distribution:</w:t>
      </w:r>
    </w:p>
    <w:p w:rsidR="00C83BDF" w:rsidRPr="00C4089F" w:rsidRDefault="00C83BDF" w:rsidP="004F1B56">
      <w:pPr>
        <w:tabs>
          <w:tab w:val="left" w:pos="284"/>
        </w:tabs>
        <w:spacing w:before="0"/>
        <w:ind w:right="-1"/>
        <w:rPr>
          <w:sz w:val="18"/>
          <w:szCs w:val="18"/>
        </w:rPr>
      </w:pPr>
      <w:r w:rsidRPr="00C4089F">
        <w:rPr>
          <w:sz w:val="18"/>
          <w:szCs w:val="18"/>
        </w:rPr>
        <w:t>–</w:t>
      </w:r>
      <w:r w:rsidRPr="00C4089F">
        <w:rPr>
          <w:sz w:val="18"/>
          <w:szCs w:val="18"/>
        </w:rPr>
        <w:tab/>
        <w:t>Administrations of Member States of the ITU</w:t>
      </w:r>
    </w:p>
    <w:p w:rsidR="00C83BDF" w:rsidRPr="00C4089F" w:rsidRDefault="00C83BDF" w:rsidP="004F1B56">
      <w:pPr>
        <w:tabs>
          <w:tab w:val="left" w:pos="284"/>
        </w:tabs>
        <w:spacing w:before="0"/>
        <w:ind w:right="-1"/>
        <w:rPr>
          <w:sz w:val="18"/>
          <w:szCs w:val="18"/>
        </w:rPr>
      </w:pPr>
      <w:r w:rsidRPr="00C4089F">
        <w:rPr>
          <w:sz w:val="18"/>
          <w:szCs w:val="18"/>
        </w:rPr>
        <w:t>–</w:t>
      </w:r>
      <w:r w:rsidRPr="00C4089F">
        <w:rPr>
          <w:sz w:val="18"/>
          <w:szCs w:val="18"/>
        </w:rPr>
        <w:tab/>
        <w:t>Members of the Radio Regulations Board</w:t>
      </w:r>
    </w:p>
    <w:p w:rsidR="00C83BDF" w:rsidRPr="00C4089F" w:rsidRDefault="00C83BDF" w:rsidP="004F1B56">
      <w:pPr>
        <w:tabs>
          <w:tab w:val="left" w:pos="284"/>
        </w:tabs>
        <w:spacing w:before="0"/>
        <w:ind w:right="-1"/>
        <w:rPr>
          <w:sz w:val="16"/>
        </w:rPr>
      </w:pPr>
      <w:r w:rsidRPr="00C4089F">
        <w:rPr>
          <w:sz w:val="18"/>
          <w:szCs w:val="18"/>
        </w:rPr>
        <w:t>–</w:t>
      </w:r>
      <w:r w:rsidRPr="00C4089F">
        <w:rPr>
          <w:sz w:val="18"/>
          <w:szCs w:val="18"/>
        </w:rPr>
        <w:tab/>
        <w:t xml:space="preserve">Director and Heads of Department of the </w:t>
      </w:r>
      <w:proofErr w:type="spellStart"/>
      <w:r w:rsidRPr="00C4089F">
        <w:rPr>
          <w:sz w:val="18"/>
          <w:szCs w:val="18"/>
        </w:rPr>
        <w:t>Radiocommunication</w:t>
      </w:r>
      <w:proofErr w:type="spellEnd"/>
      <w:r w:rsidRPr="00C4089F">
        <w:rPr>
          <w:sz w:val="18"/>
          <w:szCs w:val="18"/>
        </w:rPr>
        <w:t xml:space="preserve"> Bureau</w:t>
      </w:r>
    </w:p>
    <w:p w:rsidR="00C83BDF" w:rsidRPr="00C4089F" w:rsidRDefault="00C83BDF" w:rsidP="004F1B56">
      <w:pPr>
        <w:tabs>
          <w:tab w:val="left" w:pos="284"/>
        </w:tabs>
        <w:spacing w:before="0"/>
        <w:ind w:right="-1"/>
        <w:rPr>
          <w:sz w:val="16"/>
        </w:rPr>
        <w:sectPr w:rsidR="00C83BDF" w:rsidRPr="00C4089F" w:rsidSect="00EC4113">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pPr>
    </w:p>
    <w:p w:rsidR="00C83BDF" w:rsidRPr="00C4089F" w:rsidRDefault="00C83BDF" w:rsidP="00EC4113">
      <w:pPr>
        <w:pStyle w:val="AnnexNotitle"/>
        <w:rPr>
          <w:b w:val="0"/>
          <w:bCs/>
        </w:rPr>
      </w:pPr>
      <w:r w:rsidRPr="00C4089F">
        <w:rPr>
          <w:b w:val="0"/>
          <w:bCs/>
        </w:rPr>
        <w:lastRenderedPageBreak/>
        <w:t>ANNEX 1</w:t>
      </w:r>
    </w:p>
    <w:p w:rsidR="00C83BDF" w:rsidRPr="00C4089F" w:rsidRDefault="00C83BDF" w:rsidP="00EC4113">
      <w:pPr>
        <w:pStyle w:val="AnnexNotitle"/>
      </w:pPr>
      <w:r w:rsidRPr="00C4089F">
        <w:t>Rules concerning</w:t>
      </w:r>
      <w:r w:rsidR="00EC4113" w:rsidRPr="00C4089F">
        <w:br/>
      </w:r>
      <w:r w:rsidR="00EC4113" w:rsidRPr="00C4089F">
        <w:br/>
      </w:r>
      <w:r w:rsidRPr="00C4089F">
        <w:t>ARTICLE 9 of the RR</w:t>
      </w:r>
      <w:r w:rsidRPr="00C4089F">
        <w:rPr>
          <w:rStyle w:val="FootnoteReference"/>
          <w:b w:val="0"/>
          <w:szCs w:val="24"/>
        </w:rPr>
        <w:footnoteReference w:id="1"/>
      </w:r>
    </w:p>
    <w:p w:rsidR="00C83BDF" w:rsidRPr="00C4089F" w:rsidRDefault="00C83BDF" w:rsidP="00EE1056">
      <w:pPr>
        <w:pStyle w:val="Headingb"/>
      </w:pPr>
      <w:r w:rsidRPr="00EE1056">
        <w:t>ADD</w:t>
      </w:r>
    </w:p>
    <w:p w:rsidR="00C83BDF" w:rsidRPr="00C4089F" w:rsidRDefault="00C83BDF" w:rsidP="00EC4113">
      <w:pPr>
        <w:pStyle w:val="Heading1"/>
        <w:ind w:left="0" w:firstLine="0"/>
        <w:jc w:val="center"/>
      </w:pPr>
      <w:r w:rsidRPr="00C4089F">
        <w:t>Rules concerning the l</w:t>
      </w:r>
      <w:r w:rsidRPr="00C4089F">
        <w:rPr>
          <w:rFonts w:eastAsia="SimSun"/>
        </w:rPr>
        <w:t xml:space="preserve">ate payment of cost recovery fees and </w:t>
      </w:r>
      <w:r w:rsidRPr="00C4089F">
        <w:rPr>
          <w:rFonts w:eastAsia="SimSun"/>
        </w:rPr>
        <w:br/>
        <w:t>cancellation of satellite network filings due to non-paymen</w:t>
      </w:r>
      <w:r w:rsidRPr="00C4089F">
        <w:t xml:space="preserve">t of cost recovery fees </w:t>
      </w:r>
      <w:r w:rsidRPr="00C4089F">
        <w:br/>
        <w:t>in accordance with Council Decision 482</w:t>
      </w:r>
    </w:p>
    <w:p w:rsidR="00C83BDF" w:rsidRPr="00C4089F" w:rsidRDefault="00EC4113" w:rsidP="00EC4113">
      <w:pPr>
        <w:pStyle w:val="Normalaftertitle"/>
      </w:pPr>
      <w:r w:rsidRPr="00C4089F">
        <w:t>1</w:t>
      </w:r>
      <w:r w:rsidRPr="00C4089F">
        <w:tab/>
      </w:r>
      <w:r w:rsidR="00C83BDF" w:rsidRPr="00C4089F">
        <w:t>The provisions of Nos. 9.2B.1 and 9.38.1 of Article 9, A.11.6 of Article 11, footnotes 7 to § 4.1.5, 8 to § 4.1.15, 16 to § 4.2.8, 17 to § 4.2.19, 18 to the title of Article 5, of Appendix 30, footnotes 9 to § 4.1.5, 10 to § 4.1.15, 19 to § 4.2.8, 20 to § 4.2.19, 22 to the title of Article 5, of Appendix 30A and footnote 1 to the title of Article 6, footnote 11 to the title of Article 8 of Appendix 30B, stipulate that if the payments for a notice submitted in accordance with the above provisions are not received in accordance with the provisions of Council Decision 482, as amended, on the implementation of cost recovery for satellite networks filings, the Bureau shall cancel the publication after informing the administration concerned.</w:t>
      </w:r>
    </w:p>
    <w:p w:rsidR="00C83BDF" w:rsidRPr="00C4089F" w:rsidRDefault="00EC4113" w:rsidP="00EC4113">
      <w:r w:rsidRPr="00C4089F">
        <w:rPr>
          <w:rFonts w:eastAsia="SimSun"/>
        </w:rPr>
        <w:t>2</w:t>
      </w:r>
      <w:r w:rsidRPr="00C4089F">
        <w:rPr>
          <w:rFonts w:eastAsia="SimSun"/>
        </w:rPr>
        <w:tab/>
      </w:r>
      <w:r w:rsidR="00C83BDF" w:rsidRPr="00C4089F">
        <w:rPr>
          <w:rFonts w:eastAsia="SimSun"/>
        </w:rPr>
        <w:t>Council Decision 482 stipulates that payment of charges shall be made on the basis of an invoice issued upon receipt of the filing by the Bureau and sent to the notifying administration within a period of a maximum of six months after issue of the invoice.</w:t>
      </w:r>
    </w:p>
    <w:p w:rsidR="00C83BDF" w:rsidRPr="00C4089F" w:rsidRDefault="00EC4113" w:rsidP="00EC4113">
      <w:pPr>
        <w:rPr>
          <w:rFonts w:eastAsia="SimSun"/>
          <w:lang w:eastAsia="zh-CN"/>
        </w:rPr>
      </w:pPr>
      <w:r w:rsidRPr="00C4089F">
        <w:rPr>
          <w:rFonts w:eastAsia="SimSun"/>
          <w:lang w:eastAsia="zh-CN"/>
        </w:rPr>
        <w:t>3</w:t>
      </w:r>
      <w:r w:rsidRPr="00C4089F">
        <w:rPr>
          <w:rFonts w:eastAsia="SimSun"/>
          <w:lang w:eastAsia="zh-CN"/>
        </w:rPr>
        <w:tab/>
      </w:r>
      <w:r w:rsidR="00C83BDF" w:rsidRPr="00C4089F">
        <w:rPr>
          <w:rFonts w:eastAsia="SimSun"/>
          <w:lang w:eastAsia="zh-CN"/>
        </w:rPr>
        <w:t>Due to administrative delay related mainly to the confirmation of</w:t>
      </w:r>
      <w:r w:rsidR="007A7993" w:rsidRPr="00C4089F">
        <w:rPr>
          <w:rFonts w:eastAsia="SimSun"/>
          <w:lang w:eastAsia="zh-CN"/>
        </w:rPr>
        <w:t xml:space="preserve"> </w:t>
      </w:r>
      <w:r w:rsidR="00C83BDF" w:rsidRPr="00C4089F">
        <w:rPr>
          <w:rFonts w:eastAsia="SimSun"/>
          <w:lang w:eastAsia="zh-CN"/>
        </w:rPr>
        <w:t>payment by financial institutions and internal validation between the Bureau and the Financial Resources Management Department</w:t>
      </w:r>
      <w:r w:rsidR="007A7993" w:rsidRPr="00C4089F">
        <w:rPr>
          <w:rFonts w:eastAsia="SimSun"/>
          <w:lang w:eastAsia="zh-CN"/>
        </w:rPr>
        <w:t xml:space="preserve"> </w:t>
      </w:r>
      <w:r w:rsidR="00C83BDF" w:rsidRPr="00C4089F">
        <w:rPr>
          <w:rFonts w:eastAsia="SimSun"/>
          <w:lang w:eastAsia="zh-CN"/>
        </w:rPr>
        <w:t>of the General Secretariat, the decision by the Bureau on a late or non-payment of a satellite network notice is normally submitted for consideration and confirmation at a BR IFIC meeting which is taking place no more than six weeks after the six-month deadline for cost-recovery fees of the considered notices.</w:t>
      </w:r>
    </w:p>
    <w:p w:rsidR="00C83BDF" w:rsidRPr="00C4089F" w:rsidRDefault="00EC4113" w:rsidP="00EC4113">
      <w:pPr>
        <w:rPr>
          <w:rFonts w:eastAsia="SimSun"/>
          <w:lang w:eastAsia="zh-CN"/>
        </w:rPr>
      </w:pPr>
      <w:r w:rsidRPr="00C4089F">
        <w:rPr>
          <w:rFonts w:eastAsia="SimSun"/>
          <w:lang w:eastAsia="zh-CN"/>
        </w:rPr>
        <w:t>4</w:t>
      </w:r>
      <w:r w:rsidRPr="00C4089F">
        <w:rPr>
          <w:rFonts w:eastAsia="SimSun"/>
          <w:lang w:eastAsia="zh-CN"/>
        </w:rPr>
        <w:tab/>
      </w:r>
      <w:r w:rsidR="00C83BDF" w:rsidRPr="00C4089F">
        <w:rPr>
          <w:rFonts w:eastAsia="SimSun"/>
          <w:lang w:eastAsia="zh-CN"/>
        </w:rPr>
        <w:t>In view of the above, the Board decided that satellite networks filings for which the payment has been received after the six-month deadline but prior to the BR IFIC meeting where the late payment is considered, shall continue to be taken into account.</w:t>
      </w:r>
    </w:p>
    <w:p w:rsidR="00C83BDF" w:rsidRPr="00C4089F" w:rsidRDefault="00EC4113" w:rsidP="00EC4113">
      <w:pPr>
        <w:rPr>
          <w:rFonts w:eastAsia="SimSun"/>
          <w:lang w:eastAsia="zh-CN"/>
        </w:rPr>
      </w:pPr>
      <w:r w:rsidRPr="00C4089F">
        <w:rPr>
          <w:rFonts w:eastAsia="SimSun"/>
          <w:lang w:eastAsia="zh-CN"/>
        </w:rPr>
        <w:t>5</w:t>
      </w:r>
      <w:r w:rsidRPr="00C4089F">
        <w:rPr>
          <w:rFonts w:eastAsia="SimSun"/>
          <w:lang w:eastAsia="zh-CN"/>
        </w:rPr>
        <w:tab/>
      </w:r>
      <w:r w:rsidR="00C83BDF" w:rsidRPr="00C4089F">
        <w:rPr>
          <w:rFonts w:eastAsia="SimSun"/>
          <w:lang w:eastAsia="zh-CN"/>
        </w:rPr>
        <w:t>Any satellite network filing for which a payment is received after the BR IFIC meeting where a decision of cancellation of that filing for non-payment has been taken, shall be no more taken into account, and the matter would be reported to a meeting of the Radio Regulations Board,</w:t>
      </w:r>
      <w:r w:rsidR="007A7993" w:rsidRPr="00C4089F">
        <w:rPr>
          <w:rFonts w:eastAsia="SimSun"/>
          <w:lang w:eastAsia="zh-CN"/>
        </w:rPr>
        <w:t xml:space="preserve"> </w:t>
      </w:r>
      <w:r w:rsidR="00C83BDF" w:rsidRPr="00C4089F">
        <w:rPr>
          <w:rFonts w:eastAsia="SimSun"/>
          <w:lang w:eastAsia="zh-CN"/>
        </w:rPr>
        <w:t>if the concerned administration so wishes.</w:t>
      </w:r>
    </w:p>
    <w:p w:rsidR="00C83BDF" w:rsidRPr="00C4089F" w:rsidRDefault="00C83BDF" w:rsidP="00EC4113">
      <w:pPr>
        <w:pStyle w:val="Reasons"/>
        <w:rPr>
          <w:i/>
          <w:iCs/>
        </w:rPr>
      </w:pPr>
      <w:r w:rsidRPr="00C4089F">
        <w:rPr>
          <w:b/>
          <w:bCs/>
          <w:i/>
          <w:iCs/>
        </w:rPr>
        <w:t>Reason</w:t>
      </w:r>
      <w:r w:rsidR="00EC4113" w:rsidRPr="00C4089F">
        <w:rPr>
          <w:b/>
          <w:bCs/>
          <w:i/>
          <w:iCs/>
        </w:rPr>
        <w:t>s</w:t>
      </w:r>
      <w:r w:rsidRPr="00C4089F">
        <w:rPr>
          <w:i/>
          <w:iCs/>
        </w:rPr>
        <w:t>:</w:t>
      </w:r>
      <w:r w:rsidR="007A7993" w:rsidRPr="00C4089F">
        <w:rPr>
          <w:i/>
          <w:iCs/>
        </w:rPr>
        <w:t xml:space="preserve"> </w:t>
      </w:r>
      <w:r w:rsidRPr="00C4089F">
        <w:rPr>
          <w:i/>
          <w:iCs/>
        </w:rPr>
        <w:t>Follow-up to RRB request in Document RRB12-1/4 and subsequent revisions</w:t>
      </w:r>
      <w:r w:rsidR="00EC4113" w:rsidRPr="00C4089F">
        <w:rPr>
          <w:i/>
          <w:iCs/>
        </w:rPr>
        <w:t>.</w:t>
      </w:r>
    </w:p>
    <w:p w:rsidR="00C83BDF" w:rsidRPr="00C4089F" w:rsidRDefault="00C83BDF" w:rsidP="00954505">
      <w:pPr>
        <w:tabs>
          <w:tab w:val="clear" w:pos="794"/>
          <w:tab w:val="clear" w:pos="1191"/>
          <w:tab w:val="clear" w:pos="1588"/>
          <w:tab w:val="clear" w:pos="1985"/>
        </w:tabs>
        <w:overflowPunct/>
        <w:autoSpaceDE/>
        <w:autoSpaceDN/>
        <w:adjustRightInd/>
        <w:spacing w:after="240"/>
        <w:textAlignment w:val="auto"/>
        <w:rPr>
          <w:rFonts w:eastAsia="SimSun"/>
          <w:szCs w:val="24"/>
          <w:lang w:eastAsia="zh-CN"/>
        </w:rPr>
      </w:pPr>
      <w:r w:rsidRPr="00C4089F">
        <w:rPr>
          <w:rFonts w:eastAsia="SimSun"/>
          <w:i/>
          <w:iCs/>
          <w:szCs w:val="24"/>
          <w:lang w:eastAsia="zh-CN"/>
        </w:rPr>
        <w:t>Effective date of application of this Rule: Immediately on approval</w:t>
      </w:r>
    </w:p>
    <w:p w:rsidR="00C83BDF" w:rsidRPr="00C4089F" w:rsidRDefault="00C83BDF" w:rsidP="00EC4113">
      <w:pPr>
        <w:pStyle w:val="AnnexNotitle"/>
        <w:rPr>
          <w:bCs/>
          <w:szCs w:val="24"/>
        </w:rPr>
      </w:pPr>
      <w:r w:rsidRPr="00C4089F">
        <w:br w:type="page"/>
      </w:r>
      <w:r w:rsidRPr="00C4089F">
        <w:lastRenderedPageBreak/>
        <w:t>Rules concerning</w:t>
      </w:r>
      <w:r w:rsidR="00EC4113" w:rsidRPr="00C4089F">
        <w:br/>
      </w:r>
      <w:r w:rsidR="00EC4113" w:rsidRPr="00C4089F">
        <w:br/>
      </w:r>
      <w:r w:rsidRPr="00C4089F">
        <w:rPr>
          <w:bCs/>
          <w:szCs w:val="24"/>
        </w:rPr>
        <w:t>ARTICLE 11 of the RR</w:t>
      </w:r>
    </w:p>
    <w:p w:rsidR="00C83BDF" w:rsidRPr="00C4089F" w:rsidRDefault="00C83BDF" w:rsidP="00EE1056">
      <w:pPr>
        <w:pStyle w:val="Headingb"/>
        <w:rPr>
          <w:rFonts w:eastAsia="SimSun"/>
          <w:lang w:eastAsia="zh-CN"/>
        </w:rPr>
      </w:pPr>
      <w:r w:rsidRPr="00EE1056">
        <w:rPr>
          <w:rFonts w:eastAsia="SimSun"/>
          <w:lang w:eastAsia="zh-CN"/>
        </w:rPr>
        <w:t>ADD</w:t>
      </w:r>
    </w:p>
    <w:p w:rsidR="00C83BDF" w:rsidRPr="00C4089F" w:rsidRDefault="00C83BDF" w:rsidP="00EC4113">
      <w:pPr>
        <w:pStyle w:val="Heading1"/>
        <w:ind w:left="0" w:firstLine="0"/>
        <w:jc w:val="center"/>
        <w:rPr>
          <w:rFonts w:eastAsia="SimSun"/>
          <w:lang w:eastAsia="zh-CN"/>
        </w:rPr>
      </w:pPr>
      <w:r w:rsidRPr="00C4089F">
        <w:rPr>
          <w:rFonts w:eastAsia="SimSun"/>
          <w:lang w:eastAsia="zh-CN"/>
        </w:rPr>
        <w:t xml:space="preserve">Consolidation of frequency assignments of different GSO networks submitted by an administration at the same orbital position into frequency assignments of </w:t>
      </w:r>
      <w:r w:rsidRPr="00C4089F">
        <w:rPr>
          <w:rFonts w:eastAsia="SimSun"/>
          <w:lang w:eastAsia="zh-CN"/>
        </w:rPr>
        <w:br/>
        <w:t>a single satellite network</w:t>
      </w:r>
    </w:p>
    <w:p w:rsidR="00C83BDF" w:rsidRPr="00C4089F" w:rsidRDefault="00EC4113" w:rsidP="00EC4113">
      <w:pPr>
        <w:pStyle w:val="Heading1"/>
        <w:rPr>
          <w:rFonts w:eastAsia="SimSun"/>
          <w:lang w:eastAsia="zh-CN"/>
        </w:rPr>
      </w:pPr>
      <w:r w:rsidRPr="00C4089F">
        <w:rPr>
          <w:rFonts w:eastAsia="SimSun"/>
          <w:lang w:eastAsia="zh-CN"/>
        </w:rPr>
        <w:t>1</w:t>
      </w:r>
      <w:r w:rsidRPr="00C4089F">
        <w:rPr>
          <w:rFonts w:eastAsia="SimSun"/>
          <w:lang w:eastAsia="zh-CN"/>
        </w:rPr>
        <w:tab/>
      </w:r>
      <w:r w:rsidR="00C83BDF" w:rsidRPr="00C4089F">
        <w:rPr>
          <w:rFonts w:eastAsia="SimSun"/>
          <w:lang w:eastAsia="zh-CN"/>
        </w:rPr>
        <w:t>Introduction</w:t>
      </w:r>
    </w:p>
    <w:p w:rsidR="00EC4113" w:rsidRPr="00C4089F" w:rsidRDefault="00C83BDF" w:rsidP="00EC4113">
      <w:pPr>
        <w:rPr>
          <w:rFonts w:eastAsia="SimSun"/>
          <w:lang w:eastAsia="zh-CN"/>
        </w:rPr>
      </w:pPr>
      <w:r w:rsidRPr="00C4089F">
        <w:rPr>
          <w:rFonts w:eastAsia="SimSun"/>
          <w:lang w:eastAsia="zh-CN"/>
        </w:rPr>
        <w:t xml:space="preserve">The Board noted WRC-12 requirement for a detailed description of the </w:t>
      </w:r>
      <w:proofErr w:type="spellStart"/>
      <w:r w:rsidRPr="00C4089F">
        <w:rPr>
          <w:rFonts w:eastAsia="SimSun"/>
          <w:lang w:eastAsia="zh-CN"/>
        </w:rPr>
        <w:t>Radiocommunication</w:t>
      </w:r>
      <w:proofErr w:type="spellEnd"/>
      <w:r w:rsidRPr="00C4089F">
        <w:rPr>
          <w:rFonts w:eastAsia="SimSun"/>
          <w:lang w:eastAsia="zh-CN"/>
        </w:rPr>
        <w:t xml:space="preserve"> Bureau’s actions with respect to consolidating frequency assignments of different </w:t>
      </w:r>
      <w:r w:rsidR="00EC4113" w:rsidRPr="00C4089F">
        <w:rPr>
          <w:rFonts w:eastAsia="SimSun"/>
          <w:lang w:eastAsia="zh-CN"/>
        </w:rPr>
        <w:t>geostationary-satellite orbit</w:t>
      </w:r>
      <w:r w:rsidRPr="00C4089F">
        <w:rPr>
          <w:rFonts w:eastAsia="SimSun"/>
          <w:lang w:eastAsia="zh-CN"/>
        </w:rPr>
        <w:t xml:space="preserve"> (GSO) networks submitted by an administration at the same orbital position, into frequency assignments of a single satellite network.</w:t>
      </w:r>
    </w:p>
    <w:p w:rsidR="00C83BDF" w:rsidRPr="00C4089F" w:rsidRDefault="00C83BDF" w:rsidP="00EC4113">
      <w:pPr>
        <w:rPr>
          <w:rFonts w:eastAsia="SimSun"/>
          <w:lang w:eastAsia="zh-CN"/>
        </w:rPr>
      </w:pPr>
      <w:r w:rsidRPr="00C4089F">
        <w:rPr>
          <w:rFonts w:eastAsia="SimSun"/>
          <w:lang w:eastAsia="zh-CN"/>
        </w:rPr>
        <w:t>In this respect, the Board understands that the consolidation of satellite networks shall be possible upon requests by a notifying administration for frequency assignments of GSO satellite networks already recorded in the MIFR after successful application of notification procedures and that the</w:t>
      </w:r>
      <w:r w:rsidR="007A7993" w:rsidRPr="00C4089F">
        <w:rPr>
          <w:rFonts w:eastAsia="SimSun"/>
          <w:lang w:eastAsia="zh-CN"/>
        </w:rPr>
        <w:t xml:space="preserve"> </w:t>
      </w:r>
      <w:r w:rsidRPr="00C4089F">
        <w:rPr>
          <w:rFonts w:eastAsia="SimSun"/>
          <w:lang w:eastAsia="zh-CN"/>
        </w:rPr>
        <w:t>following principles shall apply.</w:t>
      </w:r>
    </w:p>
    <w:p w:rsidR="00C83BDF" w:rsidRPr="00C4089F" w:rsidRDefault="00EC4113" w:rsidP="00EC4113">
      <w:pPr>
        <w:pStyle w:val="Heading1"/>
        <w:rPr>
          <w:rFonts w:eastAsia="SimSun"/>
          <w:lang w:eastAsia="zh-CN"/>
        </w:rPr>
      </w:pPr>
      <w:r w:rsidRPr="00C4089F">
        <w:rPr>
          <w:rFonts w:eastAsia="SimSun"/>
          <w:lang w:eastAsia="zh-CN"/>
        </w:rPr>
        <w:t>2</w:t>
      </w:r>
      <w:r w:rsidRPr="00C4089F">
        <w:rPr>
          <w:rFonts w:eastAsia="SimSun"/>
          <w:lang w:eastAsia="zh-CN"/>
        </w:rPr>
        <w:tab/>
      </w:r>
      <w:r w:rsidR="00C83BDF" w:rsidRPr="00C4089F">
        <w:rPr>
          <w:rFonts w:eastAsia="SimSun"/>
          <w:lang w:eastAsia="zh-CN"/>
        </w:rPr>
        <w:t>Structure of notice</w:t>
      </w:r>
    </w:p>
    <w:p w:rsidR="00C83BDF" w:rsidRPr="00C4089F" w:rsidRDefault="00C83BDF" w:rsidP="00EC4113">
      <w:pPr>
        <w:rPr>
          <w:rFonts w:eastAsia="SimSun"/>
          <w:lang w:eastAsia="zh-CN"/>
        </w:rPr>
      </w:pPr>
      <w:r w:rsidRPr="00C4089F">
        <w:rPr>
          <w:rFonts w:eastAsia="SimSun"/>
          <w:lang w:eastAsia="zh-CN"/>
        </w:rPr>
        <w:t xml:space="preserve">The consolidation of recorded frequency assignments of several satellite networks into one network will consist in aggregating all alphanumerical data related to frequency assignments of the involved GSO satellite networks contained in the Space Network Systems database (SNS) of the </w:t>
      </w:r>
      <w:proofErr w:type="spellStart"/>
      <w:r w:rsidRPr="00C4089F">
        <w:rPr>
          <w:rFonts w:eastAsia="SimSun"/>
          <w:lang w:eastAsia="zh-CN"/>
        </w:rPr>
        <w:t>Radiocommunication</w:t>
      </w:r>
      <w:proofErr w:type="spellEnd"/>
      <w:r w:rsidRPr="00C4089F">
        <w:rPr>
          <w:rFonts w:eastAsia="SimSun"/>
          <w:lang w:eastAsia="zh-CN"/>
        </w:rPr>
        <w:t xml:space="preserve"> Bureau and the associated graphical data contained in the Graphical Interference Management Software (GIMS) reference database.</w:t>
      </w:r>
    </w:p>
    <w:p w:rsidR="00C83BDF" w:rsidRPr="00C4089F" w:rsidRDefault="00C83BDF" w:rsidP="00EC4113">
      <w:pPr>
        <w:pStyle w:val="Heading2"/>
        <w:rPr>
          <w:rFonts w:eastAsia="SimSun"/>
          <w:lang w:eastAsia="zh-CN"/>
        </w:rPr>
      </w:pPr>
      <w:r w:rsidRPr="00C4089F">
        <w:rPr>
          <w:rFonts w:eastAsia="SimSun"/>
          <w:lang w:eastAsia="zh-CN"/>
        </w:rPr>
        <w:t xml:space="preserve">2.1 </w:t>
      </w:r>
      <w:r w:rsidRPr="00C4089F">
        <w:rPr>
          <w:rFonts w:eastAsia="SimSun"/>
          <w:lang w:eastAsia="zh-CN"/>
        </w:rPr>
        <w:tab/>
        <w:t>Identity of the satellite network (Appendix 4, Annex 2, A1)</w:t>
      </w:r>
    </w:p>
    <w:p w:rsidR="00C83BDF" w:rsidRPr="00C4089F" w:rsidRDefault="00C83BDF" w:rsidP="003B5837">
      <w:pPr>
        <w:rPr>
          <w:rFonts w:eastAsia="SimSun"/>
          <w:lang w:eastAsia="zh-CN"/>
        </w:rPr>
      </w:pPr>
      <w:r w:rsidRPr="00C4089F">
        <w:rPr>
          <w:rFonts w:eastAsia="SimSun"/>
          <w:lang w:eastAsia="zh-CN"/>
        </w:rPr>
        <w:t xml:space="preserve">Only satellite networks with identical information related to the notifying administration shall be qualified for consolidation: </w:t>
      </w:r>
    </w:p>
    <w:p w:rsidR="00C83BDF" w:rsidRPr="00C4089F" w:rsidRDefault="003B5837" w:rsidP="003B5837">
      <w:pPr>
        <w:pStyle w:val="enumlev1"/>
        <w:tabs>
          <w:tab w:val="clear" w:pos="1588"/>
        </w:tabs>
        <w:rPr>
          <w:rFonts w:eastAsia="SimSun"/>
          <w:lang w:eastAsia="zh-CN"/>
        </w:rPr>
      </w:pPr>
      <w:r w:rsidRPr="00C4089F">
        <w:rPr>
          <w:rFonts w:eastAsia="SimSun"/>
          <w:lang w:eastAsia="zh-CN"/>
        </w:rPr>
        <w:t>–</w:t>
      </w:r>
      <w:r w:rsidRPr="00C4089F">
        <w:rPr>
          <w:rFonts w:eastAsia="SimSun"/>
          <w:lang w:eastAsia="zh-CN"/>
        </w:rPr>
        <w:tab/>
      </w:r>
      <w:r w:rsidR="00C83BDF" w:rsidRPr="00C4089F">
        <w:rPr>
          <w:rFonts w:eastAsia="SimSun"/>
          <w:lang w:eastAsia="zh-CN"/>
        </w:rPr>
        <w:t xml:space="preserve">A.1.f.1 </w:t>
      </w:r>
      <w:r w:rsidR="00C83BDF" w:rsidRPr="00C4089F">
        <w:rPr>
          <w:rFonts w:eastAsia="SimSun"/>
          <w:lang w:eastAsia="zh-CN"/>
        </w:rPr>
        <w:tab/>
        <w:t xml:space="preserve">Notifying </w:t>
      </w:r>
      <w:r w:rsidRPr="00C4089F">
        <w:rPr>
          <w:rFonts w:eastAsia="SimSun"/>
          <w:lang w:eastAsia="zh-CN"/>
        </w:rPr>
        <w:t>a</w:t>
      </w:r>
      <w:r w:rsidR="00C83BDF" w:rsidRPr="00C4089F">
        <w:rPr>
          <w:rFonts w:eastAsia="SimSun"/>
          <w:lang w:eastAsia="zh-CN"/>
        </w:rPr>
        <w:t>dministration</w:t>
      </w:r>
    </w:p>
    <w:p w:rsidR="00C83BDF" w:rsidRPr="00C4089F" w:rsidRDefault="003B5837" w:rsidP="003B5837">
      <w:pPr>
        <w:pStyle w:val="enumlev1"/>
        <w:tabs>
          <w:tab w:val="clear" w:pos="1588"/>
        </w:tabs>
        <w:rPr>
          <w:rFonts w:eastAsia="SimSun"/>
          <w:lang w:eastAsia="zh-CN"/>
        </w:rPr>
      </w:pPr>
      <w:r w:rsidRPr="00C4089F">
        <w:rPr>
          <w:rFonts w:eastAsia="SimSun"/>
          <w:lang w:eastAsia="zh-CN"/>
        </w:rPr>
        <w:t>–</w:t>
      </w:r>
      <w:r w:rsidRPr="00C4089F">
        <w:rPr>
          <w:rFonts w:eastAsia="SimSun"/>
          <w:lang w:eastAsia="zh-CN"/>
        </w:rPr>
        <w:tab/>
      </w:r>
      <w:r w:rsidR="00C83BDF" w:rsidRPr="00C4089F">
        <w:rPr>
          <w:rFonts w:eastAsia="SimSun"/>
          <w:lang w:eastAsia="zh-CN"/>
        </w:rPr>
        <w:t xml:space="preserve">A.1.f.2 </w:t>
      </w:r>
      <w:r w:rsidR="00C83BDF" w:rsidRPr="00C4089F">
        <w:rPr>
          <w:rFonts w:eastAsia="SimSun"/>
          <w:lang w:eastAsia="zh-CN"/>
        </w:rPr>
        <w:tab/>
        <w:t xml:space="preserve">Group of </w:t>
      </w:r>
      <w:r w:rsidRPr="00C4089F">
        <w:rPr>
          <w:rFonts w:eastAsia="SimSun"/>
          <w:lang w:eastAsia="zh-CN"/>
        </w:rPr>
        <w:t>a</w:t>
      </w:r>
      <w:r w:rsidR="00C83BDF" w:rsidRPr="00C4089F">
        <w:rPr>
          <w:rFonts w:eastAsia="SimSun"/>
          <w:lang w:eastAsia="zh-CN"/>
        </w:rPr>
        <w:t>dministrations</w:t>
      </w:r>
    </w:p>
    <w:p w:rsidR="00C83BDF" w:rsidRPr="00C4089F" w:rsidRDefault="003B5837" w:rsidP="003B5837">
      <w:pPr>
        <w:pStyle w:val="enumlev1"/>
        <w:tabs>
          <w:tab w:val="clear" w:pos="1588"/>
        </w:tabs>
        <w:rPr>
          <w:rFonts w:eastAsia="SimSun"/>
          <w:lang w:eastAsia="zh-CN"/>
        </w:rPr>
      </w:pPr>
      <w:r w:rsidRPr="00C4089F">
        <w:rPr>
          <w:rFonts w:eastAsia="SimSun"/>
          <w:lang w:eastAsia="zh-CN"/>
        </w:rPr>
        <w:t>–</w:t>
      </w:r>
      <w:r w:rsidRPr="00C4089F">
        <w:rPr>
          <w:rFonts w:eastAsia="SimSun"/>
          <w:lang w:eastAsia="zh-CN"/>
        </w:rPr>
        <w:tab/>
      </w:r>
      <w:r w:rsidR="00C83BDF" w:rsidRPr="00C4089F">
        <w:rPr>
          <w:rFonts w:eastAsia="SimSun"/>
          <w:lang w:eastAsia="zh-CN"/>
        </w:rPr>
        <w:t>A.1.f.3</w:t>
      </w:r>
      <w:r w:rsidR="00C83BDF" w:rsidRPr="00C4089F">
        <w:rPr>
          <w:rFonts w:eastAsia="SimSun"/>
          <w:lang w:eastAsia="zh-CN"/>
        </w:rPr>
        <w:tab/>
        <w:t>Intergovernmental satellite organization</w:t>
      </w:r>
    </w:p>
    <w:p w:rsidR="00C83BDF" w:rsidRPr="00C4089F" w:rsidRDefault="00C83BDF" w:rsidP="003B5837">
      <w:pPr>
        <w:pStyle w:val="Heading2"/>
        <w:rPr>
          <w:rFonts w:eastAsia="SimSun"/>
          <w:lang w:eastAsia="zh-CN"/>
        </w:rPr>
      </w:pPr>
      <w:r w:rsidRPr="00C4089F">
        <w:rPr>
          <w:rFonts w:eastAsia="SimSun"/>
          <w:lang w:eastAsia="zh-CN"/>
        </w:rPr>
        <w:t>2.2</w:t>
      </w:r>
      <w:r w:rsidRPr="00C4089F">
        <w:rPr>
          <w:rFonts w:eastAsia="SimSun"/>
          <w:lang w:eastAsia="zh-CN"/>
        </w:rPr>
        <w:tab/>
        <w:t>Orbital information (Appendix 4, Annex 2, A4)</w:t>
      </w:r>
    </w:p>
    <w:p w:rsidR="00C83BDF" w:rsidRPr="00C4089F" w:rsidRDefault="00C83BDF" w:rsidP="003B5837">
      <w:pPr>
        <w:rPr>
          <w:rFonts w:eastAsia="SimSun"/>
          <w:lang w:eastAsia="zh-CN"/>
        </w:rPr>
      </w:pPr>
      <w:r w:rsidRPr="00C4089F">
        <w:rPr>
          <w:rFonts w:eastAsia="SimSun"/>
          <w:lang w:eastAsia="zh-CN"/>
        </w:rPr>
        <w:t>Satellite networks to be consolidated shall have identical orbital characteristics:</w:t>
      </w:r>
    </w:p>
    <w:p w:rsidR="00C83BDF" w:rsidRPr="00C4089F" w:rsidRDefault="003B5837" w:rsidP="003B5837">
      <w:pPr>
        <w:pStyle w:val="enumlev1"/>
        <w:tabs>
          <w:tab w:val="clear" w:pos="1588"/>
        </w:tabs>
        <w:rPr>
          <w:rFonts w:eastAsia="SimSun"/>
          <w:lang w:eastAsia="zh-CN"/>
        </w:rPr>
      </w:pPr>
      <w:r w:rsidRPr="00C4089F">
        <w:rPr>
          <w:rFonts w:eastAsia="SimSun"/>
          <w:lang w:eastAsia="zh-CN"/>
        </w:rPr>
        <w:t>–</w:t>
      </w:r>
      <w:r w:rsidRPr="00C4089F">
        <w:rPr>
          <w:rFonts w:eastAsia="SimSun"/>
          <w:lang w:eastAsia="zh-CN"/>
        </w:rPr>
        <w:tab/>
      </w:r>
      <w:r w:rsidR="00C83BDF" w:rsidRPr="00C4089F">
        <w:rPr>
          <w:rFonts w:eastAsia="SimSun"/>
          <w:lang w:eastAsia="zh-CN"/>
        </w:rPr>
        <w:t xml:space="preserve">A.4.a.1 </w:t>
      </w:r>
      <w:r w:rsidR="00C83BDF" w:rsidRPr="00C4089F">
        <w:rPr>
          <w:rFonts w:eastAsia="SimSun"/>
          <w:lang w:eastAsia="zh-CN"/>
        </w:rPr>
        <w:tab/>
        <w:t>Orbital position</w:t>
      </w:r>
    </w:p>
    <w:p w:rsidR="00C83BDF" w:rsidRPr="00C4089F" w:rsidRDefault="003B5837" w:rsidP="003B5837">
      <w:pPr>
        <w:pStyle w:val="enumlev1"/>
        <w:tabs>
          <w:tab w:val="clear" w:pos="1588"/>
        </w:tabs>
        <w:rPr>
          <w:rFonts w:eastAsia="SimSun"/>
          <w:lang w:eastAsia="zh-CN"/>
        </w:rPr>
      </w:pPr>
      <w:r w:rsidRPr="00C4089F">
        <w:rPr>
          <w:rFonts w:eastAsia="SimSun"/>
          <w:lang w:eastAsia="zh-CN"/>
        </w:rPr>
        <w:t>–</w:t>
      </w:r>
      <w:r w:rsidRPr="00C4089F">
        <w:rPr>
          <w:rFonts w:eastAsia="SimSun"/>
          <w:lang w:eastAsia="zh-CN"/>
        </w:rPr>
        <w:tab/>
      </w:r>
      <w:r w:rsidR="00C83BDF" w:rsidRPr="00C4089F">
        <w:rPr>
          <w:rFonts w:eastAsia="SimSun"/>
          <w:lang w:eastAsia="zh-CN"/>
        </w:rPr>
        <w:t xml:space="preserve">A.4.a.2.a, b </w:t>
      </w:r>
      <w:r w:rsidR="00C83BDF" w:rsidRPr="00C4089F">
        <w:rPr>
          <w:rFonts w:eastAsia="SimSun"/>
          <w:lang w:eastAsia="zh-CN"/>
        </w:rPr>
        <w:tab/>
        <w:t>Longitudinal tolerance</w:t>
      </w:r>
    </w:p>
    <w:p w:rsidR="00C83BDF" w:rsidRPr="00C4089F" w:rsidRDefault="003B5837" w:rsidP="003B5837">
      <w:pPr>
        <w:pStyle w:val="enumlev1"/>
        <w:tabs>
          <w:tab w:val="clear" w:pos="1588"/>
        </w:tabs>
        <w:rPr>
          <w:rFonts w:eastAsia="SimSun"/>
          <w:lang w:eastAsia="zh-CN"/>
        </w:rPr>
      </w:pPr>
      <w:r w:rsidRPr="00C4089F">
        <w:rPr>
          <w:rFonts w:eastAsia="SimSun"/>
          <w:lang w:eastAsia="zh-CN"/>
        </w:rPr>
        <w:t>–</w:t>
      </w:r>
      <w:r w:rsidRPr="00C4089F">
        <w:rPr>
          <w:rFonts w:eastAsia="SimSun"/>
          <w:lang w:eastAsia="zh-CN"/>
        </w:rPr>
        <w:tab/>
      </w:r>
      <w:r w:rsidR="00C83BDF" w:rsidRPr="00C4089F">
        <w:rPr>
          <w:rFonts w:eastAsia="SimSun"/>
          <w:lang w:eastAsia="zh-CN"/>
        </w:rPr>
        <w:t xml:space="preserve">A.4.a.2.c </w:t>
      </w:r>
      <w:r w:rsidR="00C83BDF" w:rsidRPr="00C4089F">
        <w:rPr>
          <w:rFonts w:eastAsia="SimSun"/>
          <w:lang w:eastAsia="zh-CN"/>
        </w:rPr>
        <w:tab/>
        <w:t>Inclination excursion</w:t>
      </w:r>
    </w:p>
    <w:p w:rsidR="00C83BDF" w:rsidRPr="00C4089F" w:rsidRDefault="00C83BDF" w:rsidP="0090286C">
      <w:pPr>
        <w:rPr>
          <w:rFonts w:eastAsia="SimSun"/>
          <w:lang w:eastAsia="zh-CN"/>
        </w:rPr>
      </w:pPr>
      <w:r w:rsidRPr="00C4089F">
        <w:rPr>
          <w:rFonts w:eastAsia="SimSun"/>
          <w:lang w:eastAsia="zh-CN"/>
        </w:rPr>
        <w:t>In case of different values for the longitudinal tolerance and inclination excursion, the smallest values shall be used for a consolidated network</w:t>
      </w:r>
      <w:r w:rsidR="0090286C" w:rsidRPr="00C4089F">
        <w:rPr>
          <w:rFonts w:eastAsia="SimSun"/>
          <w:lang w:eastAsia="zh-CN"/>
        </w:rPr>
        <w:t>.</w:t>
      </w:r>
    </w:p>
    <w:p w:rsidR="00C83BDF" w:rsidRPr="00C4089F" w:rsidRDefault="00C83BDF" w:rsidP="0090286C">
      <w:pPr>
        <w:pStyle w:val="Heading2"/>
        <w:rPr>
          <w:rFonts w:eastAsia="SimSun"/>
          <w:lang w:eastAsia="zh-CN"/>
        </w:rPr>
      </w:pPr>
      <w:r w:rsidRPr="00C4089F">
        <w:rPr>
          <w:rFonts w:eastAsia="SimSun"/>
          <w:lang w:eastAsia="zh-CN"/>
        </w:rPr>
        <w:lastRenderedPageBreak/>
        <w:t xml:space="preserve">2.3 </w:t>
      </w:r>
      <w:r w:rsidRPr="00C4089F">
        <w:rPr>
          <w:rFonts w:eastAsia="SimSun"/>
          <w:lang w:eastAsia="zh-CN"/>
        </w:rPr>
        <w:tab/>
        <w:t xml:space="preserve">Antenna </w:t>
      </w:r>
      <w:r w:rsidR="0090286C" w:rsidRPr="00C4089F">
        <w:rPr>
          <w:rFonts w:eastAsia="SimSun"/>
          <w:lang w:eastAsia="zh-CN"/>
        </w:rPr>
        <w:t xml:space="preserve">beam and group </w:t>
      </w:r>
      <w:r w:rsidRPr="00C4089F">
        <w:rPr>
          <w:rFonts w:eastAsia="SimSun"/>
          <w:lang w:eastAsia="zh-CN"/>
        </w:rPr>
        <w:t>of frequency assignment characteristics (Appendix 4, Annex</w:t>
      </w:r>
      <w:r w:rsidR="0090286C" w:rsidRPr="00C4089F">
        <w:rPr>
          <w:rFonts w:eastAsia="SimSun"/>
          <w:lang w:eastAsia="zh-CN"/>
        </w:rPr>
        <w:t> </w:t>
      </w:r>
      <w:r w:rsidRPr="00C4089F">
        <w:rPr>
          <w:rFonts w:eastAsia="SimSun"/>
          <w:lang w:eastAsia="zh-CN"/>
        </w:rPr>
        <w:t xml:space="preserve">2, B and C) </w:t>
      </w:r>
    </w:p>
    <w:p w:rsidR="00C83BDF" w:rsidRPr="00C4089F" w:rsidRDefault="00C83BDF" w:rsidP="0090286C">
      <w:pPr>
        <w:rPr>
          <w:rFonts w:eastAsia="SimSun"/>
          <w:lang w:eastAsia="zh-CN"/>
        </w:rPr>
      </w:pPr>
      <w:r w:rsidRPr="00C4089F">
        <w:rPr>
          <w:rFonts w:eastAsia="SimSun"/>
          <w:lang w:eastAsia="zh-CN"/>
        </w:rPr>
        <w:t>Satellite antenna beam designation and associated individual characteristics (gains and gain contour diagrams, antenna Radiation patterns and Antenna gain diagrams in the direction of part of the GSO not obstructed by the Earth, service area) will be kept unchanged as separate beams in the single notice of the consolidated satellite networks, except if otherwise requested by the notifying administration.</w:t>
      </w:r>
    </w:p>
    <w:p w:rsidR="00C83BDF" w:rsidRPr="00C4089F" w:rsidRDefault="00C83BDF" w:rsidP="0090286C">
      <w:pPr>
        <w:rPr>
          <w:rFonts w:eastAsia="SimSun"/>
          <w:lang w:eastAsia="zh-CN"/>
        </w:rPr>
      </w:pPr>
      <w:r w:rsidRPr="00C4089F">
        <w:rPr>
          <w:rFonts w:eastAsia="SimSun"/>
          <w:lang w:eastAsia="zh-CN"/>
        </w:rPr>
        <w:t>Each group of frequency assignments, including the date of receipt of the complete information under No</w:t>
      </w:r>
      <w:r w:rsidRPr="00C4089F">
        <w:rPr>
          <w:rFonts w:eastAsia="SimSun"/>
        </w:rPr>
        <w:t>.</w:t>
      </w:r>
      <w:r w:rsidR="0090286C" w:rsidRPr="00C4089F">
        <w:rPr>
          <w:rFonts w:eastAsia="SimSun"/>
        </w:rPr>
        <w:t> </w:t>
      </w:r>
      <w:r w:rsidRPr="00C4089F">
        <w:rPr>
          <w:rFonts w:eastAsia="SimSun"/>
          <w:b/>
          <w:bCs/>
          <w:lang w:eastAsia="zh-CN"/>
        </w:rPr>
        <w:t>9.34</w:t>
      </w:r>
      <w:r w:rsidRPr="00C4089F">
        <w:rPr>
          <w:rFonts w:eastAsia="SimSun"/>
          <w:lang w:eastAsia="zh-CN"/>
        </w:rPr>
        <w:t>, for a satellite antenna beam shall be kept unchanged and separate, regardless of its characteristics.</w:t>
      </w:r>
    </w:p>
    <w:p w:rsidR="00C83BDF" w:rsidRPr="00C4089F" w:rsidRDefault="00C83BDF" w:rsidP="0090286C">
      <w:pPr>
        <w:rPr>
          <w:rFonts w:eastAsia="SimSun"/>
          <w:lang w:eastAsia="zh-CN"/>
        </w:rPr>
      </w:pPr>
      <w:r w:rsidRPr="00C4089F">
        <w:rPr>
          <w:rFonts w:eastAsia="SimSun"/>
          <w:lang w:eastAsia="zh-CN"/>
        </w:rPr>
        <w:t>Specific study will be undertaken on a case-by case-basis for consolidation of satellite network notices which include beam</w:t>
      </w:r>
      <w:r w:rsidR="0090286C" w:rsidRPr="00C4089F">
        <w:rPr>
          <w:rFonts w:eastAsia="SimSun"/>
          <w:lang w:eastAsia="zh-CN"/>
        </w:rPr>
        <w:t>-</w:t>
      </w:r>
      <w:r w:rsidRPr="00C4089F">
        <w:rPr>
          <w:rFonts w:eastAsia="SimSun"/>
          <w:lang w:eastAsia="zh-CN"/>
        </w:rPr>
        <w:t xml:space="preserve">strapping tables. </w:t>
      </w:r>
    </w:p>
    <w:p w:rsidR="00C83BDF" w:rsidRPr="00C4089F" w:rsidRDefault="00C83BDF" w:rsidP="0090286C">
      <w:pPr>
        <w:pStyle w:val="Heading2"/>
        <w:rPr>
          <w:rFonts w:eastAsia="SimSun"/>
          <w:lang w:eastAsia="zh-CN"/>
        </w:rPr>
      </w:pPr>
      <w:r w:rsidRPr="00C4089F">
        <w:rPr>
          <w:rFonts w:eastAsia="SimSun"/>
          <w:lang w:eastAsia="zh-CN"/>
        </w:rPr>
        <w:t>2.4</w:t>
      </w:r>
      <w:r w:rsidRPr="00C4089F">
        <w:rPr>
          <w:rFonts w:eastAsia="SimSun"/>
          <w:lang w:eastAsia="zh-CN"/>
        </w:rPr>
        <w:tab/>
        <w:t>Identifier of the notice and groups</w:t>
      </w:r>
    </w:p>
    <w:p w:rsidR="00C83BDF" w:rsidRPr="00C4089F" w:rsidRDefault="00C83BDF" w:rsidP="0090286C">
      <w:pPr>
        <w:rPr>
          <w:rFonts w:eastAsia="SimSun"/>
          <w:lang w:eastAsia="zh-CN"/>
        </w:rPr>
      </w:pPr>
      <w:r w:rsidRPr="00C4089F">
        <w:rPr>
          <w:rFonts w:eastAsia="SimSun"/>
          <w:lang w:eastAsia="zh-CN"/>
        </w:rPr>
        <w:t>Only one identifier for the consolidated notice (Notice ID) shall be retained; the notice IDs of the other involved networks recorded in the MIFR will be removed from the system. The unique original identifier of the groups of frequency assignments (Group ID) will be retained.</w:t>
      </w:r>
    </w:p>
    <w:p w:rsidR="00C83BDF" w:rsidRPr="00C4089F" w:rsidRDefault="00C83BDF" w:rsidP="0090286C">
      <w:pPr>
        <w:pStyle w:val="Heading1"/>
        <w:rPr>
          <w:rFonts w:eastAsia="SimSun"/>
          <w:lang w:eastAsia="zh-CN"/>
        </w:rPr>
      </w:pPr>
      <w:r w:rsidRPr="00C4089F">
        <w:rPr>
          <w:rFonts w:eastAsia="SimSun"/>
          <w:lang w:eastAsia="zh-CN"/>
        </w:rPr>
        <w:t>3</w:t>
      </w:r>
      <w:r w:rsidRPr="00C4089F">
        <w:rPr>
          <w:rFonts w:eastAsia="SimSun"/>
          <w:lang w:eastAsia="zh-CN"/>
        </w:rPr>
        <w:tab/>
        <w:t>BR IFIC (Space Services) and Annex to the BR IFIC</w:t>
      </w:r>
    </w:p>
    <w:p w:rsidR="00C83BDF" w:rsidRPr="00C4089F" w:rsidRDefault="00C83BDF" w:rsidP="0090286C">
      <w:pPr>
        <w:pStyle w:val="Heading2"/>
        <w:rPr>
          <w:rFonts w:eastAsia="SimSun"/>
          <w:lang w:eastAsia="zh-CN"/>
        </w:rPr>
      </w:pPr>
      <w:r w:rsidRPr="00C4089F">
        <w:rPr>
          <w:rFonts w:eastAsia="SimSun"/>
          <w:lang w:eastAsia="zh-CN"/>
        </w:rPr>
        <w:t>3.1</w:t>
      </w:r>
      <w:r w:rsidRPr="00C4089F">
        <w:rPr>
          <w:rFonts w:eastAsia="SimSun"/>
          <w:lang w:eastAsia="zh-CN"/>
        </w:rPr>
        <w:tab/>
        <w:t xml:space="preserve">Part I-S </w:t>
      </w:r>
    </w:p>
    <w:p w:rsidR="00C83BDF" w:rsidRPr="00C4089F" w:rsidRDefault="00C83BDF" w:rsidP="0090286C">
      <w:pPr>
        <w:rPr>
          <w:rFonts w:eastAsia="SimSun"/>
          <w:lang w:eastAsia="zh-CN"/>
        </w:rPr>
      </w:pPr>
      <w:r w:rsidRPr="00C4089F">
        <w:rPr>
          <w:rFonts w:eastAsia="SimSun"/>
          <w:lang w:eastAsia="zh-CN"/>
        </w:rPr>
        <w:t>The information on the consolidated network including references to the involved satellite networks will be published in Part I-S of the BR IFIC (Space Services) and be distributed with the respective databases (SRS, SPS, AP30B, GIMS, SNL) in the Space BR_IFIC DVD.</w:t>
      </w:r>
    </w:p>
    <w:p w:rsidR="00C83BDF" w:rsidRPr="00C4089F" w:rsidRDefault="00C83BDF" w:rsidP="0090286C">
      <w:pPr>
        <w:pStyle w:val="Heading2"/>
        <w:rPr>
          <w:rFonts w:eastAsia="SimSun"/>
          <w:lang w:eastAsia="zh-CN"/>
        </w:rPr>
      </w:pPr>
      <w:r w:rsidRPr="00C4089F">
        <w:rPr>
          <w:rFonts w:eastAsia="SimSun"/>
          <w:lang w:eastAsia="zh-CN"/>
        </w:rPr>
        <w:t>3.2</w:t>
      </w:r>
      <w:r w:rsidRPr="00C4089F">
        <w:rPr>
          <w:rFonts w:eastAsia="SimSun"/>
          <w:lang w:eastAsia="zh-CN"/>
        </w:rPr>
        <w:tab/>
        <w:t>Special Sections</w:t>
      </w:r>
    </w:p>
    <w:p w:rsidR="00C83BDF" w:rsidRPr="00C4089F" w:rsidRDefault="00C83BDF" w:rsidP="0090286C">
      <w:pPr>
        <w:rPr>
          <w:rFonts w:eastAsia="SimSun"/>
          <w:lang w:eastAsia="zh-CN"/>
        </w:rPr>
      </w:pPr>
      <w:r w:rsidRPr="00C4089F">
        <w:rPr>
          <w:rFonts w:eastAsia="SimSun"/>
          <w:lang w:eastAsia="zh-CN"/>
        </w:rPr>
        <w:t>The special sections (API/A, CR/C, CR/D, AP30/E, AP30A/E, AP30-30A/E/, AP30B/A6B…) of the different satellite networks referred to in the consolidated satellite network recorded in the MIFR will not require a new publication. Information on the associated special sections and Part-IS of the consolidated satellite networks will be indicated under Appendix 4 item A.13 (Reference to the published special sections of the BR IFIC).</w:t>
      </w:r>
    </w:p>
    <w:p w:rsidR="00C83BDF" w:rsidRPr="00C4089F" w:rsidRDefault="00C83BDF" w:rsidP="0090286C">
      <w:pPr>
        <w:pStyle w:val="Heading1"/>
        <w:rPr>
          <w:rFonts w:eastAsia="SimSun"/>
          <w:lang w:eastAsia="zh-CN"/>
        </w:rPr>
      </w:pPr>
      <w:r w:rsidRPr="00C4089F">
        <w:rPr>
          <w:rFonts w:eastAsia="SimSun"/>
          <w:lang w:eastAsia="zh-CN"/>
        </w:rPr>
        <w:t>4.</w:t>
      </w:r>
      <w:r w:rsidRPr="00C4089F">
        <w:rPr>
          <w:rFonts w:eastAsia="SimSun"/>
          <w:lang w:eastAsia="zh-CN"/>
        </w:rPr>
        <w:tab/>
        <w:t xml:space="preserve">Cost </w:t>
      </w:r>
      <w:r w:rsidR="0090286C" w:rsidRPr="00C4089F">
        <w:rPr>
          <w:rFonts w:eastAsia="SimSun"/>
          <w:lang w:eastAsia="zh-CN"/>
        </w:rPr>
        <w:t>r</w:t>
      </w:r>
      <w:r w:rsidRPr="00C4089F">
        <w:rPr>
          <w:rFonts w:eastAsia="SimSun"/>
          <w:lang w:eastAsia="zh-CN"/>
        </w:rPr>
        <w:t>ecovery</w:t>
      </w:r>
    </w:p>
    <w:p w:rsidR="00C83BDF" w:rsidRPr="00C4089F" w:rsidRDefault="00C83BDF" w:rsidP="0090286C">
      <w:pPr>
        <w:rPr>
          <w:rFonts w:ascii="Calibri" w:eastAsia="SimSun" w:hAnsi="Calibri" w:cs="Calibri"/>
          <w:sz w:val="22"/>
          <w:szCs w:val="22"/>
          <w:lang w:eastAsia="zh-CN"/>
        </w:rPr>
      </w:pPr>
      <w:r w:rsidRPr="00C4089F">
        <w:rPr>
          <w:rFonts w:eastAsia="SimSun"/>
          <w:lang w:eastAsia="zh-CN"/>
        </w:rPr>
        <w:t xml:space="preserve">The consolidation of recorded frequency assignments from different satellite network notices into one notice would entail significant data processing and publication by the Bureau that would incur a cost recovery charge to be established by the Council under Decision 482. </w:t>
      </w:r>
    </w:p>
    <w:p w:rsidR="00C83BDF" w:rsidRPr="00C4089F" w:rsidRDefault="00C83BDF" w:rsidP="0090286C">
      <w:pPr>
        <w:pStyle w:val="Reasons"/>
        <w:rPr>
          <w:i/>
          <w:iCs/>
        </w:rPr>
      </w:pPr>
      <w:r w:rsidRPr="00C4089F">
        <w:rPr>
          <w:b/>
          <w:bCs/>
          <w:i/>
          <w:iCs/>
        </w:rPr>
        <w:t>Reasons</w:t>
      </w:r>
      <w:r w:rsidRPr="00C4089F">
        <w:rPr>
          <w:i/>
          <w:iCs/>
        </w:rPr>
        <w:t>:</w:t>
      </w:r>
      <w:r w:rsidR="007A7993" w:rsidRPr="00C4089F">
        <w:rPr>
          <w:i/>
          <w:iCs/>
        </w:rPr>
        <w:t xml:space="preserve"> </w:t>
      </w:r>
      <w:r w:rsidRPr="00C4089F">
        <w:rPr>
          <w:i/>
          <w:iCs/>
        </w:rPr>
        <w:t>Follow-up to WRC-12 decision taken at its thirteenth Plenary Meeting (Doc.</w:t>
      </w:r>
      <w:r w:rsidR="0090286C" w:rsidRPr="00C4089F">
        <w:rPr>
          <w:i/>
          <w:iCs/>
        </w:rPr>
        <w:t> </w:t>
      </w:r>
      <w:r w:rsidRPr="00C4089F">
        <w:rPr>
          <w:i/>
          <w:iCs/>
        </w:rPr>
        <w:t>554, Par.</w:t>
      </w:r>
      <w:r w:rsidR="0090286C" w:rsidRPr="00C4089F">
        <w:rPr>
          <w:i/>
          <w:iCs/>
        </w:rPr>
        <w:t> </w:t>
      </w:r>
      <w:r w:rsidRPr="00C4089F">
        <w:rPr>
          <w:i/>
          <w:iCs/>
        </w:rPr>
        <w:t>3.16, 3.17):</w:t>
      </w:r>
    </w:p>
    <w:p w:rsidR="00C83BDF" w:rsidRPr="00C4089F" w:rsidRDefault="00C83BDF" w:rsidP="0090286C">
      <w:pPr>
        <w:pStyle w:val="Reasons"/>
        <w:rPr>
          <w:rFonts w:eastAsia="SimSun"/>
          <w:i/>
          <w:iCs/>
          <w:lang w:eastAsia="zh-CN"/>
        </w:rPr>
      </w:pPr>
      <w:r w:rsidRPr="00C4089F">
        <w:rPr>
          <w:rFonts w:eastAsia="SimSun"/>
          <w:i/>
          <w:iCs/>
          <w:lang w:eastAsia="zh-CN"/>
        </w:rPr>
        <w:t>“After consideration of Addendum 1 to Addendum 28 to Document 6, it has been brought to the attention of the Conference that there is no documentation readily available to administrations on the practices and actions undertaken by the Bureau for consolidating frequency assignments of different GSO networks submitted by an administration at the same orbital position, into frequency assignments of a single satellite network. Therefore it is concluded to instruct:</w:t>
      </w:r>
    </w:p>
    <w:p w:rsidR="00C83BDF" w:rsidRPr="00C4089F" w:rsidRDefault="0090286C" w:rsidP="0090286C">
      <w:pPr>
        <w:pStyle w:val="Reasons"/>
        <w:tabs>
          <w:tab w:val="left" w:pos="567"/>
        </w:tabs>
        <w:ind w:left="567" w:hanging="567"/>
        <w:rPr>
          <w:rFonts w:eastAsia="SimSun"/>
          <w:i/>
          <w:iCs/>
          <w:lang w:eastAsia="zh-CN"/>
        </w:rPr>
      </w:pPr>
      <w:r w:rsidRPr="00C4089F">
        <w:rPr>
          <w:rFonts w:eastAsia="SimSun"/>
          <w:i/>
          <w:iCs/>
          <w:lang w:eastAsia="zh-CN"/>
        </w:rPr>
        <w:tab/>
      </w:r>
      <w:r w:rsidR="00C83BDF" w:rsidRPr="00C4089F">
        <w:rPr>
          <w:rFonts w:eastAsia="SimSun"/>
          <w:i/>
          <w:iCs/>
          <w:lang w:eastAsia="zh-CN"/>
        </w:rPr>
        <w:t>a)</w:t>
      </w:r>
      <w:r w:rsidR="00C83BDF" w:rsidRPr="00C4089F">
        <w:rPr>
          <w:rFonts w:eastAsia="SimSun"/>
          <w:i/>
          <w:iCs/>
          <w:lang w:eastAsia="zh-CN"/>
        </w:rPr>
        <w:tab/>
        <w:t xml:space="preserve">the Bureau to develop and submit to the Radio Regulations Board the detailed description of the Bureau’s practices and actions, especially with respect to consolidating </w:t>
      </w:r>
      <w:r w:rsidR="00C83BDF" w:rsidRPr="00C4089F">
        <w:rPr>
          <w:rFonts w:eastAsia="SimSun"/>
          <w:i/>
          <w:iCs/>
          <w:lang w:eastAsia="zh-CN"/>
        </w:rPr>
        <w:lastRenderedPageBreak/>
        <w:t>frequency assignments of different GSO networks submitted by an administration at the same orbital position, into frequency assignments of a single satellite network;</w:t>
      </w:r>
    </w:p>
    <w:p w:rsidR="00C83BDF" w:rsidRPr="00C4089F" w:rsidRDefault="0090286C" w:rsidP="0090286C">
      <w:pPr>
        <w:pStyle w:val="Reasons"/>
        <w:tabs>
          <w:tab w:val="left" w:pos="567"/>
        </w:tabs>
        <w:ind w:left="567" w:hanging="567"/>
        <w:rPr>
          <w:rFonts w:eastAsia="SimSun"/>
          <w:i/>
          <w:iCs/>
          <w:lang w:eastAsia="zh-CN"/>
        </w:rPr>
      </w:pPr>
      <w:r w:rsidRPr="00C4089F">
        <w:rPr>
          <w:rFonts w:eastAsia="SimSun"/>
          <w:i/>
          <w:iCs/>
          <w:lang w:eastAsia="zh-CN"/>
        </w:rPr>
        <w:tab/>
      </w:r>
      <w:r w:rsidR="00C83BDF" w:rsidRPr="00C4089F">
        <w:rPr>
          <w:rFonts w:eastAsia="SimSun"/>
          <w:i/>
          <w:iCs/>
          <w:lang w:eastAsia="zh-CN"/>
        </w:rPr>
        <w:t>b)</w:t>
      </w:r>
      <w:r w:rsidR="00C83BDF" w:rsidRPr="00C4089F">
        <w:rPr>
          <w:rFonts w:eastAsia="SimSun"/>
          <w:i/>
          <w:iCs/>
          <w:lang w:eastAsia="zh-CN"/>
        </w:rPr>
        <w:tab/>
        <w:t>the Radio Regulations Board to develop the relevant Rules of Procedure.”</w:t>
      </w:r>
    </w:p>
    <w:p w:rsidR="00C83BDF" w:rsidRPr="00C4089F" w:rsidRDefault="00C83BDF" w:rsidP="0090286C">
      <w:pPr>
        <w:pStyle w:val="Reasons"/>
        <w:rPr>
          <w:rFonts w:eastAsia="SimSun"/>
          <w:i/>
          <w:iCs/>
          <w:lang w:eastAsia="zh-CN"/>
        </w:rPr>
      </w:pPr>
      <w:r w:rsidRPr="00C4089F">
        <w:rPr>
          <w:rFonts w:eastAsia="SimSun"/>
          <w:i/>
          <w:iCs/>
          <w:lang w:eastAsia="zh-CN"/>
        </w:rPr>
        <w:t>Such action to consolidate recorded frequency assignments from different notices into one would entail significant data processing and publication by the Bureau that should be subject to a cost recovery fee to be established by the Council under Decision 482</w:t>
      </w:r>
      <w:r w:rsidR="0090286C" w:rsidRPr="00C4089F">
        <w:rPr>
          <w:rFonts w:eastAsia="SimSun"/>
          <w:i/>
          <w:iCs/>
          <w:lang w:eastAsia="zh-CN"/>
        </w:rPr>
        <w:t xml:space="preserve"> </w:t>
      </w:r>
      <w:r w:rsidRPr="00C4089F">
        <w:rPr>
          <w:rFonts w:eastAsia="SimSun"/>
          <w:i/>
          <w:iCs/>
          <w:lang w:eastAsia="zh-CN"/>
        </w:rPr>
        <w:t xml:space="preserve">at a forthcoming meeting. </w:t>
      </w:r>
    </w:p>
    <w:p w:rsidR="00C83BDF" w:rsidRPr="00C4089F" w:rsidRDefault="00C83BDF" w:rsidP="0090286C">
      <w:pPr>
        <w:rPr>
          <w:i/>
          <w:iCs/>
          <w:lang w:eastAsia="zh-CN"/>
        </w:rPr>
      </w:pPr>
      <w:r w:rsidRPr="00C4089F">
        <w:rPr>
          <w:i/>
          <w:iCs/>
        </w:rPr>
        <w:t>Effective date</w:t>
      </w:r>
      <w:r w:rsidR="00EE1056">
        <w:rPr>
          <w:i/>
          <w:iCs/>
        </w:rPr>
        <w:t xml:space="preserve"> of application of the new</w:t>
      </w:r>
      <w:r w:rsidRPr="00C4089F">
        <w:rPr>
          <w:i/>
          <w:iCs/>
        </w:rPr>
        <w:t xml:space="preserve"> Rule:</w:t>
      </w:r>
      <w:r w:rsidR="007A7993" w:rsidRPr="00C4089F">
        <w:rPr>
          <w:i/>
          <w:iCs/>
        </w:rPr>
        <w:t xml:space="preserve"> </w:t>
      </w:r>
      <w:r w:rsidRPr="00C4089F">
        <w:rPr>
          <w:i/>
          <w:iCs/>
          <w:lang w:eastAsia="zh-CN"/>
        </w:rPr>
        <w:t>immediately after the approval of the Rule</w:t>
      </w:r>
    </w:p>
    <w:p w:rsidR="00C83BDF" w:rsidRPr="00C4089F" w:rsidRDefault="00C83BDF" w:rsidP="00D90449">
      <w:pPr>
        <w:pStyle w:val="Headingb"/>
        <w:rPr>
          <w:lang w:eastAsia="zh-CN"/>
        </w:rPr>
      </w:pPr>
      <w:r w:rsidRPr="00EE1056">
        <w:rPr>
          <w:lang w:eastAsia="zh-CN"/>
        </w:rPr>
        <w:t>MOD</w:t>
      </w:r>
    </w:p>
    <w:p w:rsidR="00D90449" w:rsidRPr="00EE1056" w:rsidRDefault="00D90449" w:rsidP="00D90449">
      <w:pPr>
        <w:spacing w:before="0"/>
        <w:rPr>
          <w:lang w:eastAsia="zh-CN"/>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639"/>
      </w:tblGrid>
      <w:tr w:rsidR="00C83BDF" w:rsidRPr="00C4089F" w:rsidTr="00EE1056">
        <w:trPr>
          <w:trHeight w:val="253"/>
        </w:trPr>
        <w:tc>
          <w:tcPr>
            <w:tcW w:w="1639" w:type="dxa"/>
          </w:tcPr>
          <w:p w:rsidR="00C83BDF" w:rsidRPr="00EE1056" w:rsidRDefault="00C83BDF" w:rsidP="005738C9">
            <w:pPr>
              <w:pStyle w:val="Heading8"/>
              <w:spacing w:before="0"/>
              <w:ind w:left="0" w:firstLine="0"/>
            </w:pPr>
            <w:r w:rsidRPr="00EE1056">
              <w:t>11.31</w:t>
            </w:r>
          </w:p>
        </w:tc>
      </w:tr>
    </w:tbl>
    <w:p w:rsidR="00C83BDF" w:rsidRPr="00EE1056" w:rsidRDefault="00C83BDF" w:rsidP="00693CC0">
      <w:r w:rsidRPr="00EE1056">
        <w:t>2.4</w:t>
      </w:r>
      <w:r w:rsidRPr="00EE1056">
        <w:tab/>
      </w:r>
      <w:r w:rsidRPr="00EE1056">
        <w:rPr>
          <w:i/>
        </w:rPr>
        <w:t>Maritime mobile service:</w:t>
      </w:r>
      <w:r w:rsidRPr="00EE1056">
        <w:t xml:space="preserve"> Most of them are related to the frequency bands that are allocated exclusively to the maritime mobile service (obligatory channelling arrangements, permitted classes of emission, power limits, etc.); however many of them are also applicable to the non-exclusive allocations to the maritime mobile service. A summary of the provisions that are applicable to the frequency assignments subject to notification is given in the Table below:</w:t>
      </w:r>
    </w:p>
    <w:p w:rsidR="00C83BDF" w:rsidRPr="00EE1056" w:rsidRDefault="00C83BDF" w:rsidP="00693CC0">
      <w:pPr>
        <w:pStyle w:val="Table"/>
        <w:spacing w:before="12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35"/>
        <w:gridCol w:w="5867"/>
      </w:tblGrid>
      <w:tr w:rsidR="00C83BDF" w:rsidRPr="00C4089F" w:rsidTr="005738C9">
        <w:trPr>
          <w:cantSplit/>
          <w:jc w:val="center"/>
        </w:trPr>
        <w:tc>
          <w:tcPr>
            <w:tcW w:w="2835" w:type="dxa"/>
            <w:tcBorders>
              <w:top w:val="nil"/>
              <w:left w:val="nil"/>
            </w:tcBorders>
          </w:tcPr>
          <w:p w:rsidR="00C83BDF" w:rsidRPr="00EE1056" w:rsidRDefault="00C83BDF" w:rsidP="005738C9">
            <w:pPr>
              <w:pStyle w:val="TableText0"/>
              <w:framePr w:hSpace="181" w:wrap="notBeside" w:vAnchor="text" w:hAnchor="text" w:xAlign="center" w:y="1"/>
              <w:spacing w:before="120" w:after="120"/>
            </w:pPr>
          </w:p>
        </w:tc>
        <w:tc>
          <w:tcPr>
            <w:tcW w:w="5867" w:type="dxa"/>
            <w:tcBorders>
              <w:left w:val="nil"/>
              <w:right w:val="single" w:sz="6" w:space="0" w:color="auto"/>
            </w:tcBorders>
          </w:tcPr>
          <w:p w:rsidR="00C83BDF" w:rsidRPr="00EE1056" w:rsidRDefault="00C83BDF" w:rsidP="005738C9">
            <w:pPr>
              <w:pStyle w:val="TableHead0"/>
              <w:framePr w:hSpace="181" w:wrap="notBeside" w:vAnchor="text" w:hAnchor="text" w:xAlign="center" w:y="1"/>
              <w:spacing w:before="120" w:after="120"/>
            </w:pPr>
            <w:r w:rsidRPr="00EE1056">
              <w:t>Provision No.</w:t>
            </w:r>
          </w:p>
        </w:tc>
      </w:tr>
      <w:tr w:rsidR="00C83BDF" w:rsidRPr="00C4089F" w:rsidTr="005738C9">
        <w:trPr>
          <w:cantSplit/>
          <w:jc w:val="center"/>
        </w:trPr>
        <w:tc>
          <w:tcPr>
            <w:tcW w:w="2835" w:type="dxa"/>
          </w:tcPr>
          <w:p w:rsidR="00C83BDF" w:rsidRPr="00EE1056" w:rsidRDefault="00C83BDF" w:rsidP="005738C9">
            <w:pPr>
              <w:pStyle w:val="TableText0"/>
              <w:framePr w:hSpace="181" w:wrap="notBeside" w:vAnchor="text" w:hAnchor="text" w:xAlign="center" w:y="1"/>
              <w:spacing w:before="80" w:after="80"/>
            </w:pPr>
            <w:r w:rsidRPr="00EE1056">
              <w:t>Power limits</w:t>
            </w:r>
          </w:p>
        </w:tc>
        <w:tc>
          <w:tcPr>
            <w:tcW w:w="5867" w:type="dxa"/>
            <w:tcBorders>
              <w:right w:val="single" w:sz="6" w:space="0" w:color="auto"/>
            </w:tcBorders>
          </w:tcPr>
          <w:p w:rsidR="00C83BDF" w:rsidRPr="00EE1056" w:rsidRDefault="00C83BDF" w:rsidP="005738C9">
            <w:pPr>
              <w:pStyle w:val="TableText0"/>
              <w:framePr w:hSpace="181" w:wrap="notBeside" w:vAnchor="text" w:hAnchor="text" w:xAlign="center" w:y="1"/>
              <w:spacing w:before="80" w:after="0"/>
            </w:pPr>
            <w:r w:rsidRPr="00EE1056">
              <w:rPr>
                <w:rStyle w:val="Artref"/>
                <w:b/>
              </w:rPr>
              <w:t>52.104</w:t>
            </w:r>
          </w:p>
          <w:p w:rsidR="00C83BDF" w:rsidRPr="00EE1056" w:rsidRDefault="00C83BDF" w:rsidP="005738C9">
            <w:pPr>
              <w:pStyle w:val="TableText0"/>
              <w:framePr w:hSpace="181" w:wrap="notBeside" w:vAnchor="text" w:hAnchor="text" w:xAlign="center" w:y="1"/>
              <w:spacing w:after="0"/>
            </w:pPr>
            <w:r w:rsidRPr="00EE1056">
              <w:rPr>
                <w:rStyle w:val="Artref"/>
                <w:b/>
              </w:rPr>
              <w:t>52.117</w:t>
            </w:r>
            <w:r w:rsidRPr="00EE1056">
              <w:t xml:space="preserve">, </w:t>
            </w:r>
            <w:r w:rsidRPr="00EE1056">
              <w:rPr>
                <w:rStyle w:val="Artref"/>
                <w:b/>
              </w:rPr>
              <w:t>52.127</w:t>
            </w:r>
            <w:r w:rsidRPr="00EE1056">
              <w:t xml:space="preserve"> (Region 1 only), </w:t>
            </w:r>
            <w:r w:rsidRPr="00EE1056">
              <w:rPr>
                <w:rStyle w:val="Artref"/>
                <w:b/>
              </w:rPr>
              <w:t>52.143</w:t>
            </w:r>
            <w:r w:rsidRPr="00EE1056">
              <w:t xml:space="preserve">, </w:t>
            </w:r>
            <w:r w:rsidRPr="00EE1056">
              <w:rPr>
                <w:rStyle w:val="Artref"/>
                <w:b/>
              </w:rPr>
              <w:t>52.144</w:t>
            </w:r>
            <w:r w:rsidRPr="00EE1056">
              <w:t xml:space="preserve">, </w:t>
            </w:r>
            <w:r w:rsidRPr="00EE1056">
              <w:rPr>
                <w:rStyle w:val="Artref"/>
                <w:b/>
              </w:rPr>
              <w:t>52.172</w:t>
            </w:r>
            <w:r w:rsidRPr="00EE1056">
              <w:t xml:space="preserve"> </w:t>
            </w:r>
          </w:p>
          <w:p w:rsidR="00C83BDF" w:rsidRPr="00EE1056" w:rsidRDefault="00C83BDF" w:rsidP="005738C9">
            <w:pPr>
              <w:pStyle w:val="TableText0"/>
              <w:framePr w:hSpace="181" w:wrap="notBeside" w:vAnchor="text" w:hAnchor="text" w:xAlign="center" w:y="1"/>
              <w:spacing w:after="0"/>
            </w:pPr>
            <w:r w:rsidRPr="00EE1056">
              <w:rPr>
                <w:rStyle w:val="Artref"/>
                <w:b/>
              </w:rPr>
              <w:t>52.184</w:t>
            </w:r>
            <w:r w:rsidRPr="00EE1056">
              <w:t>-</w:t>
            </w:r>
            <w:r w:rsidRPr="00EE1056">
              <w:rPr>
                <w:rStyle w:val="Artref"/>
                <w:b/>
              </w:rPr>
              <w:t>52.186</w:t>
            </w:r>
            <w:r w:rsidRPr="00EE1056">
              <w:t xml:space="preserve">, </w:t>
            </w:r>
            <w:r w:rsidRPr="00EE1056">
              <w:rPr>
                <w:rStyle w:val="Artref"/>
                <w:b/>
              </w:rPr>
              <w:t>52.188</w:t>
            </w:r>
            <w:r w:rsidRPr="00EE1056">
              <w:t xml:space="preserve">, </w:t>
            </w:r>
            <w:r w:rsidRPr="00EE1056">
              <w:rPr>
                <w:rStyle w:val="Artref"/>
                <w:b/>
              </w:rPr>
              <w:t>52.202</w:t>
            </w:r>
            <w:r w:rsidRPr="00EE1056">
              <w:t xml:space="preserve"> (Region 1 only)</w:t>
            </w:r>
          </w:p>
          <w:p w:rsidR="00C83BDF" w:rsidRPr="00EE1056" w:rsidRDefault="00C83BDF" w:rsidP="005738C9">
            <w:pPr>
              <w:pStyle w:val="TableText0"/>
              <w:framePr w:hSpace="181" w:wrap="notBeside" w:vAnchor="text" w:hAnchor="text" w:xAlign="center" w:y="1"/>
              <w:spacing w:after="80"/>
            </w:pPr>
            <w:r w:rsidRPr="00EE1056">
              <w:rPr>
                <w:rStyle w:val="Artref"/>
                <w:b/>
              </w:rPr>
              <w:t>52.219</w:t>
            </w:r>
            <w:r w:rsidRPr="00EE1056">
              <w:t xml:space="preserve">, </w:t>
            </w:r>
            <w:r w:rsidRPr="00EE1056">
              <w:rPr>
                <w:rStyle w:val="Artref"/>
                <w:b/>
              </w:rPr>
              <w:t>52.220</w:t>
            </w:r>
            <w:r w:rsidRPr="00EE1056">
              <w:t xml:space="preserve">, </w:t>
            </w:r>
            <w:r w:rsidRPr="00EE1056">
              <w:rPr>
                <w:rStyle w:val="Artref"/>
                <w:b/>
              </w:rPr>
              <w:t xml:space="preserve">52.227, </w:t>
            </w:r>
            <w:r w:rsidRPr="0044185E">
              <w:rPr>
                <w:rStyle w:val="Artref"/>
                <w:b/>
                <w:color w:val="FF0000"/>
                <w:u w:val="single"/>
              </w:rPr>
              <w:t>52.265</w:t>
            </w:r>
            <w:r w:rsidRPr="0044185E">
              <w:rPr>
                <w:rStyle w:val="Artref"/>
                <w:b/>
                <w:color w:val="FF0000"/>
              </w:rPr>
              <w:t xml:space="preserve">, </w:t>
            </w:r>
            <w:r w:rsidRPr="0044185E">
              <w:rPr>
                <w:rStyle w:val="Artref"/>
                <w:b/>
                <w:color w:val="FF0000"/>
                <w:u w:val="single"/>
              </w:rPr>
              <w:t>52.266</w:t>
            </w:r>
          </w:p>
        </w:tc>
      </w:tr>
      <w:tr w:rsidR="00C83BDF" w:rsidRPr="00C4089F" w:rsidTr="005738C9">
        <w:trPr>
          <w:cantSplit/>
          <w:jc w:val="center"/>
        </w:trPr>
        <w:tc>
          <w:tcPr>
            <w:tcW w:w="2835" w:type="dxa"/>
            <w:tcBorders>
              <w:bottom w:val="single" w:sz="6" w:space="0" w:color="auto"/>
            </w:tcBorders>
          </w:tcPr>
          <w:p w:rsidR="00C83BDF" w:rsidRPr="00EE1056" w:rsidRDefault="00C83BDF" w:rsidP="005738C9">
            <w:pPr>
              <w:pStyle w:val="TableText0"/>
              <w:framePr w:hSpace="181" w:wrap="notBeside" w:vAnchor="text" w:hAnchor="text" w:xAlign="center" w:y="1"/>
              <w:spacing w:before="80" w:after="80"/>
            </w:pPr>
            <w:r w:rsidRPr="00EE1056">
              <w:t>Class of emission</w:t>
            </w:r>
          </w:p>
        </w:tc>
        <w:tc>
          <w:tcPr>
            <w:tcW w:w="5867" w:type="dxa"/>
            <w:tcBorders>
              <w:bottom w:val="single" w:sz="6" w:space="0" w:color="auto"/>
              <w:right w:val="single" w:sz="6" w:space="0" w:color="auto"/>
            </w:tcBorders>
          </w:tcPr>
          <w:p w:rsidR="00C83BDF" w:rsidRPr="00EE1056" w:rsidRDefault="00C83BDF" w:rsidP="005738C9">
            <w:pPr>
              <w:pStyle w:val="TableText0"/>
              <w:framePr w:hSpace="181" w:wrap="notBeside" w:vAnchor="text" w:hAnchor="text" w:xAlign="center" w:y="1"/>
              <w:spacing w:before="80" w:after="0"/>
            </w:pPr>
            <w:r w:rsidRPr="00EE1056">
              <w:rPr>
                <w:rStyle w:val="Artref"/>
                <w:b/>
              </w:rPr>
              <w:t>52.2</w:t>
            </w:r>
            <w:r w:rsidRPr="00EE1056">
              <w:t xml:space="preserve">, </w:t>
            </w:r>
            <w:r w:rsidRPr="00EE1056">
              <w:rPr>
                <w:rStyle w:val="Artref"/>
                <w:b/>
              </w:rPr>
              <w:t>52.3</w:t>
            </w:r>
          </w:p>
          <w:p w:rsidR="00C83BDF" w:rsidRPr="00EE1056" w:rsidRDefault="00C83BDF" w:rsidP="005738C9">
            <w:pPr>
              <w:pStyle w:val="TableText0"/>
              <w:framePr w:hSpace="181" w:wrap="notBeside" w:vAnchor="text" w:hAnchor="text" w:xAlign="center" w:y="1"/>
              <w:spacing w:after="80"/>
            </w:pPr>
            <w:r w:rsidRPr="00EE1056">
              <w:rPr>
                <w:rStyle w:val="Artref"/>
                <w:b/>
              </w:rPr>
              <w:t>52.101</w:t>
            </w:r>
            <w:r w:rsidRPr="00EE1056">
              <w:t xml:space="preserve">, </w:t>
            </w:r>
            <w:r w:rsidRPr="00EE1056">
              <w:rPr>
                <w:rStyle w:val="Artref"/>
                <w:b/>
              </w:rPr>
              <w:t>52.177</w:t>
            </w:r>
            <w:r w:rsidRPr="00EE1056">
              <w:t xml:space="preserve">, </w:t>
            </w:r>
            <w:r w:rsidRPr="00EE1056">
              <w:rPr>
                <w:rStyle w:val="Artref"/>
                <w:b/>
              </w:rPr>
              <w:t>52.183</w:t>
            </w:r>
            <w:r w:rsidRPr="00EE1056">
              <w:t xml:space="preserve">, </w:t>
            </w:r>
            <w:r w:rsidRPr="00EE1056">
              <w:rPr>
                <w:rStyle w:val="Artref"/>
                <w:b/>
              </w:rPr>
              <w:t>52.188</w:t>
            </w:r>
            <w:r w:rsidRPr="00EE1056">
              <w:t xml:space="preserve">, </w:t>
            </w:r>
            <w:r w:rsidRPr="00EE1056">
              <w:rPr>
                <w:rStyle w:val="Artref"/>
                <w:b/>
              </w:rPr>
              <w:t>52.198</w:t>
            </w:r>
            <w:r w:rsidRPr="00EE1056">
              <w:t xml:space="preserve">, </w:t>
            </w:r>
            <w:r w:rsidRPr="00EE1056">
              <w:rPr>
                <w:rStyle w:val="Artref"/>
                <w:b/>
              </w:rPr>
              <w:t xml:space="preserve">52.217, </w:t>
            </w:r>
            <w:r w:rsidRPr="0044185E">
              <w:rPr>
                <w:rStyle w:val="Artref"/>
                <w:b/>
                <w:color w:val="FF0000"/>
                <w:u w:val="single"/>
              </w:rPr>
              <w:t>52.264</w:t>
            </w:r>
          </w:p>
        </w:tc>
      </w:tr>
      <w:tr w:rsidR="00C83BDF" w:rsidRPr="00C4089F" w:rsidTr="005738C9">
        <w:trPr>
          <w:cantSplit/>
          <w:jc w:val="center"/>
        </w:trPr>
        <w:tc>
          <w:tcPr>
            <w:tcW w:w="2835" w:type="dxa"/>
          </w:tcPr>
          <w:p w:rsidR="00C83BDF" w:rsidRPr="00EE1056" w:rsidRDefault="00C83BDF" w:rsidP="005738C9">
            <w:pPr>
              <w:pStyle w:val="TableText0"/>
              <w:framePr w:hSpace="181" w:wrap="notBeside" w:vAnchor="text" w:hAnchor="text" w:xAlign="center" w:y="1"/>
              <w:spacing w:before="80" w:after="80"/>
            </w:pPr>
            <w:r w:rsidRPr="00EE1056">
              <w:t>Mandatory sub-division</w:t>
            </w:r>
          </w:p>
        </w:tc>
        <w:tc>
          <w:tcPr>
            <w:tcW w:w="5867" w:type="dxa"/>
            <w:tcBorders>
              <w:right w:val="single" w:sz="6" w:space="0" w:color="auto"/>
            </w:tcBorders>
          </w:tcPr>
          <w:p w:rsidR="00C83BDF" w:rsidRPr="00EE1056" w:rsidRDefault="00C83BDF" w:rsidP="005738C9">
            <w:pPr>
              <w:pStyle w:val="TableText0"/>
              <w:framePr w:hSpace="181" w:wrap="notBeside" w:vAnchor="text" w:hAnchor="text" w:xAlign="center" w:y="1"/>
              <w:spacing w:before="80" w:after="0"/>
            </w:pPr>
            <w:r w:rsidRPr="00EE1056">
              <w:rPr>
                <w:rStyle w:val="Artref"/>
                <w:b/>
              </w:rPr>
              <w:t>52.10</w:t>
            </w:r>
            <w:r w:rsidRPr="00EE1056">
              <w:t xml:space="preserve"> (Region 1 only), </w:t>
            </w:r>
            <w:r w:rsidRPr="00EE1056">
              <w:rPr>
                <w:rStyle w:val="Artref"/>
                <w:b/>
              </w:rPr>
              <w:t>52.13</w:t>
            </w:r>
          </w:p>
          <w:p w:rsidR="00C83BDF" w:rsidRPr="00EE1056" w:rsidRDefault="00C83BDF" w:rsidP="005738C9">
            <w:pPr>
              <w:pStyle w:val="TableText0"/>
              <w:framePr w:hSpace="181" w:wrap="notBeside" w:vAnchor="text" w:hAnchor="text" w:xAlign="center" w:y="1"/>
              <w:spacing w:after="80"/>
            </w:pPr>
            <w:r w:rsidRPr="00EE1056">
              <w:t>Appendix </w:t>
            </w:r>
            <w:r w:rsidRPr="00EE1056">
              <w:rPr>
                <w:rStyle w:val="Appref"/>
                <w:b/>
              </w:rPr>
              <w:t>17</w:t>
            </w:r>
          </w:p>
        </w:tc>
      </w:tr>
    </w:tbl>
    <w:p w:rsidR="00C83BDF" w:rsidRPr="00EE1056" w:rsidRDefault="00C83BDF" w:rsidP="00693CC0"/>
    <w:p w:rsidR="00C83BDF" w:rsidRPr="00C4089F" w:rsidRDefault="00C83BDF" w:rsidP="00D90449">
      <w:pPr>
        <w:pStyle w:val="Reasons"/>
        <w:rPr>
          <w:i/>
          <w:iCs/>
        </w:rPr>
      </w:pPr>
      <w:r w:rsidRPr="00EE1056">
        <w:rPr>
          <w:b/>
          <w:bCs/>
          <w:i/>
          <w:iCs/>
        </w:rPr>
        <w:t xml:space="preserve">Reasons: </w:t>
      </w:r>
      <w:r w:rsidR="00D90449" w:rsidRPr="00C4089F">
        <w:rPr>
          <w:b/>
          <w:bCs/>
          <w:i/>
          <w:iCs/>
        </w:rPr>
        <w:tab/>
      </w:r>
      <w:r w:rsidR="00D90449" w:rsidRPr="00C4089F">
        <w:rPr>
          <w:i/>
          <w:iCs/>
        </w:rPr>
        <w:t xml:space="preserve">New </w:t>
      </w:r>
      <w:r w:rsidRPr="00EE1056">
        <w:rPr>
          <w:i/>
          <w:iCs/>
        </w:rPr>
        <w:t>provisions Nos. 52.264</w:t>
      </w:r>
      <w:r w:rsidR="00D90449" w:rsidRPr="00C4089F">
        <w:rPr>
          <w:i/>
          <w:iCs/>
        </w:rPr>
        <w:t>-</w:t>
      </w:r>
      <w:r w:rsidRPr="00C4089F">
        <w:rPr>
          <w:i/>
          <w:iCs/>
        </w:rPr>
        <w:t>52.266 have been introduced by WRC-12 and contain the requirements to power limits and classes of emission for maritime data transmissions. They should be included in the list of the “other provisions” of the RR in order to verify these requirements during examinations under No. 11.31.</w:t>
      </w:r>
    </w:p>
    <w:p w:rsidR="00C83BDF" w:rsidRPr="00EE1056" w:rsidRDefault="00C83BDF" w:rsidP="00D90449">
      <w:pPr>
        <w:rPr>
          <w:i/>
          <w:iCs/>
          <w:lang w:eastAsia="zh-CN"/>
        </w:rPr>
      </w:pPr>
      <w:r w:rsidRPr="00C4089F">
        <w:rPr>
          <w:i/>
          <w:iCs/>
        </w:rPr>
        <w:t>Effective date of application of the modified Rule:</w:t>
      </w:r>
      <w:r w:rsidR="007A7993" w:rsidRPr="00C4089F">
        <w:rPr>
          <w:i/>
          <w:iCs/>
        </w:rPr>
        <w:t xml:space="preserve"> </w:t>
      </w:r>
      <w:r w:rsidRPr="00EE1056">
        <w:rPr>
          <w:i/>
          <w:iCs/>
          <w:lang w:eastAsia="zh-CN"/>
        </w:rPr>
        <w:t>immediately after the approval of the Rule</w:t>
      </w:r>
    </w:p>
    <w:p w:rsidR="00C83BDF" w:rsidRPr="00C4089F" w:rsidRDefault="00C83BDF" w:rsidP="002959C7">
      <w:pPr>
        <w:keepNext/>
        <w:tabs>
          <w:tab w:val="clear" w:pos="794"/>
          <w:tab w:val="clear" w:pos="1191"/>
          <w:tab w:val="clear" w:pos="1588"/>
          <w:tab w:val="clear" w:pos="1985"/>
          <w:tab w:val="left" w:pos="1134"/>
          <w:tab w:val="left" w:pos="1871"/>
          <w:tab w:val="left" w:pos="2268"/>
        </w:tabs>
        <w:spacing w:before="0" w:after="240"/>
        <w:rPr>
          <w:rFonts w:hAnsi="Times New Roman Bold"/>
          <w:i/>
          <w:iCs/>
          <w:lang w:eastAsia="zh-CN"/>
        </w:rPr>
      </w:pPr>
    </w:p>
    <w:p w:rsidR="00C83BDF" w:rsidRPr="00C4089F" w:rsidRDefault="00C83BDF" w:rsidP="00D90449">
      <w:pPr>
        <w:pStyle w:val="AnnexNotitle"/>
        <w:rPr>
          <w:rFonts w:eastAsia="SimSun"/>
          <w:kern w:val="32"/>
          <w:szCs w:val="24"/>
          <w:lang w:eastAsia="zh-CN"/>
        </w:rPr>
      </w:pPr>
      <w:r w:rsidRPr="00C4089F">
        <w:rPr>
          <w:rFonts w:eastAsia="SimSun"/>
          <w:lang w:eastAsia="zh-CN"/>
        </w:rPr>
        <w:t xml:space="preserve">Rules concerning </w:t>
      </w:r>
      <w:r w:rsidR="00D90449" w:rsidRPr="00C4089F">
        <w:rPr>
          <w:rFonts w:eastAsia="SimSun"/>
          <w:lang w:eastAsia="zh-CN"/>
        </w:rPr>
        <w:br/>
      </w:r>
      <w:r w:rsidR="00D90449" w:rsidRPr="00C4089F">
        <w:rPr>
          <w:rFonts w:eastAsia="SimSun"/>
          <w:lang w:eastAsia="zh-CN"/>
        </w:rPr>
        <w:br/>
      </w:r>
      <w:r w:rsidRPr="00C4089F">
        <w:rPr>
          <w:rFonts w:eastAsia="SimSun"/>
          <w:szCs w:val="24"/>
          <w:lang w:eastAsia="zh-CN"/>
        </w:rPr>
        <w:t>RESOLUTION 51 (Rev.WRC-2000)</w:t>
      </w:r>
    </w:p>
    <w:p w:rsidR="00C83BDF" w:rsidRPr="00C4089F" w:rsidRDefault="00C83BDF" w:rsidP="00D90449">
      <w:pPr>
        <w:pStyle w:val="Headingb"/>
      </w:pPr>
      <w:r w:rsidRPr="00C4089F">
        <w:t>SUP</w:t>
      </w:r>
    </w:p>
    <w:p w:rsidR="00C83BDF" w:rsidRPr="00C4089F" w:rsidRDefault="00C83BDF" w:rsidP="00D90449">
      <w:pPr>
        <w:pStyle w:val="ResNo"/>
        <w:jc w:val="center"/>
        <w:rPr>
          <w:rFonts w:eastAsia="SimSun"/>
          <w:lang w:eastAsia="zh-CN"/>
        </w:rPr>
      </w:pPr>
      <w:r w:rsidRPr="00C4089F">
        <w:rPr>
          <w:rFonts w:eastAsia="SimSun"/>
          <w:lang w:eastAsia="zh-CN"/>
        </w:rPr>
        <w:t>RESOLUTION 51 (Rev.WRC-2000)</w:t>
      </w:r>
    </w:p>
    <w:p w:rsidR="00C83BDF" w:rsidRPr="00C4089F" w:rsidRDefault="00C83BDF" w:rsidP="00D90449">
      <w:pPr>
        <w:pStyle w:val="Restitle"/>
        <w:rPr>
          <w:rFonts w:eastAsia="SimSun"/>
          <w:lang w:eastAsia="zh-CN"/>
        </w:rPr>
      </w:pPr>
      <w:r w:rsidRPr="00C4089F">
        <w:rPr>
          <w:rFonts w:eastAsia="SimSun"/>
          <w:lang w:eastAsia="zh-CN"/>
        </w:rPr>
        <w:t>Transitional arrangement relating to the advance publication and coordination of satellite networks</w:t>
      </w:r>
    </w:p>
    <w:p w:rsidR="00C83BDF" w:rsidRPr="00C4089F" w:rsidRDefault="00C83BDF" w:rsidP="003D01D1">
      <w:pPr>
        <w:tabs>
          <w:tab w:val="clear" w:pos="794"/>
          <w:tab w:val="clear" w:pos="1191"/>
          <w:tab w:val="clear" w:pos="1588"/>
          <w:tab w:val="clear" w:pos="1985"/>
        </w:tabs>
        <w:overflowPunct/>
        <w:autoSpaceDE/>
        <w:autoSpaceDN/>
        <w:adjustRightInd/>
        <w:spacing w:before="0"/>
        <w:textAlignment w:val="auto"/>
        <w:rPr>
          <w:rFonts w:ascii="Calibri" w:eastAsia="SimSun" w:hAnsi="Calibri" w:cs="Calibri"/>
          <w:sz w:val="22"/>
          <w:szCs w:val="22"/>
          <w:lang w:eastAsia="zh-CN"/>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C83BDF" w:rsidRPr="00C4089F" w:rsidTr="004008A5">
        <w:tc>
          <w:tcPr>
            <w:tcW w:w="1134" w:type="dxa"/>
            <w:tcBorders>
              <w:top w:val="double" w:sz="4" w:space="0" w:color="auto"/>
              <w:left w:val="double" w:sz="4" w:space="0" w:color="auto"/>
              <w:bottom w:val="double" w:sz="4" w:space="0" w:color="auto"/>
              <w:right w:val="double" w:sz="4" w:space="0" w:color="auto"/>
            </w:tcBorders>
            <w:hideMark/>
          </w:tcPr>
          <w:p w:rsidR="00C83BDF" w:rsidRPr="00C4089F" w:rsidRDefault="00C83BDF" w:rsidP="00D90449">
            <w:pPr>
              <w:rPr>
                <w:rFonts w:eastAsia="SimSun"/>
                <w:i/>
                <w:iCs/>
              </w:rPr>
            </w:pPr>
            <w:r w:rsidRPr="00C4089F">
              <w:rPr>
                <w:rFonts w:eastAsia="SimSun"/>
                <w:i/>
                <w:iCs/>
                <w:lang w:eastAsia="zh-CN"/>
              </w:rPr>
              <w:t>Resolves</w:t>
            </w:r>
          </w:p>
        </w:tc>
      </w:tr>
    </w:tbl>
    <w:p w:rsidR="00C83BDF" w:rsidRPr="00C4089F" w:rsidRDefault="00C83BDF" w:rsidP="00D90449">
      <w:pPr>
        <w:pStyle w:val="Headingb"/>
      </w:pPr>
      <w:r w:rsidRPr="00C4089F">
        <w:t xml:space="preserve">1 </w:t>
      </w:r>
      <w:r w:rsidRPr="00C4089F">
        <w:rPr>
          <w:b w:val="0"/>
          <w:bCs/>
        </w:rPr>
        <w:t>to</w:t>
      </w:r>
      <w:r w:rsidRPr="00C4089F">
        <w:t xml:space="preserve"> 2.2.2</w:t>
      </w:r>
    </w:p>
    <w:p w:rsidR="00C83BDF" w:rsidRPr="00C4089F" w:rsidRDefault="00C83BDF" w:rsidP="00D90449">
      <w:pPr>
        <w:pStyle w:val="Reasons"/>
        <w:rPr>
          <w:i/>
          <w:iCs/>
        </w:rPr>
      </w:pPr>
      <w:r w:rsidRPr="00C4089F">
        <w:rPr>
          <w:b/>
          <w:bCs/>
          <w:i/>
          <w:iCs/>
        </w:rPr>
        <w:t>Reason</w:t>
      </w:r>
      <w:r w:rsidR="00D90449" w:rsidRPr="00C4089F">
        <w:rPr>
          <w:b/>
          <w:bCs/>
          <w:i/>
          <w:iCs/>
        </w:rPr>
        <w:t>s</w:t>
      </w:r>
      <w:r w:rsidRPr="00C4089F">
        <w:rPr>
          <w:b/>
          <w:bCs/>
          <w:i/>
          <w:iCs/>
        </w:rPr>
        <w:t>:</w:t>
      </w:r>
      <w:r w:rsidR="007A7993" w:rsidRPr="00C4089F">
        <w:rPr>
          <w:i/>
          <w:iCs/>
        </w:rPr>
        <w:t xml:space="preserve"> </w:t>
      </w:r>
      <w:r w:rsidRPr="00C4089F">
        <w:rPr>
          <w:i/>
          <w:iCs/>
        </w:rPr>
        <w:t>WRC-07 abrogated</w:t>
      </w:r>
      <w:r w:rsidR="007A7993" w:rsidRPr="00C4089F">
        <w:rPr>
          <w:i/>
          <w:iCs/>
        </w:rPr>
        <w:t xml:space="preserve"> </w:t>
      </w:r>
      <w:r w:rsidRPr="00C4089F">
        <w:rPr>
          <w:i/>
          <w:iCs/>
        </w:rPr>
        <w:t>this Resolution as of 01.01.2010.</w:t>
      </w:r>
      <w:r w:rsidR="007A7993" w:rsidRPr="00C4089F">
        <w:rPr>
          <w:i/>
          <w:iCs/>
        </w:rPr>
        <w:t xml:space="preserve"> </w:t>
      </w:r>
      <w:r w:rsidRPr="00C4089F">
        <w:rPr>
          <w:i/>
          <w:iCs/>
        </w:rPr>
        <w:t xml:space="preserve">The transitional arrangement relating to the advance publication information of satellite networks received before 22 November 1997 and all those cases have been dealt with and the transitional rules are no longer necessary. </w:t>
      </w:r>
    </w:p>
    <w:p w:rsidR="00C83BDF" w:rsidRPr="00C4089F" w:rsidRDefault="00C83BDF" w:rsidP="00D90449">
      <w:pPr>
        <w:rPr>
          <w:rFonts w:eastAsia="SimSun"/>
          <w:i/>
          <w:iCs/>
          <w:lang w:eastAsia="zh-CN"/>
        </w:rPr>
      </w:pPr>
      <w:r w:rsidRPr="00C4089F">
        <w:rPr>
          <w:rFonts w:eastAsia="SimSun"/>
          <w:i/>
          <w:iCs/>
          <w:lang w:eastAsia="zh-CN"/>
        </w:rPr>
        <w:t xml:space="preserve">Effective date of suppression of this Rule: </w:t>
      </w:r>
      <w:r w:rsidR="00D90449" w:rsidRPr="00C4089F">
        <w:rPr>
          <w:rFonts w:eastAsia="SimSun"/>
          <w:i/>
          <w:iCs/>
          <w:lang w:eastAsia="zh-CN"/>
        </w:rPr>
        <w:t xml:space="preserve">immediately </w:t>
      </w:r>
      <w:r w:rsidRPr="00C4089F">
        <w:rPr>
          <w:rFonts w:eastAsia="SimSun"/>
          <w:i/>
          <w:iCs/>
          <w:lang w:eastAsia="zh-CN"/>
        </w:rPr>
        <w:t>on approval</w:t>
      </w:r>
    </w:p>
    <w:p w:rsidR="00C83BDF" w:rsidRPr="00C4089F" w:rsidRDefault="00C83BDF" w:rsidP="00B171FB"/>
    <w:p w:rsidR="00C83BDF" w:rsidRPr="00EE1056" w:rsidRDefault="00C83BDF" w:rsidP="00B171FB">
      <w:pPr>
        <w:pStyle w:val="AnnexNotitle"/>
      </w:pPr>
      <w:r w:rsidRPr="00EE1056">
        <w:rPr>
          <w:rFonts w:eastAsia="SimSun"/>
          <w:lang w:eastAsia="zh-CN"/>
        </w:rPr>
        <w:t xml:space="preserve">Rules concerning </w:t>
      </w:r>
      <w:r w:rsidR="00B171FB" w:rsidRPr="00C4089F">
        <w:rPr>
          <w:rFonts w:eastAsia="SimSun"/>
          <w:lang w:eastAsia="zh-CN"/>
        </w:rPr>
        <w:br/>
      </w:r>
      <w:r w:rsidR="00B171FB" w:rsidRPr="00C4089F">
        <w:rPr>
          <w:rFonts w:eastAsia="SimSun"/>
          <w:lang w:eastAsia="zh-CN"/>
        </w:rPr>
        <w:br/>
      </w:r>
      <w:r w:rsidRPr="00EE1056">
        <w:t>PART</w:t>
      </w:r>
      <w:r w:rsidR="007A7993" w:rsidRPr="00C4089F">
        <w:t xml:space="preserve"> </w:t>
      </w:r>
      <w:r w:rsidRPr="00EE1056">
        <w:rPr>
          <w:rStyle w:val="href"/>
        </w:rPr>
        <w:t>A6</w:t>
      </w:r>
    </w:p>
    <w:p w:rsidR="00C83BDF" w:rsidRPr="00EE1056" w:rsidRDefault="00C83BDF" w:rsidP="00B171FB">
      <w:pPr>
        <w:pStyle w:val="Heading1"/>
        <w:ind w:left="0" w:firstLine="0"/>
        <w:jc w:val="center"/>
      </w:pPr>
      <w:r w:rsidRPr="00EE1056">
        <w:t>Rules concerning the Regional Agreement relating to the planning</w:t>
      </w:r>
      <w:r w:rsidRPr="00EE1056">
        <w:br/>
        <w:t>of VHF/UHF television broadcasting in the African</w:t>
      </w:r>
      <w:r w:rsidRPr="00EE1056">
        <w:br/>
        <w:t>Broadcasting Area and neighbouring countries</w:t>
      </w:r>
      <w:r w:rsidRPr="00EE1056">
        <w:br/>
        <w:t>(Geneva, 1989) (</w:t>
      </w:r>
      <w:r w:rsidRPr="00EE1056">
        <w:rPr>
          <w:rStyle w:val="href2"/>
        </w:rPr>
        <w:t>GE89</w:t>
      </w:r>
      <w:r w:rsidRPr="00EE1056">
        <w:t>)</w:t>
      </w:r>
    </w:p>
    <w:p w:rsidR="00C83BDF" w:rsidRPr="00C4089F" w:rsidRDefault="00C83BDF" w:rsidP="00B171FB">
      <w:pPr>
        <w:pStyle w:val="Headingb"/>
      </w:pPr>
      <w:r w:rsidRPr="00C4089F">
        <w:t xml:space="preserve">MOD </w:t>
      </w:r>
    </w:p>
    <w:p w:rsidR="00C83BDF" w:rsidRPr="00C4089F" w:rsidRDefault="00C83BDF" w:rsidP="00C33631">
      <w:pPr>
        <w:pStyle w:val="Heading1"/>
      </w:pPr>
      <w:r w:rsidRPr="00C4089F">
        <w:t>4</w:t>
      </w:r>
      <w:r w:rsidRPr="00C4089F">
        <w:tab/>
        <w:t>Examination of notices related to the non-planned services in the bands governed by the Regional Agreement GE89</w:t>
      </w:r>
    </w:p>
    <w:p w:rsidR="00C83BDF" w:rsidRPr="00C4089F" w:rsidRDefault="00C83BDF" w:rsidP="00C33631">
      <w:r w:rsidRPr="00C4089F">
        <w:t>4.1</w:t>
      </w:r>
      <w:r w:rsidRPr="00C4089F">
        <w:tab/>
        <w:t>Section 5.2 of Article 5 of the GE89 Agreement specifies the procedure to be followed for the examination of the notices related to the non-planned primary services in the bands governed by the Agreement. The bands and the services concerned are summarized in the Table below.</w:t>
      </w:r>
    </w:p>
    <w:p w:rsidR="00C33631" w:rsidRPr="00C4089F" w:rsidRDefault="00C33631" w:rsidP="00C33631">
      <w:pPr>
        <w:pStyle w:val="Table"/>
      </w:pPr>
      <w:r w:rsidRPr="00C4089F">
        <w:lastRenderedPageBreak/>
        <w:t>TABLE</w:t>
      </w:r>
    </w:p>
    <w:p w:rsidR="00C83BDF" w:rsidRPr="00C4089F" w:rsidRDefault="00C83BDF" w:rsidP="00C33631">
      <w:pPr>
        <w:keepNext/>
        <w:spacing w:before="0"/>
        <w:rPr>
          <w:sz w:val="12"/>
          <w:szCs w:val="12"/>
        </w:rPr>
      </w:pPr>
    </w:p>
    <w:tbl>
      <w:tblPr>
        <w:tblW w:w="0" w:type="auto"/>
        <w:jc w:val="center"/>
        <w:tblLayout w:type="fixed"/>
        <w:tblCellMar>
          <w:left w:w="0" w:type="dxa"/>
          <w:right w:w="0" w:type="dxa"/>
        </w:tblCellMar>
        <w:tblLook w:val="0000" w:firstRow="0" w:lastRow="0" w:firstColumn="0" w:lastColumn="0" w:noHBand="0" w:noVBand="0"/>
      </w:tblPr>
      <w:tblGrid>
        <w:gridCol w:w="1021"/>
        <w:gridCol w:w="2389"/>
        <w:gridCol w:w="3910"/>
        <w:gridCol w:w="1021"/>
        <w:gridCol w:w="680"/>
      </w:tblGrid>
      <w:tr w:rsidR="00C83BDF" w:rsidRPr="00C4089F" w:rsidTr="005738C9">
        <w:trPr>
          <w:cantSplit/>
          <w:jc w:val="center"/>
        </w:trPr>
        <w:tc>
          <w:tcPr>
            <w:tcW w:w="1021" w:type="dxa"/>
            <w:tcBorders>
              <w:top w:val="single" w:sz="6" w:space="0" w:color="auto"/>
              <w:left w:val="single" w:sz="6" w:space="0" w:color="auto"/>
              <w:right w:val="single" w:sz="6" w:space="0" w:color="auto"/>
            </w:tcBorders>
            <w:vAlign w:val="center"/>
          </w:tcPr>
          <w:p w:rsidR="00C83BDF" w:rsidRPr="00C4089F" w:rsidRDefault="00C83BDF" w:rsidP="005738C9">
            <w:pPr>
              <w:pStyle w:val="TableHead0"/>
              <w:framePr w:hSpace="181" w:wrap="notBeside" w:vAnchor="text" w:hAnchor="text" w:xAlign="center" w:y="1"/>
              <w:spacing w:before="160" w:after="160"/>
            </w:pPr>
            <w:r w:rsidRPr="00C4089F">
              <w:t>Frequency band (MHz)</w:t>
            </w:r>
          </w:p>
        </w:tc>
        <w:tc>
          <w:tcPr>
            <w:tcW w:w="6299" w:type="dxa"/>
            <w:gridSpan w:val="2"/>
            <w:tcBorders>
              <w:top w:val="single" w:sz="6" w:space="0" w:color="auto"/>
              <w:left w:val="single" w:sz="6" w:space="0" w:color="auto"/>
              <w:bottom w:val="single" w:sz="6" w:space="0" w:color="auto"/>
              <w:right w:val="single" w:sz="6" w:space="0" w:color="auto"/>
            </w:tcBorders>
            <w:vAlign w:val="center"/>
          </w:tcPr>
          <w:p w:rsidR="00C83BDF" w:rsidRPr="00C4089F" w:rsidRDefault="00C83BDF" w:rsidP="005738C9">
            <w:pPr>
              <w:pStyle w:val="TableHead0"/>
              <w:framePr w:hSpace="181" w:wrap="notBeside" w:vAnchor="text" w:hAnchor="text" w:xAlign="center" w:y="1"/>
              <w:tabs>
                <w:tab w:val="left" w:pos="1094"/>
              </w:tabs>
              <w:spacing w:before="160" w:after="160"/>
              <w:ind w:left="1094" w:hanging="1094"/>
            </w:pPr>
            <w:r w:rsidRPr="00C4089F">
              <w:t>Services and countries within the planning area</w:t>
            </w:r>
          </w:p>
        </w:tc>
        <w:tc>
          <w:tcPr>
            <w:tcW w:w="1021" w:type="dxa"/>
            <w:tcBorders>
              <w:top w:val="single" w:sz="6" w:space="0" w:color="auto"/>
              <w:left w:val="single" w:sz="6" w:space="0" w:color="auto"/>
              <w:bottom w:val="single" w:sz="6" w:space="0" w:color="auto"/>
              <w:right w:val="single" w:sz="6" w:space="0" w:color="auto"/>
            </w:tcBorders>
            <w:vAlign w:val="center"/>
          </w:tcPr>
          <w:p w:rsidR="00C83BDF" w:rsidRPr="00C4089F" w:rsidRDefault="00C83BDF" w:rsidP="005738C9">
            <w:pPr>
              <w:pStyle w:val="TableHead0"/>
              <w:framePr w:hSpace="181" w:wrap="notBeside" w:vAnchor="text" w:hAnchor="text" w:xAlign="center" w:y="1"/>
              <w:spacing w:before="160" w:after="160"/>
            </w:pPr>
            <w:r w:rsidRPr="00C4089F">
              <w:t>Provisions</w:t>
            </w:r>
          </w:p>
        </w:tc>
        <w:tc>
          <w:tcPr>
            <w:tcW w:w="680" w:type="dxa"/>
            <w:tcBorders>
              <w:top w:val="single" w:sz="6" w:space="0" w:color="auto"/>
              <w:right w:val="single" w:sz="6" w:space="0" w:color="auto"/>
            </w:tcBorders>
            <w:vAlign w:val="center"/>
          </w:tcPr>
          <w:p w:rsidR="00C83BDF" w:rsidRPr="00C4089F" w:rsidRDefault="00C83BDF" w:rsidP="005738C9">
            <w:pPr>
              <w:pStyle w:val="TableHead0"/>
              <w:framePr w:hSpace="181" w:wrap="notBeside" w:vAnchor="text" w:hAnchor="text" w:xAlign="center" w:y="1"/>
              <w:spacing w:before="160" w:after="160"/>
            </w:pPr>
            <w:r w:rsidRPr="00C4089F">
              <w:t>Notes</w:t>
            </w:r>
          </w:p>
        </w:tc>
      </w:tr>
      <w:tr w:rsidR="00C83BDF" w:rsidRPr="00C4089F" w:rsidTr="00221766">
        <w:trPr>
          <w:cantSplit/>
          <w:jc w:val="center"/>
        </w:trPr>
        <w:tc>
          <w:tcPr>
            <w:tcW w:w="1021" w:type="dxa"/>
            <w:tcBorders>
              <w:top w:val="single" w:sz="6" w:space="0" w:color="auto"/>
              <w:left w:val="single" w:sz="6" w:space="0" w:color="auto"/>
              <w:right w:val="single" w:sz="6" w:space="0" w:color="auto"/>
            </w:tcBorders>
          </w:tcPr>
          <w:p w:rsidR="00C83BDF" w:rsidRPr="00C4089F" w:rsidRDefault="00C83BDF" w:rsidP="005738C9">
            <w:pPr>
              <w:pStyle w:val="TableText0"/>
              <w:framePr w:hSpace="181" w:wrap="notBeside" w:vAnchor="text" w:hAnchor="text" w:xAlign="center" w:y="1"/>
              <w:spacing w:before="80" w:after="80"/>
              <w:ind w:left="57" w:right="57"/>
              <w:jc w:val="center"/>
            </w:pPr>
            <w:r w:rsidRPr="00C4089F">
              <w:t>47-68</w:t>
            </w:r>
          </w:p>
        </w:tc>
        <w:tc>
          <w:tcPr>
            <w:tcW w:w="2389" w:type="dxa"/>
            <w:tcBorders>
              <w:top w:val="single" w:sz="6" w:space="0" w:color="auto"/>
              <w:left w:val="single" w:sz="6" w:space="0" w:color="auto"/>
              <w:bottom w:val="single" w:sz="6" w:space="0" w:color="auto"/>
            </w:tcBorders>
          </w:tcPr>
          <w:p w:rsidR="00C83BDF" w:rsidRPr="00C4089F" w:rsidRDefault="00C83BDF" w:rsidP="005738C9">
            <w:pPr>
              <w:pStyle w:val="TableText0"/>
              <w:framePr w:hSpace="181" w:wrap="notBeside" w:vAnchor="text" w:hAnchor="text" w:xAlign="center" w:y="1"/>
              <w:tabs>
                <w:tab w:val="left" w:pos="1316"/>
              </w:tabs>
              <w:spacing w:before="80" w:after="80"/>
              <w:ind w:left="1316" w:right="57" w:hanging="1259"/>
            </w:pPr>
            <w:r w:rsidRPr="00C4089F">
              <w:rPr>
                <w:b/>
              </w:rPr>
              <w:t>FIXED</w:t>
            </w:r>
            <w:r w:rsidRPr="00C4089F">
              <w:t>:</w:t>
            </w:r>
          </w:p>
        </w:tc>
        <w:tc>
          <w:tcPr>
            <w:tcW w:w="3910" w:type="dxa"/>
            <w:tcBorders>
              <w:top w:val="single" w:sz="6" w:space="0" w:color="auto"/>
              <w:left w:val="nil"/>
              <w:bottom w:val="single" w:sz="6" w:space="0" w:color="auto"/>
              <w:right w:val="single" w:sz="6" w:space="0" w:color="auto"/>
            </w:tcBorders>
          </w:tcPr>
          <w:p w:rsidR="00C83BDF" w:rsidRPr="00C4089F" w:rsidRDefault="00C83BDF" w:rsidP="00DA4DB0">
            <w:pPr>
              <w:pStyle w:val="TableText0"/>
              <w:framePr w:hSpace="181" w:wrap="notBeside" w:vAnchor="text" w:hAnchor="text" w:xAlign="center" w:y="1"/>
              <w:spacing w:before="80" w:after="80"/>
              <w:ind w:left="61" w:right="57" w:hanging="4"/>
            </w:pPr>
            <w:r w:rsidRPr="00C4089F">
              <w:t xml:space="preserve">AFS, AGL, BOT, </w:t>
            </w:r>
            <w:r w:rsidR="00601BB3" w:rsidRPr="0044185E">
              <w:rPr>
                <w:strike/>
                <w:color w:val="FF0000"/>
              </w:rPr>
              <w:t>BDI</w:t>
            </w:r>
            <w:r w:rsidR="00601BB3">
              <w:t xml:space="preserve">, </w:t>
            </w:r>
            <w:r w:rsidRPr="00C4089F">
              <w:t xml:space="preserve">CME, COD, COG, IRN, LSO, MDG, MLI, MOZ, MWI, </w:t>
            </w:r>
            <w:r w:rsidRPr="0044185E">
              <w:rPr>
                <w:color w:val="FF0000"/>
                <w:u w:val="single"/>
              </w:rPr>
              <w:t>NGR</w:t>
            </w:r>
            <w:r w:rsidRPr="00C4089F">
              <w:t xml:space="preserve">, NMB, RRW, SOM, SDN, </w:t>
            </w:r>
            <w:r w:rsidRPr="0044185E">
              <w:rPr>
                <w:color w:val="FF0000"/>
                <w:u w:val="single"/>
              </w:rPr>
              <w:t>SSD</w:t>
            </w:r>
            <w:r w:rsidRPr="00C4089F">
              <w:t xml:space="preserve">, SWZ, TCD, TZA, </w:t>
            </w:r>
            <w:r w:rsidRPr="0044185E">
              <w:rPr>
                <w:color w:val="FF0000"/>
                <w:u w:val="single"/>
              </w:rPr>
              <w:t>ZMB</w:t>
            </w:r>
            <w:r w:rsidRPr="00C4089F">
              <w:t>, ZWE</w:t>
            </w:r>
          </w:p>
        </w:tc>
        <w:tc>
          <w:tcPr>
            <w:tcW w:w="1021" w:type="dxa"/>
            <w:tcBorders>
              <w:top w:val="single" w:sz="6" w:space="0" w:color="auto"/>
              <w:left w:val="single" w:sz="6" w:space="0" w:color="auto"/>
              <w:bottom w:val="single" w:sz="6" w:space="0" w:color="auto"/>
              <w:right w:val="single" w:sz="6" w:space="0" w:color="auto"/>
            </w:tcBorders>
          </w:tcPr>
          <w:p w:rsidR="00C83BDF" w:rsidRPr="00C4089F" w:rsidRDefault="00C83BDF" w:rsidP="005738C9">
            <w:pPr>
              <w:pStyle w:val="TableText0"/>
              <w:framePr w:hSpace="181" w:wrap="notBeside" w:vAnchor="text" w:hAnchor="text" w:xAlign="center" w:y="1"/>
              <w:spacing w:before="80" w:after="80"/>
              <w:ind w:left="57" w:right="57"/>
              <w:jc w:val="center"/>
            </w:pPr>
            <w:r w:rsidRPr="00C4089F">
              <w:rPr>
                <w:rStyle w:val="Artref"/>
                <w:b/>
              </w:rPr>
              <w:t>5.165</w:t>
            </w:r>
            <w:r w:rsidRPr="00C4089F">
              <w:rPr>
                <w:rStyle w:val="Artref0"/>
                <w:b/>
              </w:rPr>
              <w:br/>
            </w:r>
            <w:r w:rsidRPr="00C4089F">
              <w:rPr>
                <w:rStyle w:val="Artref"/>
                <w:b/>
              </w:rPr>
              <w:t>5.167</w:t>
            </w:r>
            <w:r w:rsidRPr="00C4089F">
              <w:br/>
            </w:r>
            <w:r w:rsidRPr="00C4089F">
              <w:rPr>
                <w:rStyle w:val="Artref"/>
                <w:b/>
              </w:rPr>
              <w:t>5.171</w:t>
            </w:r>
          </w:p>
        </w:tc>
        <w:tc>
          <w:tcPr>
            <w:tcW w:w="680" w:type="dxa"/>
            <w:tcBorders>
              <w:top w:val="single" w:sz="6" w:space="0" w:color="auto"/>
              <w:right w:val="single" w:sz="6" w:space="0" w:color="auto"/>
            </w:tcBorders>
          </w:tcPr>
          <w:p w:rsidR="00C83BDF" w:rsidRPr="00C4089F" w:rsidRDefault="00C83BDF" w:rsidP="005738C9">
            <w:pPr>
              <w:pStyle w:val="TableText0"/>
              <w:framePr w:hSpace="181" w:wrap="notBeside" w:vAnchor="text" w:hAnchor="text" w:xAlign="center" w:y="1"/>
              <w:spacing w:before="80" w:after="80"/>
              <w:ind w:left="57" w:right="57"/>
              <w:jc w:val="center"/>
            </w:pPr>
            <w:r w:rsidRPr="00C4089F">
              <w:br/>
              <w:t>1</w:t>
            </w:r>
            <w:r w:rsidRPr="00C4089F">
              <w:br/>
            </w:r>
          </w:p>
        </w:tc>
      </w:tr>
      <w:tr w:rsidR="00C83BDF" w:rsidRPr="00C4089F" w:rsidTr="00221766">
        <w:trPr>
          <w:cantSplit/>
          <w:jc w:val="center"/>
        </w:trPr>
        <w:tc>
          <w:tcPr>
            <w:tcW w:w="1021" w:type="dxa"/>
            <w:tcBorders>
              <w:left w:val="single" w:sz="6" w:space="0" w:color="auto"/>
              <w:right w:val="single" w:sz="6" w:space="0" w:color="auto"/>
            </w:tcBorders>
          </w:tcPr>
          <w:p w:rsidR="00C83BDF" w:rsidRPr="00C4089F" w:rsidRDefault="00C83BDF" w:rsidP="005738C9">
            <w:pPr>
              <w:pStyle w:val="TableText0"/>
              <w:framePr w:hSpace="181" w:wrap="notBeside" w:vAnchor="text" w:hAnchor="text" w:xAlign="center" w:y="1"/>
              <w:spacing w:before="80" w:after="80"/>
              <w:ind w:left="57" w:right="57"/>
              <w:jc w:val="center"/>
            </w:pPr>
          </w:p>
        </w:tc>
        <w:tc>
          <w:tcPr>
            <w:tcW w:w="2389" w:type="dxa"/>
            <w:tcBorders>
              <w:top w:val="single" w:sz="6" w:space="0" w:color="auto"/>
              <w:left w:val="single" w:sz="6" w:space="0" w:color="auto"/>
              <w:bottom w:val="single" w:sz="6" w:space="0" w:color="auto"/>
            </w:tcBorders>
          </w:tcPr>
          <w:p w:rsidR="00C83BDF" w:rsidRPr="00C4089F" w:rsidRDefault="00C83BDF" w:rsidP="005738C9">
            <w:pPr>
              <w:pStyle w:val="TableText0"/>
              <w:framePr w:hSpace="181" w:wrap="notBeside" w:vAnchor="text" w:hAnchor="text" w:xAlign="center" w:y="1"/>
              <w:tabs>
                <w:tab w:val="left" w:pos="1316"/>
              </w:tabs>
              <w:spacing w:before="80" w:after="80"/>
              <w:ind w:left="57" w:right="57"/>
            </w:pPr>
            <w:r w:rsidRPr="00C4089F">
              <w:rPr>
                <w:b/>
              </w:rPr>
              <w:t>MOBILE (-AER):</w:t>
            </w:r>
          </w:p>
        </w:tc>
        <w:tc>
          <w:tcPr>
            <w:tcW w:w="3910" w:type="dxa"/>
            <w:tcBorders>
              <w:top w:val="single" w:sz="6" w:space="0" w:color="auto"/>
              <w:left w:val="nil"/>
              <w:bottom w:val="single" w:sz="6" w:space="0" w:color="auto"/>
              <w:right w:val="single" w:sz="6" w:space="0" w:color="auto"/>
            </w:tcBorders>
          </w:tcPr>
          <w:p w:rsidR="00C83BDF" w:rsidRPr="00C4089F" w:rsidRDefault="00C83BDF" w:rsidP="00CA4494">
            <w:pPr>
              <w:pStyle w:val="TableText0"/>
              <w:framePr w:hSpace="181" w:wrap="notBeside" w:vAnchor="text" w:hAnchor="text" w:xAlign="center" w:y="1"/>
              <w:spacing w:before="80" w:after="80"/>
              <w:ind w:left="61" w:right="57" w:hanging="4"/>
            </w:pPr>
            <w:r w:rsidRPr="00C4089F">
              <w:t xml:space="preserve">AFS, AGL, BOT, </w:t>
            </w:r>
            <w:r w:rsidR="00601BB3" w:rsidRPr="0044185E">
              <w:rPr>
                <w:strike/>
                <w:color w:val="FF0000"/>
              </w:rPr>
              <w:t>BDI</w:t>
            </w:r>
            <w:r w:rsidR="00601BB3">
              <w:t xml:space="preserve">, </w:t>
            </w:r>
            <w:r w:rsidRPr="00C4089F">
              <w:t xml:space="preserve">CME, COD, COG, LSO, MDG, MLI, MOZ, MWI, </w:t>
            </w:r>
            <w:r w:rsidRPr="0044185E">
              <w:rPr>
                <w:color w:val="FF0000"/>
                <w:u w:val="single"/>
              </w:rPr>
              <w:t>NGR</w:t>
            </w:r>
            <w:r w:rsidRPr="00C4089F">
              <w:t xml:space="preserve">, NMB, RRW, SOM, SDN, </w:t>
            </w:r>
            <w:r w:rsidRPr="0044185E">
              <w:rPr>
                <w:color w:val="FF0000"/>
                <w:u w:val="single"/>
              </w:rPr>
              <w:t>SSD</w:t>
            </w:r>
            <w:r w:rsidRPr="00C4089F">
              <w:t xml:space="preserve">, SWZ, TCD, TZA, </w:t>
            </w:r>
            <w:r w:rsidRPr="0044185E">
              <w:rPr>
                <w:color w:val="FF0000"/>
                <w:u w:val="single"/>
              </w:rPr>
              <w:t>ZMB</w:t>
            </w:r>
            <w:r w:rsidRPr="00C4089F">
              <w:t>, ZWE</w:t>
            </w:r>
          </w:p>
        </w:tc>
        <w:tc>
          <w:tcPr>
            <w:tcW w:w="1021" w:type="dxa"/>
            <w:tcBorders>
              <w:top w:val="single" w:sz="6" w:space="0" w:color="auto"/>
              <w:left w:val="single" w:sz="6" w:space="0" w:color="auto"/>
              <w:bottom w:val="single" w:sz="6" w:space="0" w:color="auto"/>
              <w:right w:val="single" w:sz="6" w:space="0" w:color="auto"/>
            </w:tcBorders>
          </w:tcPr>
          <w:p w:rsidR="00C83BDF" w:rsidRPr="00C4089F" w:rsidRDefault="00C83BDF" w:rsidP="005738C9">
            <w:pPr>
              <w:pStyle w:val="TableText0"/>
              <w:framePr w:hSpace="181" w:wrap="notBeside" w:vAnchor="text" w:hAnchor="text" w:xAlign="center" w:y="1"/>
              <w:spacing w:before="80" w:after="80"/>
              <w:ind w:left="57" w:right="57"/>
              <w:jc w:val="center"/>
            </w:pPr>
            <w:r w:rsidRPr="00C4089F">
              <w:rPr>
                <w:rStyle w:val="Artref"/>
                <w:b/>
              </w:rPr>
              <w:t>5.165</w:t>
            </w:r>
            <w:r w:rsidRPr="00C4089F">
              <w:br/>
            </w:r>
            <w:r w:rsidRPr="00C4089F">
              <w:rPr>
                <w:rStyle w:val="Artref"/>
                <w:b/>
              </w:rPr>
              <w:t>5.171</w:t>
            </w:r>
          </w:p>
        </w:tc>
        <w:tc>
          <w:tcPr>
            <w:tcW w:w="680" w:type="dxa"/>
            <w:tcBorders>
              <w:right w:val="single" w:sz="6" w:space="0" w:color="auto"/>
            </w:tcBorders>
          </w:tcPr>
          <w:p w:rsidR="00C83BDF" w:rsidRPr="00C4089F" w:rsidRDefault="00C83BDF" w:rsidP="005738C9">
            <w:pPr>
              <w:pStyle w:val="TableText0"/>
              <w:framePr w:hSpace="181" w:wrap="notBeside" w:vAnchor="text" w:hAnchor="text" w:xAlign="center" w:y="1"/>
              <w:spacing w:before="80" w:after="80"/>
              <w:ind w:left="57" w:right="57"/>
              <w:jc w:val="center"/>
            </w:pPr>
            <w:r w:rsidRPr="00C4089F">
              <w:t>1</w:t>
            </w:r>
          </w:p>
        </w:tc>
      </w:tr>
      <w:tr w:rsidR="00C83BDF" w:rsidRPr="00C4089F" w:rsidTr="00221766">
        <w:trPr>
          <w:cantSplit/>
          <w:jc w:val="center"/>
        </w:trPr>
        <w:tc>
          <w:tcPr>
            <w:tcW w:w="1021" w:type="dxa"/>
            <w:tcBorders>
              <w:left w:val="single" w:sz="6" w:space="0" w:color="auto"/>
              <w:bottom w:val="single" w:sz="6" w:space="0" w:color="auto"/>
              <w:right w:val="single" w:sz="6" w:space="0" w:color="auto"/>
            </w:tcBorders>
          </w:tcPr>
          <w:p w:rsidR="00C83BDF" w:rsidRPr="00C4089F" w:rsidRDefault="00C83BDF" w:rsidP="005738C9">
            <w:pPr>
              <w:pStyle w:val="TableText0"/>
              <w:framePr w:hSpace="181" w:wrap="notBeside" w:vAnchor="text" w:hAnchor="text" w:xAlign="center" w:y="1"/>
              <w:spacing w:before="80" w:after="80"/>
              <w:ind w:left="57" w:right="57"/>
              <w:jc w:val="center"/>
            </w:pPr>
          </w:p>
        </w:tc>
        <w:tc>
          <w:tcPr>
            <w:tcW w:w="2389" w:type="dxa"/>
            <w:tcBorders>
              <w:top w:val="single" w:sz="6" w:space="0" w:color="auto"/>
              <w:left w:val="single" w:sz="6" w:space="0" w:color="auto"/>
              <w:bottom w:val="single" w:sz="6" w:space="0" w:color="auto"/>
            </w:tcBorders>
          </w:tcPr>
          <w:p w:rsidR="00C83BDF" w:rsidRPr="00C4089F" w:rsidRDefault="00C83BDF" w:rsidP="005738C9">
            <w:pPr>
              <w:pStyle w:val="TableText0"/>
              <w:framePr w:hSpace="181" w:wrap="notBeside" w:vAnchor="text" w:hAnchor="text" w:xAlign="center" w:y="1"/>
              <w:tabs>
                <w:tab w:val="left" w:pos="1316"/>
              </w:tabs>
              <w:spacing w:before="80" w:after="80"/>
              <w:ind w:left="1316" w:right="57" w:hanging="1259"/>
              <w:rPr>
                <w:b/>
              </w:rPr>
            </w:pPr>
            <w:r w:rsidRPr="00C4089F">
              <w:rPr>
                <w:b/>
              </w:rPr>
              <w:t>MOBILE:</w:t>
            </w:r>
          </w:p>
        </w:tc>
        <w:tc>
          <w:tcPr>
            <w:tcW w:w="3910" w:type="dxa"/>
            <w:tcBorders>
              <w:top w:val="single" w:sz="6" w:space="0" w:color="auto"/>
              <w:left w:val="nil"/>
              <w:bottom w:val="single" w:sz="6" w:space="0" w:color="auto"/>
              <w:right w:val="single" w:sz="6" w:space="0" w:color="auto"/>
            </w:tcBorders>
          </w:tcPr>
          <w:p w:rsidR="00C83BDF" w:rsidRPr="00C4089F" w:rsidRDefault="00C83BDF" w:rsidP="005738C9">
            <w:pPr>
              <w:pStyle w:val="TableText0"/>
              <w:framePr w:hSpace="181" w:wrap="notBeside" w:vAnchor="text" w:hAnchor="text" w:xAlign="center" w:y="1"/>
              <w:tabs>
                <w:tab w:val="left" w:pos="1316"/>
              </w:tabs>
              <w:spacing w:before="80" w:after="80"/>
              <w:ind w:left="1316" w:right="57" w:hanging="1259"/>
            </w:pPr>
            <w:r w:rsidRPr="00C4089F">
              <w:t>IRN</w:t>
            </w:r>
          </w:p>
        </w:tc>
        <w:tc>
          <w:tcPr>
            <w:tcW w:w="1021" w:type="dxa"/>
            <w:tcBorders>
              <w:top w:val="single" w:sz="6" w:space="0" w:color="auto"/>
              <w:left w:val="single" w:sz="6" w:space="0" w:color="auto"/>
              <w:bottom w:val="single" w:sz="6" w:space="0" w:color="auto"/>
              <w:right w:val="single" w:sz="6" w:space="0" w:color="auto"/>
            </w:tcBorders>
          </w:tcPr>
          <w:p w:rsidR="00C83BDF" w:rsidRPr="00C4089F" w:rsidRDefault="00C83BDF" w:rsidP="005738C9">
            <w:pPr>
              <w:pStyle w:val="TableText0"/>
              <w:framePr w:hSpace="181" w:wrap="notBeside" w:vAnchor="text" w:hAnchor="text" w:xAlign="center" w:y="1"/>
              <w:spacing w:before="80" w:after="80"/>
              <w:ind w:left="57" w:right="57"/>
              <w:jc w:val="center"/>
              <w:rPr>
                <w:rStyle w:val="Artref"/>
                <w:b/>
              </w:rPr>
            </w:pPr>
            <w:r w:rsidRPr="00C4089F">
              <w:rPr>
                <w:rStyle w:val="Artref"/>
                <w:b/>
              </w:rPr>
              <w:t>5.167</w:t>
            </w:r>
          </w:p>
        </w:tc>
        <w:tc>
          <w:tcPr>
            <w:tcW w:w="680" w:type="dxa"/>
            <w:tcBorders>
              <w:bottom w:val="single" w:sz="6" w:space="0" w:color="auto"/>
              <w:right w:val="single" w:sz="6" w:space="0" w:color="auto"/>
            </w:tcBorders>
          </w:tcPr>
          <w:p w:rsidR="00C83BDF" w:rsidRPr="00C4089F" w:rsidRDefault="00C83BDF" w:rsidP="005738C9">
            <w:pPr>
              <w:pStyle w:val="TableText0"/>
              <w:framePr w:hSpace="181" w:wrap="notBeside" w:vAnchor="text" w:hAnchor="text" w:xAlign="center" w:y="1"/>
              <w:spacing w:before="80" w:after="80"/>
              <w:ind w:left="57" w:right="57"/>
              <w:jc w:val="center"/>
            </w:pPr>
          </w:p>
        </w:tc>
      </w:tr>
      <w:tr w:rsidR="00C83BDF" w:rsidRPr="00C4089F" w:rsidTr="00221766">
        <w:trPr>
          <w:cantSplit/>
          <w:jc w:val="center"/>
        </w:trPr>
        <w:tc>
          <w:tcPr>
            <w:tcW w:w="1021" w:type="dxa"/>
            <w:tcBorders>
              <w:top w:val="single" w:sz="6" w:space="0" w:color="auto"/>
              <w:left w:val="single" w:sz="6" w:space="0" w:color="auto"/>
              <w:right w:val="single" w:sz="6" w:space="0" w:color="auto"/>
            </w:tcBorders>
          </w:tcPr>
          <w:p w:rsidR="00C83BDF" w:rsidRPr="00C4089F" w:rsidRDefault="00C83BDF" w:rsidP="005738C9">
            <w:pPr>
              <w:pStyle w:val="TableText0"/>
              <w:framePr w:hSpace="181" w:wrap="notBeside" w:vAnchor="text" w:hAnchor="text" w:xAlign="center" w:y="1"/>
              <w:spacing w:before="80" w:after="80"/>
              <w:ind w:left="57" w:right="57"/>
              <w:jc w:val="center"/>
            </w:pPr>
            <w:r w:rsidRPr="00C4089F">
              <w:t>230-238</w:t>
            </w:r>
          </w:p>
        </w:tc>
        <w:tc>
          <w:tcPr>
            <w:tcW w:w="2389" w:type="dxa"/>
            <w:tcBorders>
              <w:top w:val="single" w:sz="6" w:space="0" w:color="auto"/>
              <w:left w:val="single" w:sz="6" w:space="0" w:color="auto"/>
            </w:tcBorders>
          </w:tcPr>
          <w:p w:rsidR="00C83BDF" w:rsidRPr="00C4089F" w:rsidRDefault="00C83BDF" w:rsidP="005738C9">
            <w:pPr>
              <w:pStyle w:val="TableText0"/>
              <w:framePr w:hSpace="181" w:wrap="notBeside" w:vAnchor="text" w:hAnchor="text" w:xAlign="center" w:y="1"/>
              <w:tabs>
                <w:tab w:val="left" w:pos="1316"/>
              </w:tabs>
              <w:spacing w:before="80" w:after="80"/>
              <w:ind w:left="1316" w:right="57" w:hanging="1259"/>
              <w:rPr>
                <w:b/>
              </w:rPr>
            </w:pPr>
            <w:r w:rsidRPr="00C4089F">
              <w:rPr>
                <w:b/>
              </w:rPr>
              <w:t>FIXED</w:t>
            </w:r>
            <w:r w:rsidRPr="00C4089F">
              <w:t>:</w:t>
            </w:r>
          </w:p>
        </w:tc>
        <w:tc>
          <w:tcPr>
            <w:tcW w:w="3910" w:type="dxa"/>
            <w:tcBorders>
              <w:top w:val="single" w:sz="6" w:space="0" w:color="auto"/>
              <w:left w:val="nil"/>
              <w:right w:val="single" w:sz="6" w:space="0" w:color="auto"/>
            </w:tcBorders>
          </w:tcPr>
          <w:p w:rsidR="00C83BDF" w:rsidRPr="00C4089F" w:rsidRDefault="00C83BDF" w:rsidP="005738C9">
            <w:pPr>
              <w:pStyle w:val="TableText0"/>
              <w:framePr w:hSpace="181" w:wrap="notBeside" w:vAnchor="text" w:hAnchor="text" w:xAlign="center" w:y="1"/>
              <w:spacing w:before="80" w:after="80"/>
              <w:ind w:left="54" w:right="57" w:firstLine="3"/>
            </w:pPr>
            <w:r w:rsidRPr="00C4089F">
              <w:t xml:space="preserve">from all parties to the Agreement (excepting those referred to in No. </w:t>
            </w:r>
            <w:r w:rsidRPr="00C4089F">
              <w:rPr>
                <w:rStyle w:val="Artref"/>
                <w:b/>
              </w:rPr>
              <w:t>5.252</w:t>
            </w:r>
            <w:r w:rsidRPr="00C4089F">
              <w:t>)</w:t>
            </w:r>
          </w:p>
        </w:tc>
        <w:tc>
          <w:tcPr>
            <w:tcW w:w="1021" w:type="dxa"/>
            <w:tcBorders>
              <w:top w:val="single" w:sz="6" w:space="0" w:color="auto"/>
              <w:left w:val="single" w:sz="6" w:space="0" w:color="auto"/>
              <w:right w:val="single" w:sz="6" w:space="0" w:color="auto"/>
            </w:tcBorders>
          </w:tcPr>
          <w:p w:rsidR="00C83BDF" w:rsidRPr="00C4089F" w:rsidRDefault="00C83BDF" w:rsidP="005738C9">
            <w:pPr>
              <w:pStyle w:val="TableText0"/>
              <w:framePr w:hSpace="181" w:wrap="notBeside" w:vAnchor="text" w:hAnchor="text" w:xAlign="center" w:y="1"/>
              <w:spacing w:before="80" w:after="80"/>
              <w:ind w:left="57" w:right="57"/>
              <w:jc w:val="center"/>
            </w:pPr>
          </w:p>
        </w:tc>
        <w:tc>
          <w:tcPr>
            <w:tcW w:w="680" w:type="dxa"/>
            <w:tcBorders>
              <w:top w:val="single" w:sz="6" w:space="0" w:color="auto"/>
              <w:right w:val="single" w:sz="6" w:space="0" w:color="auto"/>
            </w:tcBorders>
            <w:vAlign w:val="bottom"/>
          </w:tcPr>
          <w:p w:rsidR="00C83BDF" w:rsidRPr="00C4089F" w:rsidRDefault="00C83BDF" w:rsidP="005738C9">
            <w:pPr>
              <w:pStyle w:val="TableText0"/>
              <w:framePr w:hSpace="181" w:wrap="notBeside" w:vAnchor="text" w:hAnchor="text" w:xAlign="center" w:y="1"/>
              <w:spacing w:before="80" w:after="80"/>
              <w:ind w:left="57" w:right="57"/>
              <w:jc w:val="center"/>
            </w:pPr>
            <w:r w:rsidRPr="00C4089F">
              <w:t>2</w:t>
            </w:r>
          </w:p>
        </w:tc>
      </w:tr>
      <w:tr w:rsidR="00C83BDF" w:rsidRPr="00C4089F" w:rsidTr="00221766">
        <w:trPr>
          <w:cantSplit/>
          <w:jc w:val="center"/>
        </w:trPr>
        <w:tc>
          <w:tcPr>
            <w:tcW w:w="1021" w:type="dxa"/>
            <w:tcBorders>
              <w:left w:val="single" w:sz="6" w:space="0" w:color="auto"/>
              <w:right w:val="single" w:sz="6" w:space="0" w:color="auto"/>
            </w:tcBorders>
          </w:tcPr>
          <w:p w:rsidR="00C83BDF" w:rsidRPr="00C4089F" w:rsidRDefault="00C83BDF" w:rsidP="005738C9">
            <w:pPr>
              <w:pStyle w:val="TableText0"/>
              <w:framePr w:hSpace="181" w:wrap="notBeside" w:vAnchor="text" w:hAnchor="text" w:xAlign="center" w:y="1"/>
              <w:spacing w:before="80" w:after="80"/>
              <w:ind w:left="57" w:right="57"/>
              <w:jc w:val="center"/>
            </w:pPr>
          </w:p>
        </w:tc>
        <w:tc>
          <w:tcPr>
            <w:tcW w:w="2389" w:type="dxa"/>
            <w:tcBorders>
              <w:left w:val="single" w:sz="6" w:space="0" w:color="auto"/>
            </w:tcBorders>
          </w:tcPr>
          <w:p w:rsidR="00C83BDF" w:rsidRPr="00C4089F" w:rsidRDefault="00C83BDF" w:rsidP="005738C9">
            <w:pPr>
              <w:pStyle w:val="TableText0"/>
              <w:framePr w:hSpace="181" w:wrap="notBeside" w:vAnchor="text" w:hAnchor="text" w:xAlign="center" w:y="1"/>
              <w:tabs>
                <w:tab w:val="left" w:pos="1316"/>
              </w:tabs>
              <w:spacing w:before="80" w:after="80"/>
              <w:ind w:left="1316" w:right="57" w:hanging="1259"/>
              <w:rPr>
                <w:b/>
                <w:bCs/>
              </w:rPr>
            </w:pPr>
            <w:r w:rsidRPr="00C4089F">
              <w:rPr>
                <w:b/>
                <w:bCs/>
              </w:rPr>
              <w:t>MOBILE:</w:t>
            </w:r>
          </w:p>
        </w:tc>
        <w:tc>
          <w:tcPr>
            <w:tcW w:w="3910" w:type="dxa"/>
            <w:tcBorders>
              <w:right w:val="single" w:sz="6" w:space="0" w:color="auto"/>
            </w:tcBorders>
          </w:tcPr>
          <w:p w:rsidR="00C83BDF" w:rsidRPr="00C4089F" w:rsidRDefault="00C83BDF" w:rsidP="005738C9">
            <w:pPr>
              <w:pStyle w:val="TableText0"/>
              <w:framePr w:hSpace="181" w:wrap="notBeside" w:vAnchor="text" w:hAnchor="text" w:xAlign="center" w:y="1"/>
              <w:spacing w:before="80" w:after="80"/>
              <w:ind w:left="54" w:right="57" w:firstLine="3"/>
            </w:pPr>
            <w:r w:rsidRPr="00C4089F">
              <w:t xml:space="preserve">from all parties to the Agreement (excepting those referred to in No. </w:t>
            </w:r>
            <w:r w:rsidRPr="00C4089F">
              <w:rPr>
                <w:rStyle w:val="Artref"/>
                <w:b/>
              </w:rPr>
              <w:t>5.252</w:t>
            </w:r>
            <w:r w:rsidRPr="00C4089F">
              <w:t>)</w:t>
            </w:r>
          </w:p>
        </w:tc>
        <w:tc>
          <w:tcPr>
            <w:tcW w:w="1021" w:type="dxa"/>
            <w:tcBorders>
              <w:left w:val="single" w:sz="6" w:space="0" w:color="auto"/>
              <w:right w:val="single" w:sz="6" w:space="0" w:color="auto"/>
            </w:tcBorders>
            <w:vAlign w:val="bottom"/>
          </w:tcPr>
          <w:p w:rsidR="00C83BDF" w:rsidRPr="00C4089F" w:rsidRDefault="00C83BDF" w:rsidP="005738C9">
            <w:pPr>
              <w:pStyle w:val="TableText0"/>
              <w:framePr w:hSpace="181" w:wrap="notBeside" w:vAnchor="text" w:hAnchor="text" w:xAlign="center" w:y="1"/>
              <w:spacing w:before="80" w:after="80"/>
              <w:ind w:left="57" w:right="57"/>
              <w:jc w:val="center"/>
              <w:rPr>
                <w:rStyle w:val="Artref"/>
                <w:b/>
              </w:rPr>
            </w:pPr>
          </w:p>
        </w:tc>
        <w:tc>
          <w:tcPr>
            <w:tcW w:w="680" w:type="dxa"/>
            <w:tcBorders>
              <w:left w:val="single" w:sz="6" w:space="0" w:color="auto"/>
              <w:right w:val="single" w:sz="6" w:space="0" w:color="auto"/>
            </w:tcBorders>
            <w:vAlign w:val="center"/>
          </w:tcPr>
          <w:p w:rsidR="00C83BDF" w:rsidRPr="00C4089F" w:rsidRDefault="00C83BDF" w:rsidP="005738C9">
            <w:pPr>
              <w:pStyle w:val="TableText0"/>
              <w:framePr w:hSpace="181" w:wrap="notBeside" w:vAnchor="text" w:hAnchor="text" w:xAlign="center" w:y="1"/>
              <w:spacing w:before="80" w:after="80"/>
              <w:ind w:left="57" w:right="57"/>
              <w:jc w:val="center"/>
            </w:pPr>
            <w:r w:rsidRPr="00C4089F">
              <w:t>2</w:t>
            </w:r>
          </w:p>
        </w:tc>
      </w:tr>
      <w:tr w:rsidR="00C83BDF" w:rsidRPr="00C4089F" w:rsidTr="00221766">
        <w:trPr>
          <w:cantSplit/>
          <w:jc w:val="center"/>
        </w:trPr>
        <w:tc>
          <w:tcPr>
            <w:tcW w:w="1021" w:type="dxa"/>
            <w:tcBorders>
              <w:left w:val="single" w:sz="6" w:space="0" w:color="auto"/>
              <w:bottom w:val="single" w:sz="6" w:space="0" w:color="auto"/>
              <w:right w:val="single" w:sz="6" w:space="0" w:color="auto"/>
            </w:tcBorders>
          </w:tcPr>
          <w:p w:rsidR="00C83BDF" w:rsidRPr="00C4089F" w:rsidRDefault="00C83BDF" w:rsidP="005738C9">
            <w:pPr>
              <w:pStyle w:val="TableText0"/>
              <w:framePr w:hSpace="181" w:wrap="notBeside" w:vAnchor="text" w:hAnchor="text" w:xAlign="center" w:y="1"/>
              <w:spacing w:before="80" w:after="80"/>
              <w:ind w:left="57" w:right="57"/>
              <w:jc w:val="center"/>
            </w:pPr>
          </w:p>
        </w:tc>
        <w:tc>
          <w:tcPr>
            <w:tcW w:w="2389" w:type="dxa"/>
            <w:tcBorders>
              <w:left w:val="single" w:sz="6" w:space="0" w:color="auto"/>
              <w:bottom w:val="single" w:sz="6" w:space="0" w:color="auto"/>
            </w:tcBorders>
          </w:tcPr>
          <w:p w:rsidR="00C83BDF" w:rsidRPr="00C4089F" w:rsidRDefault="00C83BDF" w:rsidP="005738C9">
            <w:pPr>
              <w:pStyle w:val="TableText0"/>
              <w:framePr w:hSpace="181" w:wrap="notBeside" w:vAnchor="text" w:hAnchor="text" w:xAlign="center" w:y="1"/>
              <w:tabs>
                <w:tab w:val="left" w:pos="1316"/>
              </w:tabs>
              <w:spacing w:before="80" w:after="80"/>
              <w:ind w:left="57" w:right="57"/>
            </w:pPr>
            <w:r w:rsidRPr="00C4089F">
              <w:rPr>
                <w:b/>
              </w:rPr>
              <w:t>AERONAUTICAL RADIONAVIGATION</w:t>
            </w:r>
            <w:r w:rsidRPr="00C4089F">
              <w:rPr>
                <w:bCs/>
              </w:rPr>
              <w:t>:</w:t>
            </w:r>
          </w:p>
        </w:tc>
        <w:tc>
          <w:tcPr>
            <w:tcW w:w="3910" w:type="dxa"/>
            <w:tcBorders>
              <w:left w:val="nil"/>
              <w:bottom w:val="single" w:sz="6" w:space="0" w:color="auto"/>
              <w:right w:val="single" w:sz="6" w:space="0" w:color="auto"/>
            </w:tcBorders>
            <w:vAlign w:val="bottom"/>
          </w:tcPr>
          <w:p w:rsidR="00C83BDF" w:rsidRPr="00C4089F" w:rsidRDefault="00C83BDF" w:rsidP="005738C9">
            <w:pPr>
              <w:pStyle w:val="TableText0"/>
              <w:framePr w:hSpace="181" w:wrap="notBeside" w:vAnchor="text" w:hAnchor="text" w:xAlign="center" w:y="1"/>
              <w:tabs>
                <w:tab w:val="left" w:pos="1316"/>
              </w:tabs>
              <w:spacing w:before="80" w:after="80"/>
              <w:ind w:left="54" w:right="57" w:firstLine="3"/>
            </w:pPr>
            <w:r w:rsidRPr="00C4089F">
              <w:t>ARS, BHR, IRN, OMA, QAT, UAE</w:t>
            </w:r>
          </w:p>
        </w:tc>
        <w:tc>
          <w:tcPr>
            <w:tcW w:w="1021" w:type="dxa"/>
            <w:tcBorders>
              <w:left w:val="single" w:sz="6" w:space="0" w:color="auto"/>
              <w:bottom w:val="single" w:sz="6" w:space="0" w:color="auto"/>
              <w:right w:val="single" w:sz="6" w:space="0" w:color="auto"/>
            </w:tcBorders>
            <w:vAlign w:val="bottom"/>
          </w:tcPr>
          <w:p w:rsidR="00C83BDF" w:rsidRPr="00C4089F" w:rsidRDefault="00C83BDF" w:rsidP="005738C9">
            <w:pPr>
              <w:pStyle w:val="TableText0"/>
              <w:framePr w:hSpace="181" w:wrap="notBeside" w:vAnchor="text" w:hAnchor="text" w:xAlign="center" w:y="1"/>
              <w:spacing w:before="80" w:after="80"/>
              <w:ind w:left="57" w:right="57"/>
              <w:jc w:val="center"/>
            </w:pPr>
            <w:r w:rsidRPr="00C4089F">
              <w:rPr>
                <w:rStyle w:val="Artref"/>
                <w:b/>
              </w:rPr>
              <w:t>5.247</w:t>
            </w:r>
          </w:p>
        </w:tc>
        <w:tc>
          <w:tcPr>
            <w:tcW w:w="680" w:type="dxa"/>
            <w:tcBorders>
              <w:bottom w:val="single" w:sz="6" w:space="0" w:color="auto"/>
              <w:right w:val="single" w:sz="6" w:space="0" w:color="auto"/>
            </w:tcBorders>
            <w:vAlign w:val="bottom"/>
          </w:tcPr>
          <w:p w:rsidR="00C83BDF" w:rsidRPr="00C4089F" w:rsidRDefault="00C83BDF" w:rsidP="005738C9">
            <w:pPr>
              <w:pStyle w:val="TableText0"/>
              <w:framePr w:hSpace="181" w:wrap="notBeside" w:vAnchor="text" w:hAnchor="text" w:xAlign="center" w:y="1"/>
              <w:spacing w:before="80" w:after="80"/>
              <w:ind w:left="57" w:right="57"/>
              <w:jc w:val="center"/>
            </w:pPr>
            <w:r w:rsidRPr="00C4089F">
              <w:t>3</w:t>
            </w:r>
          </w:p>
        </w:tc>
      </w:tr>
      <w:tr w:rsidR="00C83BDF" w:rsidRPr="00C4089F" w:rsidTr="00221766">
        <w:trPr>
          <w:cantSplit/>
          <w:jc w:val="center"/>
        </w:trPr>
        <w:tc>
          <w:tcPr>
            <w:tcW w:w="1021" w:type="dxa"/>
            <w:tcBorders>
              <w:top w:val="single" w:sz="6" w:space="0" w:color="auto"/>
              <w:left w:val="single" w:sz="6" w:space="0" w:color="auto"/>
              <w:right w:val="single" w:sz="6" w:space="0" w:color="auto"/>
            </w:tcBorders>
          </w:tcPr>
          <w:p w:rsidR="00C83BDF" w:rsidRPr="00C4089F" w:rsidRDefault="00C83BDF" w:rsidP="005738C9">
            <w:pPr>
              <w:pStyle w:val="TableText0"/>
              <w:framePr w:hSpace="181" w:wrap="notBeside" w:vAnchor="text" w:hAnchor="text" w:xAlign="center" w:y="1"/>
              <w:spacing w:before="80" w:after="80"/>
              <w:ind w:left="57" w:right="57"/>
              <w:jc w:val="center"/>
            </w:pPr>
            <w:r w:rsidRPr="00C4089F">
              <w:t>246-254</w:t>
            </w:r>
          </w:p>
        </w:tc>
        <w:tc>
          <w:tcPr>
            <w:tcW w:w="2389" w:type="dxa"/>
            <w:tcBorders>
              <w:top w:val="single" w:sz="6" w:space="0" w:color="auto"/>
              <w:left w:val="single" w:sz="6" w:space="0" w:color="auto"/>
            </w:tcBorders>
          </w:tcPr>
          <w:p w:rsidR="00C83BDF" w:rsidRPr="00C4089F" w:rsidRDefault="00C83BDF" w:rsidP="005738C9">
            <w:pPr>
              <w:pStyle w:val="TableText0"/>
              <w:framePr w:hSpace="181" w:wrap="notBeside" w:vAnchor="text" w:hAnchor="text" w:xAlign="center" w:y="1"/>
              <w:tabs>
                <w:tab w:val="left" w:pos="1316"/>
              </w:tabs>
              <w:spacing w:before="80" w:after="80"/>
              <w:ind w:left="1316" w:right="57" w:hanging="1259"/>
              <w:rPr>
                <w:b/>
              </w:rPr>
            </w:pPr>
            <w:r w:rsidRPr="00C4089F">
              <w:rPr>
                <w:b/>
              </w:rPr>
              <w:t>FIXED</w:t>
            </w:r>
            <w:r w:rsidRPr="00C4089F">
              <w:t>:</w:t>
            </w:r>
          </w:p>
        </w:tc>
        <w:tc>
          <w:tcPr>
            <w:tcW w:w="3910" w:type="dxa"/>
            <w:tcBorders>
              <w:top w:val="single" w:sz="6" w:space="0" w:color="auto"/>
              <w:left w:val="nil"/>
              <w:right w:val="single" w:sz="6" w:space="0" w:color="auto"/>
            </w:tcBorders>
          </w:tcPr>
          <w:p w:rsidR="00C83BDF" w:rsidRPr="00C4089F" w:rsidRDefault="00C83BDF" w:rsidP="005738C9">
            <w:pPr>
              <w:pStyle w:val="TableText0"/>
              <w:framePr w:hSpace="181" w:wrap="notBeside" w:vAnchor="text" w:hAnchor="text" w:xAlign="center" w:y="1"/>
              <w:tabs>
                <w:tab w:val="left" w:pos="1316"/>
              </w:tabs>
              <w:spacing w:before="80" w:after="80"/>
              <w:ind w:left="57" w:right="57"/>
              <w:rPr>
                <w:b/>
              </w:rPr>
            </w:pPr>
            <w:r w:rsidRPr="00C4089F">
              <w:t>from all parties to the Agreement (excepting those referred to in No. </w:t>
            </w:r>
            <w:r w:rsidRPr="00C4089F">
              <w:rPr>
                <w:rStyle w:val="Artref"/>
                <w:b/>
              </w:rPr>
              <w:t>5.252</w:t>
            </w:r>
            <w:r w:rsidRPr="00C4089F">
              <w:t>)</w:t>
            </w:r>
          </w:p>
        </w:tc>
        <w:tc>
          <w:tcPr>
            <w:tcW w:w="1021" w:type="dxa"/>
            <w:tcBorders>
              <w:top w:val="single" w:sz="6" w:space="0" w:color="auto"/>
              <w:left w:val="single" w:sz="6" w:space="0" w:color="auto"/>
              <w:right w:val="single" w:sz="6" w:space="0" w:color="auto"/>
            </w:tcBorders>
          </w:tcPr>
          <w:p w:rsidR="00C83BDF" w:rsidRPr="00C4089F" w:rsidRDefault="00C83BDF" w:rsidP="005738C9">
            <w:pPr>
              <w:pStyle w:val="TableText0"/>
              <w:framePr w:hSpace="181" w:wrap="notBeside" w:vAnchor="text" w:hAnchor="text" w:xAlign="center" w:y="1"/>
              <w:spacing w:before="80" w:after="80"/>
              <w:ind w:left="57" w:right="57"/>
              <w:jc w:val="center"/>
            </w:pPr>
          </w:p>
        </w:tc>
        <w:tc>
          <w:tcPr>
            <w:tcW w:w="680" w:type="dxa"/>
            <w:tcBorders>
              <w:top w:val="single" w:sz="6" w:space="0" w:color="auto"/>
              <w:right w:val="single" w:sz="6" w:space="0" w:color="auto"/>
            </w:tcBorders>
            <w:vAlign w:val="bottom"/>
          </w:tcPr>
          <w:p w:rsidR="00C83BDF" w:rsidRPr="00C4089F" w:rsidRDefault="00C83BDF" w:rsidP="005738C9">
            <w:pPr>
              <w:pStyle w:val="TableText0"/>
              <w:framePr w:hSpace="181" w:wrap="notBeside" w:vAnchor="text" w:hAnchor="text" w:xAlign="center" w:y="1"/>
              <w:spacing w:before="80" w:after="80"/>
              <w:ind w:left="57" w:right="57"/>
              <w:jc w:val="center"/>
            </w:pPr>
            <w:r w:rsidRPr="00C4089F">
              <w:t>2</w:t>
            </w:r>
          </w:p>
        </w:tc>
      </w:tr>
      <w:tr w:rsidR="00C83BDF" w:rsidRPr="00C4089F" w:rsidTr="00221766">
        <w:trPr>
          <w:cantSplit/>
          <w:jc w:val="center"/>
        </w:trPr>
        <w:tc>
          <w:tcPr>
            <w:tcW w:w="1021" w:type="dxa"/>
            <w:tcBorders>
              <w:left w:val="single" w:sz="6" w:space="0" w:color="auto"/>
              <w:bottom w:val="single" w:sz="6" w:space="0" w:color="auto"/>
              <w:right w:val="single" w:sz="6" w:space="0" w:color="auto"/>
            </w:tcBorders>
          </w:tcPr>
          <w:p w:rsidR="00C83BDF" w:rsidRPr="00C4089F" w:rsidRDefault="00C83BDF" w:rsidP="005738C9">
            <w:pPr>
              <w:pStyle w:val="TableText0"/>
              <w:framePr w:hSpace="181" w:wrap="notBeside" w:vAnchor="text" w:hAnchor="text" w:xAlign="center" w:y="1"/>
              <w:spacing w:before="80" w:after="80"/>
              <w:ind w:left="57" w:right="57"/>
              <w:jc w:val="center"/>
            </w:pPr>
          </w:p>
        </w:tc>
        <w:tc>
          <w:tcPr>
            <w:tcW w:w="2389" w:type="dxa"/>
            <w:tcBorders>
              <w:left w:val="single" w:sz="6" w:space="0" w:color="auto"/>
              <w:bottom w:val="single" w:sz="6" w:space="0" w:color="auto"/>
            </w:tcBorders>
          </w:tcPr>
          <w:p w:rsidR="00C83BDF" w:rsidRPr="00C4089F" w:rsidRDefault="00C83BDF" w:rsidP="005738C9">
            <w:pPr>
              <w:pStyle w:val="TableText0"/>
              <w:framePr w:hSpace="181" w:wrap="notBeside" w:vAnchor="text" w:hAnchor="text" w:xAlign="center" w:y="1"/>
              <w:tabs>
                <w:tab w:val="left" w:pos="1316"/>
              </w:tabs>
              <w:spacing w:before="80" w:after="80"/>
              <w:ind w:left="1316" w:right="57" w:hanging="1259"/>
              <w:rPr>
                <w:b/>
              </w:rPr>
            </w:pPr>
            <w:r w:rsidRPr="00C4089F">
              <w:rPr>
                <w:b/>
              </w:rPr>
              <w:t>MOBILE</w:t>
            </w:r>
            <w:r w:rsidRPr="00C4089F">
              <w:t>:</w:t>
            </w:r>
          </w:p>
        </w:tc>
        <w:tc>
          <w:tcPr>
            <w:tcW w:w="3910" w:type="dxa"/>
            <w:tcBorders>
              <w:left w:val="nil"/>
              <w:bottom w:val="single" w:sz="6" w:space="0" w:color="auto"/>
              <w:right w:val="single" w:sz="6" w:space="0" w:color="auto"/>
            </w:tcBorders>
          </w:tcPr>
          <w:p w:rsidR="00C83BDF" w:rsidRPr="00C4089F" w:rsidRDefault="00C83BDF" w:rsidP="005738C9">
            <w:pPr>
              <w:pStyle w:val="TableText0"/>
              <w:framePr w:hSpace="181" w:wrap="notBeside" w:vAnchor="text" w:hAnchor="text" w:xAlign="center" w:y="1"/>
              <w:tabs>
                <w:tab w:val="left" w:pos="1316"/>
              </w:tabs>
              <w:spacing w:before="80" w:after="80"/>
              <w:ind w:left="57" w:right="57"/>
              <w:rPr>
                <w:b/>
              </w:rPr>
            </w:pPr>
            <w:r w:rsidRPr="00C4089F">
              <w:t>from all parties to the Agreement (excepting those referred to in No. </w:t>
            </w:r>
            <w:r w:rsidRPr="00C4089F">
              <w:rPr>
                <w:rStyle w:val="Artref"/>
                <w:b/>
              </w:rPr>
              <w:t>5.252</w:t>
            </w:r>
            <w:r w:rsidRPr="00C4089F">
              <w:t>)</w:t>
            </w:r>
          </w:p>
        </w:tc>
        <w:tc>
          <w:tcPr>
            <w:tcW w:w="1021" w:type="dxa"/>
            <w:tcBorders>
              <w:left w:val="single" w:sz="6" w:space="0" w:color="auto"/>
              <w:bottom w:val="single" w:sz="6" w:space="0" w:color="auto"/>
              <w:right w:val="single" w:sz="6" w:space="0" w:color="auto"/>
            </w:tcBorders>
          </w:tcPr>
          <w:p w:rsidR="00C83BDF" w:rsidRPr="00C4089F" w:rsidRDefault="00C83BDF" w:rsidP="005738C9">
            <w:pPr>
              <w:pStyle w:val="TableText0"/>
              <w:framePr w:hSpace="181" w:wrap="notBeside" w:vAnchor="text" w:hAnchor="text" w:xAlign="center" w:y="1"/>
              <w:spacing w:before="80" w:after="80"/>
              <w:ind w:left="57" w:right="57"/>
              <w:jc w:val="center"/>
            </w:pPr>
          </w:p>
        </w:tc>
        <w:tc>
          <w:tcPr>
            <w:tcW w:w="680" w:type="dxa"/>
            <w:tcBorders>
              <w:bottom w:val="single" w:sz="6" w:space="0" w:color="auto"/>
              <w:right w:val="single" w:sz="6" w:space="0" w:color="auto"/>
            </w:tcBorders>
          </w:tcPr>
          <w:p w:rsidR="00C83BDF" w:rsidRPr="00C4089F" w:rsidRDefault="00C83BDF" w:rsidP="005738C9">
            <w:pPr>
              <w:pStyle w:val="TableText0"/>
              <w:framePr w:hSpace="181" w:wrap="notBeside" w:vAnchor="text" w:hAnchor="text" w:xAlign="center" w:y="1"/>
              <w:spacing w:before="80" w:after="80"/>
              <w:ind w:left="57" w:right="57"/>
              <w:jc w:val="center"/>
            </w:pPr>
          </w:p>
        </w:tc>
      </w:tr>
    </w:tbl>
    <w:p w:rsidR="00C83BDF" w:rsidRPr="00C4089F" w:rsidRDefault="00C83BDF" w:rsidP="00DA4DB0">
      <w:pPr>
        <w:spacing w:before="0"/>
        <w:rPr>
          <w:rFonts w:ascii="Calibri" w:eastAsia="SimSun" w:hAnsi="Calibri" w:cs="Arial"/>
          <w:vanish/>
          <w:sz w:val="22"/>
          <w:szCs w:val="22"/>
          <w:lang w:eastAsia="zh-CN"/>
        </w:rPr>
      </w:pPr>
    </w:p>
    <w:p w:rsidR="00C83BDF" w:rsidRPr="00C4089F" w:rsidRDefault="00C83BDF" w:rsidP="00C33631">
      <w:pPr>
        <w:pStyle w:val="Reasons"/>
        <w:rPr>
          <w:i/>
          <w:iCs/>
        </w:rPr>
      </w:pPr>
      <w:r w:rsidRPr="00C4089F">
        <w:rPr>
          <w:b/>
          <w:bCs/>
          <w:i/>
          <w:iCs/>
        </w:rPr>
        <w:t>Reason</w:t>
      </w:r>
      <w:r w:rsidR="00C33631" w:rsidRPr="00C4089F">
        <w:rPr>
          <w:b/>
          <w:bCs/>
          <w:i/>
          <w:iCs/>
        </w:rPr>
        <w:t>s</w:t>
      </w:r>
      <w:r w:rsidRPr="00C4089F">
        <w:rPr>
          <w:i/>
          <w:iCs/>
        </w:rPr>
        <w:t xml:space="preserve">: Consequential to the changes made </w:t>
      </w:r>
      <w:r w:rsidRPr="00C4089F">
        <w:rPr>
          <w:i/>
          <w:iCs/>
          <w:szCs w:val="24"/>
        </w:rPr>
        <w:t xml:space="preserve">by WRC-12 </w:t>
      </w:r>
      <w:r w:rsidRPr="00C4089F">
        <w:rPr>
          <w:i/>
          <w:iCs/>
        </w:rPr>
        <w:t>to the country names listed in Nos</w:t>
      </w:r>
      <w:r w:rsidRPr="00C4089F">
        <w:rPr>
          <w:i/>
          <w:iCs/>
          <w:szCs w:val="24"/>
        </w:rPr>
        <w:t>. 5.165 and 5.171</w:t>
      </w:r>
      <w:r w:rsidRPr="00C4089F">
        <w:rPr>
          <w:i/>
          <w:iCs/>
        </w:rPr>
        <w:t xml:space="preserve">. </w:t>
      </w:r>
    </w:p>
    <w:p w:rsidR="00C83BDF" w:rsidRPr="00C4089F" w:rsidRDefault="00C83BDF" w:rsidP="00C33631">
      <w:pPr>
        <w:rPr>
          <w:i/>
          <w:iCs/>
        </w:rPr>
      </w:pPr>
      <w:r w:rsidRPr="00C4089F">
        <w:rPr>
          <w:i/>
          <w:iCs/>
        </w:rPr>
        <w:t>Effective date of application of the modified Rule:</w:t>
      </w:r>
      <w:r w:rsidR="00C33631" w:rsidRPr="00C4089F">
        <w:rPr>
          <w:i/>
          <w:iCs/>
        </w:rPr>
        <w:t xml:space="preserve"> immediately after its approval</w:t>
      </w:r>
    </w:p>
    <w:p w:rsidR="004F26AE" w:rsidRPr="00C4089F" w:rsidRDefault="004F26AE" w:rsidP="00C33631"/>
    <w:p w:rsidR="00C33631" w:rsidRPr="00C4089F" w:rsidRDefault="00C33631" w:rsidP="00C33631"/>
    <w:p w:rsidR="00C33631" w:rsidRPr="00C4089F" w:rsidRDefault="00C33631" w:rsidP="00C33631"/>
    <w:p w:rsidR="00C33631" w:rsidRPr="00C4089F" w:rsidRDefault="00C33631" w:rsidP="00C33631">
      <w:pPr>
        <w:jc w:val="center"/>
      </w:pPr>
      <w:r w:rsidRPr="00C4089F">
        <w:t>______________</w:t>
      </w:r>
    </w:p>
    <w:sectPr w:rsidR="00C33631" w:rsidRPr="00C4089F" w:rsidSect="00C4089F">
      <w:headerReference w:type="default" r:id="rId14"/>
      <w:footerReference w:type="first" r:id="rId15"/>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BDF" w:rsidRDefault="00C83BDF">
      <w:r>
        <w:separator/>
      </w:r>
    </w:p>
  </w:endnote>
  <w:endnote w:type="continuationSeparator" w:id="0">
    <w:p w:rsidR="00C83BDF" w:rsidRDefault="00C8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31" w:rsidRDefault="00C33631" w:rsidP="00EE10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7A7993" w:rsidTr="00364213">
      <w:trPr>
        <w:cantSplit/>
      </w:trPr>
      <w:tc>
        <w:tcPr>
          <w:tcW w:w="1062" w:type="pct"/>
          <w:tcBorders>
            <w:top w:val="single" w:sz="6" w:space="0" w:color="auto"/>
          </w:tcBorders>
          <w:tcMar>
            <w:top w:w="57" w:type="dxa"/>
          </w:tcMar>
        </w:tcPr>
        <w:p w:rsidR="007A7993" w:rsidRDefault="007A7993" w:rsidP="00364213">
          <w:pPr>
            <w:pStyle w:val="itu"/>
          </w:pPr>
          <w:r>
            <w:t>Place des Nations</w:t>
          </w:r>
        </w:p>
      </w:tc>
      <w:tc>
        <w:tcPr>
          <w:tcW w:w="1583" w:type="pct"/>
          <w:tcBorders>
            <w:top w:val="single" w:sz="6" w:space="0" w:color="auto"/>
          </w:tcBorders>
          <w:tcMar>
            <w:top w:w="57" w:type="dxa"/>
          </w:tcMar>
        </w:tcPr>
        <w:p w:rsidR="007A7993" w:rsidRDefault="007A7993" w:rsidP="00364213">
          <w:pPr>
            <w:pStyle w:val="itu"/>
          </w:pPr>
          <w:r>
            <w:t>Telephone</w:t>
          </w:r>
          <w:r>
            <w:tab/>
            <w:t>+41 22 730 51 11</w:t>
          </w:r>
        </w:p>
      </w:tc>
      <w:tc>
        <w:tcPr>
          <w:tcW w:w="1224" w:type="pct"/>
          <w:tcBorders>
            <w:top w:val="single" w:sz="6" w:space="0" w:color="auto"/>
          </w:tcBorders>
          <w:tcMar>
            <w:top w:w="57" w:type="dxa"/>
          </w:tcMar>
        </w:tcPr>
        <w:p w:rsidR="007A7993" w:rsidRDefault="007A7993" w:rsidP="00364213">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A7993" w:rsidRDefault="007A7993" w:rsidP="00364213">
          <w:pPr>
            <w:pStyle w:val="itu"/>
          </w:pPr>
          <w:r>
            <w:t>E-mail:</w:t>
          </w:r>
          <w:r>
            <w:tab/>
            <w:t>itumail@itu.int</w:t>
          </w:r>
        </w:p>
      </w:tc>
    </w:tr>
    <w:tr w:rsidR="007A7993" w:rsidTr="00364213">
      <w:trPr>
        <w:cantSplit/>
      </w:trPr>
      <w:tc>
        <w:tcPr>
          <w:tcW w:w="1062" w:type="pct"/>
        </w:tcPr>
        <w:p w:rsidR="007A7993" w:rsidRDefault="007A7993" w:rsidP="00364213">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7A7993" w:rsidRDefault="007A7993" w:rsidP="00364213">
          <w:pPr>
            <w:pStyle w:val="itu"/>
          </w:pPr>
          <w:r>
            <w:t>Telefax</w:t>
          </w:r>
          <w:r>
            <w:tab/>
            <w:t>Gr3:</w:t>
          </w:r>
          <w:r>
            <w:tab/>
            <w:t>+41 22 733 72 56</w:t>
          </w:r>
        </w:p>
      </w:tc>
      <w:tc>
        <w:tcPr>
          <w:tcW w:w="1224" w:type="pct"/>
        </w:tcPr>
        <w:p w:rsidR="007A7993" w:rsidRDefault="007A7993" w:rsidP="00364213">
          <w:pPr>
            <w:pStyle w:val="itu"/>
          </w:pPr>
          <w:r>
            <w:t>Telegram ITU GENEVE</w:t>
          </w:r>
        </w:p>
      </w:tc>
      <w:tc>
        <w:tcPr>
          <w:tcW w:w="1131" w:type="pct"/>
        </w:tcPr>
        <w:p w:rsidR="007A7993" w:rsidRDefault="007A7993" w:rsidP="00364213">
          <w:pPr>
            <w:pStyle w:val="itu"/>
          </w:pPr>
          <w:r>
            <w:tab/>
          </w:r>
          <w:hyperlink r:id="rId1" w:history="1">
            <w:r>
              <w:t>http://www.itu.int/</w:t>
            </w:r>
          </w:hyperlink>
        </w:p>
      </w:tc>
    </w:tr>
    <w:tr w:rsidR="007A7993" w:rsidTr="00364213">
      <w:trPr>
        <w:cantSplit/>
      </w:trPr>
      <w:tc>
        <w:tcPr>
          <w:tcW w:w="1062" w:type="pct"/>
        </w:tcPr>
        <w:p w:rsidR="007A7993" w:rsidRDefault="007A7993" w:rsidP="00364213">
          <w:pPr>
            <w:pStyle w:val="itu"/>
          </w:pPr>
          <w:smartTag w:uri="urn:schemas-microsoft-com:office:smarttags" w:element="country-region">
            <w:smartTag w:uri="urn:schemas-microsoft-com:office:smarttags" w:element="place">
              <w:r>
                <w:t>Switzerland</w:t>
              </w:r>
            </w:smartTag>
          </w:smartTag>
        </w:p>
      </w:tc>
      <w:tc>
        <w:tcPr>
          <w:tcW w:w="1583" w:type="pct"/>
        </w:tcPr>
        <w:p w:rsidR="007A7993" w:rsidRDefault="007A7993" w:rsidP="00364213">
          <w:pPr>
            <w:pStyle w:val="itu"/>
          </w:pPr>
          <w:r>
            <w:tab/>
            <w:t>Gr4:</w:t>
          </w:r>
          <w:r>
            <w:tab/>
            <w:t>+41 22 730 65 00</w:t>
          </w:r>
        </w:p>
      </w:tc>
      <w:tc>
        <w:tcPr>
          <w:tcW w:w="1224" w:type="pct"/>
        </w:tcPr>
        <w:p w:rsidR="007A7993" w:rsidRDefault="007A7993" w:rsidP="00364213">
          <w:pPr>
            <w:pStyle w:val="itu"/>
          </w:pPr>
        </w:p>
      </w:tc>
      <w:tc>
        <w:tcPr>
          <w:tcW w:w="1131" w:type="pct"/>
        </w:tcPr>
        <w:p w:rsidR="007A7993" w:rsidRDefault="007A7993" w:rsidP="00364213">
          <w:pPr>
            <w:pStyle w:val="itu"/>
          </w:pPr>
        </w:p>
      </w:tc>
    </w:tr>
  </w:tbl>
  <w:p w:rsidR="007A7993" w:rsidRDefault="007A79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C5" w:rsidRPr="007A7993" w:rsidRDefault="00AB07C5" w:rsidP="007A7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BDF" w:rsidRDefault="00C83BDF">
      <w:r>
        <w:t>____________________</w:t>
      </w:r>
    </w:p>
  </w:footnote>
  <w:footnote w:type="continuationSeparator" w:id="0">
    <w:p w:rsidR="00C83BDF" w:rsidRDefault="00C83BDF">
      <w:r>
        <w:continuationSeparator/>
      </w:r>
    </w:p>
  </w:footnote>
  <w:footnote w:id="1">
    <w:p w:rsidR="00C83BDF" w:rsidRPr="00F9073A" w:rsidRDefault="00C83BDF" w:rsidP="00EC4113">
      <w:pPr>
        <w:pStyle w:val="FootnoteText"/>
      </w:pPr>
      <w:r>
        <w:rPr>
          <w:rStyle w:val="FootnoteReference"/>
        </w:rPr>
        <w:footnoteRef/>
      </w:r>
      <w:r>
        <w:t xml:space="preserve"> </w:t>
      </w:r>
      <w:r w:rsidR="00EC4113">
        <w:tab/>
      </w:r>
      <w:r>
        <w:t xml:space="preserve">This Rule of </w:t>
      </w:r>
      <w:r w:rsidR="00EC4113">
        <w:t xml:space="preserve">Procedure </w:t>
      </w:r>
      <w:r>
        <w:t xml:space="preserve">refers to Article 9, 11 , to </w:t>
      </w:r>
      <w:r>
        <w:rPr>
          <w:szCs w:val="24"/>
        </w:rPr>
        <w:t xml:space="preserve">Articles 4 and 5 </w:t>
      </w:r>
      <w:r w:rsidRPr="004008A5">
        <w:rPr>
          <w:szCs w:val="24"/>
        </w:rPr>
        <w:t>of Appendi</w:t>
      </w:r>
      <w:r>
        <w:rPr>
          <w:szCs w:val="24"/>
        </w:rPr>
        <w:t xml:space="preserve">ces </w:t>
      </w:r>
      <w:r w:rsidRPr="004008A5">
        <w:rPr>
          <w:szCs w:val="24"/>
        </w:rPr>
        <w:t>30</w:t>
      </w:r>
      <w:r>
        <w:rPr>
          <w:szCs w:val="24"/>
        </w:rPr>
        <w:t xml:space="preserve"> and 30A, and to </w:t>
      </w:r>
      <w:r w:rsidRPr="004008A5">
        <w:rPr>
          <w:szCs w:val="24"/>
        </w:rPr>
        <w:t>Article</w:t>
      </w:r>
      <w:r>
        <w:rPr>
          <w:szCs w:val="24"/>
        </w:rPr>
        <w:t>s</w:t>
      </w:r>
      <w:r w:rsidRPr="004008A5">
        <w:rPr>
          <w:szCs w:val="24"/>
        </w:rPr>
        <w:t> 6</w:t>
      </w:r>
      <w:r>
        <w:rPr>
          <w:szCs w:val="24"/>
        </w:rPr>
        <w:t xml:space="preserve"> and </w:t>
      </w:r>
      <w:r w:rsidRPr="004008A5">
        <w:rPr>
          <w:szCs w:val="24"/>
        </w:rPr>
        <w:t>8 of Appendix 30</w:t>
      </w:r>
      <w:r w:rsidR="00EE1056">
        <w:rPr>
          <w:szCs w:val="24"/>
        </w:rPr>
        <w:t>B</w:t>
      </w:r>
      <w:r>
        <w:t xml:space="preserve"> of the Radio Regulations.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BDF" w:rsidRDefault="00C83BDF" w:rsidP="004C2EF5">
    <w:pPr>
      <w:pStyle w:val="Header"/>
      <w:rPr>
        <w:rStyle w:val="PageNumber"/>
        <w:sz w:val="20"/>
      </w:rPr>
    </w:pPr>
    <w:r>
      <w:rPr>
        <w:rStyle w:val="PageNumber"/>
        <w:sz w:val="20"/>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7A7993">
      <w:rPr>
        <w:rStyle w:val="PageNumber"/>
        <w:noProof/>
        <w:sz w:val="20"/>
      </w:rPr>
      <w:t>2</w:t>
    </w:r>
    <w:r>
      <w:rPr>
        <w:rStyle w:val="PageNumber"/>
        <w:sz w:val="20"/>
      </w:rPr>
      <w:fldChar w:fldCharType="end"/>
    </w:r>
    <w:r>
      <w:rPr>
        <w:rStyle w:val="PageNumber"/>
        <w:sz w:val="20"/>
      </w:rPr>
      <w:t xml:space="preserve"> -</w:t>
    </w:r>
    <w:r>
      <w:rPr>
        <w:rStyle w:val="PageNumber"/>
        <w:sz w:val="20"/>
      </w:rPr>
      <w:br/>
      <w:t>CCRR/47-E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C5" w:rsidRDefault="00AB07C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4185E">
      <w:rPr>
        <w:rStyle w:val="PageNumber"/>
        <w:noProof/>
      </w:rPr>
      <w:t>7</w:t>
    </w:r>
    <w:r>
      <w:rPr>
        <w:rStyle w:val="PageNumber"/>
      </w:rPr>
      <w:fldChar w:fldCharType="end"/>
    </w:r>
    <w:r>
      <w:rPr>
        <w:rStyle w:val="PageNumber"/>
      </w:rPr>
      <w:t xml:space="preserve"> -</w:t>
    </w:r>
  </w:p>
  <w:p w:rsidR="00AB07C5" w:rsidRPr="001E15AA" w:rsidRDefault="00C33631">
    <w:pPr>
      <w:pStyle w:val="Header"/>
      <w:rPr>
        <w:lang w:val="en-US"/>
      </w:rPr>
    </w:pPr>
    <w:r>
      <w:rPr>
        <w:lang w:val="en-US"/>
      </w:rPr>
      <w:t>CCRR/47-E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4751D"/>
    <w:multiLevelType w:val="hybridMultilevel"/>
    <w:tmpl w:val="5D3C4A7A"/>
    <w:lvl w:ilvl="0" w:tplc="9F6428C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76D6E"/>
    <w:multiLevelType w:val="hybridMultilevel"/>
    <w:tmpl w:val="EBEC577C"/>
    <w:lvl w:ilvl="0" w:tplc="9F6428C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A339C4"/>
    <w:multiLevelType w:val="hybridMultilevel"/>
    <w:tmpl w:val="FCE0E45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7F4E30EC"/>
    <w:multiLevelType w:val="hybridMultilevel"/>
    <w:tmpl w:val="3614E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BDF"/>
    <w:rsid w:val="00016557"/>
    <w:rsid w:val="000D1D2A"/>
    <w:rsid w:val="000E15C1"/>
    <w:rsid w:val="000E64DA"/>
    <w:rsid w:val="000F527D"/>
    <w:rsid w:val="001E15AA"/>
    <w:rsid w:val="00210B45"/>
    <w:rsid w:val="00227F65"/>
    <w:rsid w:val="00301672"/>
    <w:rsid w:val="0034133A"/>
    <w:rsid w:val="003B5837"/>
    <w:rsid w:val="003D3993"/>
    <w:rsid w:val="0044185E"/>
    <w:rsid w:val="0044634B"/>
    <w:rsid w:val="004A5AB1"/>
    <w:rsid w:val="004C1881"/>
    <w:rsid w:val="004F26AE"/>
    <w:rsid w:val="0050552C"/>
    <w:rsid w:val="00595800"/>
    <w:rsid w:val="005F130D"/>
    <w:rsid w:val="005F7F4C"/>
    <w:rsid w:val="00601BB3"/>
    <w:rsid w:val="006136BC"/>
    <w:rsid w:val="006B3F95"/>
    <w:rsid w:val="0071106C"/>
    <w:rsid w:val="00746900"/>
    <w:rsid w:val="007A7993"/>
    <w:rsid w:val="00811467"/>
    <w:rsid w:val="00881D43"/>
    <w:rsid w:val="008D4874"/>
    <w:rsid w:val="0090286C"/>
    <w:rsid w:val="0093776F"/>
    <w:rsid w:val="009676DC"/>
    <w:rsid w:val="009746CA"/>
    <w:rsid w:val="009846D5"/>
    <w:rsid w:val="009E14F3"/>
    <w:rsid w:val="009E1957"/>
    <w:rsid w:val="00A06093"/>
    <w:rsid w:val="00AB07C5"/>
    <w:rsid w:val="00AB1815"/>
    <w:rsid w:val="00B171FB"/>
    <w:rsid w:val="00B57344"/>
    <w:rsid w:val="00B70D70"/>
    <w:rsid w:val="00B87E04"/>
    <w:rsid w:val="00C33631"/>
    <w:rsid w:val="00C4089F"/>
    <w:rsid w:val="00C83BDF"/>
    <w:rsid w:val="00D35752"/>
    <w:rsid w:val="00D463D0"/>
    <w:rsid w:val="00D61395"/>
    <w:rsid w:val="00D744B4"/>
    <w:rsid w:val="00D90449"/>
    <w:rsid w:val="00EC4113"/>
    <w:rsid w:val="00EC710F"/>
    <w:rsid w:val="00EE1056"/>
    <w:rsid w:val="00EF7E37"/>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Pr>
      <w:position w:val="6"/>
      <w:sz w:val="18"/>
    </w:rPr>
  </w:style>
  <w:style w:type="paragraph" w:styleId="FootnoteText">
    <w:name w:val="footnote tex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Heading1Char">
    <w:name w:val="Heading 1 Char"/>
    <w:link w:val="Heading1"/>
    <w:rsid w:val="00C83BDF"/>
    <w:rPr>
      <w:rFonts w:ascii="Times New Roman" w:hAnsi="Times New Roman"/>
      <w:b/>
      <w:sz w:val="24"/>
      <w:lang w:val="en-GB" w:eastAsia="en-US"/>
    </w:rPr>
  </w:style>
  <w:style w:type="character" w:customStyle="1" w:styleId="Heading8Char">
    <w:name w:val="Heading 8 Char"/>
    <w:link w:val="Heading8"/>
    <w:rsid w:val="00C83BDF"/>
    <w:rPr>
      <w:rFonts w:ascii="Times New Roman" w:hAnsi="Times New Roman"/>
      <w:b/>
      <w:sz w:val="24"/>
      <w:lang w:val="en-GB" w:eastAsia="en-US"/>
    </w:rPr>
  </w:style>
  <w:style w:type="character" w:customStyle="1" w:styleId="FootnoteTextChar">
    <w:name w:val="Footnote Text Char"/>
    <w:link w:val="FootnoteText"/>
    <w:semiHidden/>
    <w:rsid w:val="00C83BDF"/>
    <w:rPr>
      <w:rFonts w:ascii="Times New Roman" w:hAnsi="Times New Roman"/>
      <w:sz w:val="24"/>
      <w:lang w:val="en-GB" w:eastAsia="en-US"/>
    </w:rPr>
  </w:style>
  <w:style w:type="character" w:customStyle="1" w:styleId="HeaderChar">
    <w:name w:val="Header Char"/>
    <w:aliases w:val="encabezado Char"/>
    <w:link w:val="Header"/>
    <w:rsid w:val="00C83BDF"/>
    <w:rPr>
      <w:rFonts w:ascii="Times New Roman" w:hAnsi="Times New Roman"/>
      <w:sz w:val="18"/>
      <w:lang w:val="en-GB" w:eastAsia="en-US"/>
    </w:rPr>
  </w:style>
  <w:style w:type="paragraph" w:customStyle="1" w:styleId="Reasons">
    <w:name w:val="Reasons"/>
    <w:basedOn w:val="Normal"/>
    <w:rsid w:val="00C83BDF"/>
    <w:pPr>
      <w:tabs>
        <w:tab w:val="clear" w:pos="794"/>
        <w:tab w:val="clear" w:pos="1191"/>
        <w:tab w:val="left" w:pos="1134"/>
      </w:tabs>
    </w:pPr>
  </w:style>
  <w:style w:type="character" w:customStyle="1" w:styleId="href2">
    <w:name w:val="href2"/>
    <w:basedOn w:val="href"/>
    <w:rsid w:val="00C83BDF"/>
    <w:rPr>
      <w:rFonts w:cs="Times New Roman"/>
    </w:rPr>
  </w:style>
  <w:style w:type="character" w:customStyle="1" w:styleId="href">
    <w:name w:val="href"/>
    <w:rsid w:val="00C83BDF"/>
    <w:rPr>
      <w:rFonts w:cs="Times New Roman"/>
    </w:rPr>
  </w:style>
  <w:style w:type="character" w:customStyle="1" w:styleId="Artref0">
    <w:name w:val="Art#_ref"/>
    <w:rsid w:val="00C83BDF"/>
    <w:rPr>
      <w:rFonts w:cs="Times New Roman"/>
      <w:sz w:val="20"/>
    </w:rPr>
  </w:style>
  <w:style w:type="paragraph" w:customStyle="1" w:styleId="Table">
    <w:name w:val="Table_#"/>
    <w:basedOn w:val="Normal"/>
    <w:next w:val="Normal"/>
    <w:rsid w:val="00C83BDF"/>
    <w:pPr>
      <w:keepNext/>
      <w:spacing w:before="560" w:after="120"/>
      <w:jc w:val="center"/>
    </w:pPr>
    <w:rPr>
      <w:caps/>
    </w:rPr>
  </w:style>
  <w:style w:type="paragraph" w:customStyle="1" w:styleId="TableText0">
    <w:name w:val="Table_Text"/>
    <w:basedOn w:val="Normal"/>
    <w:rsid w:val="00C83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TableText0"/>
    <w:rsid w:val="00C83BDF"/>
    <w:pPr>
      <w:keepNext/>
      <w:spacing w:before="80" w:after="80"/>
      <w:jc w:val="center"/>
    </w:pPr>
    <w:rPr>
      <w:b/>
    </w:rPr>
  </w:style>
  <w:style w:type="paragraph" w:customStyle="1" w:styleId="TableFin">
    <w:name w:val="Table_Fin"/>
    <w:basedOn w:val="Normal"/>
    <w:rsid w:val="00C83BDF"/>
    <w:pPr>
      <w:tabs>
        <w:tab w:val="clear" w:pos="794"/>
        <w:tab w:val="clear" w:pos="1191"/>
        <w:tab w:val="clear" w:pos="1588"/>
        <w:tab w:val="clear" w:pos="1985"/>
        <w:tab w:val="left" w:pos="1871"/>
        <w:tab w:val="left" w:pos="2268"/>
      </w:tabs>
      <w:spacing w:before="0"/>
      <w:jc w:val="both"/>
    </w:pPr>
    <w:rPr>
      <w:sz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Pr>
      <w:position w:val="6"/>
      <w:sz w:val="18"/>
    </w:rPr>
  </w:style>
  <w:style w:type="paragraph" w:styleId="FootnoteText">
    <w:name w:val="footnote tex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Heading1Char">
    <w:name w:val="Heading 1 Char"/>
    <w:link w:val="Heading1"/>
    <w:rsid w:val="00C83BDF"/>
    <w:rPr>
      <w:rFonts w:ascii="Times New Roman" w:hAnsi="Times New Roman"/>
      <w:b/>
      <w:sz w:val="24"/>
      <w:lang w:val="en-GB" w:eastAsia="en-US"/>
    </w:rPr>
  </w:style>
  <w:style w:type="character" w:customStyle="1" w:styleId="Heading8Char">
    <w:name w:val="Heading 8 Char"/>
    <w:link w:val="Heading8"/>
    <w:rsid w:val="00C83BDF"/>
    <w:rPr>
      <w:rFonts w:ascii="Times New Roman" w:hAnsi="Times New Roman"/>
      <w:b/>
      <w:sz w:val="24"/>
      <w:lang w:val="en-GB" w:eastAsia="en-US"/>
    </w:rPr>
  </w:style>
  <w:style w:type="character" w:customStyle="1" w:styleId="FootnoteTextChar">
    <w:name w:val="Footnote Text Char"/>
    <w:link w:val="FootnoteText"/>
    <w:semiHidden/>
    <w:rsid w:val="00C83BDF"/>
    <w:rPr>
      <w:rFonts w:ascii="Times New Roman" w:hAnsi="Times New Roman"/>
      <w:sz w:val="24"/>
      <w:lang w:val="en-GB" w:eastAsia="en-US"/>
    </w:rPr>
  </w:style>
  <w:style w:type="character" w:customStyle="1" w:styleId="HeaderChar">
    <w:name w:val="Header Char"/>
    <w:aliases w:val="encabezado Char"/>
    <w:link w:val="Header"/>
    <w:rsid w:val="00C83BDF"/>
    <w:rPr>
      <w:rFonts w:ascii="Times New Roman" w:hAnsi="Times New Roman"/>
      <w:sz w:val="18"/>
      <w:lang w:val="en-GB" w:eastAsia="en-US"/>
    </w:rPr>
  </w:style>
  <w:style w:type="paragraph" w:customStyle="1" w:styleId="Reasons">
    <w:name w:val="Reasons"/>
    <w:basedOn w:val="Normal"/>
    <w:rsid w:val="00C83BDF"/>
    <w:pPr>
      <w:tabs>
        <w:tab w:val="clear" w:pos="794"/>
        <w:tab w:val="clear" w:pos="1191"/>
        <w:tab w:val="left" w:pos="1134"/>
      </w:tabs>
    </w:pPr>
  </w:style>
  <w:style w:type="character" w:customStyle="1" w:styleId="href2">
    <w:name w:val="href2"/>
    <w:basedOn w:val="href"/>
    <w:rsid w:val="00C83BDF"/>
    <w:rPr>
      <w:rFonts w:cs="Times New Roman"/>
    </w:rPr>
  </w:style>
  <w:style w:type="character" w:customStyle="1" w:styleId="href">
    <w:name w:val="href"/>
    <w:rsid w:val="00C83BDF"/>
    <w:rPr>
      <w:rFonts w:cs="Times New Roman"/>
    </w:rPr>
  </w:style>
  <w:style w:type="character" w:customStyle="1" w:styleId="Artref0">
    <w:name w:val="Art#_ref"/>
    <w:rsid w:val="00C83BDF"/>
    <w:rPr>
      <w:rFonts w:cs="Times New Roman"/>
      <w:sz w:val="20"/>
    </w:rPr>
  </w:style>
  <w:style w:type="paragraph" w:customStyle="1" w:styleId="Table">
    <w:name w:val="Table_#"/>
    <w:basedOn w:val="Normal"/>
    <w:next w:val="Normal"/>
    <w:rsid w:val="00C83BDF"/>
    <w:pPr>
      <w:keepNext/>
      <w:spacing w:before="560" w:after="120"/>
      <w:jc w:val="center"/>
    </w:pPr>
    <w:rPr>
      <w:caps/>
    </w:rPr>
  </w:style>
  <w:style w:type="paragraph" w:customStyle="1" w:styleId="TableText0">
    <w:name w:val="Table_Text"/>
    <w:basedOn w:val="Normal"/>
    <w:rsid w:val="00C83B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TableText0"/>
    <w:rsid w:val="00C83BDF"/>
    <w:pPr>
      <w:keepNext/>
      <w:spacing w:before="80" w:after="80"/>
      <w:jc w:val="center"/>
    </w:pPr>
    <w:rPr>
      <w:b/>
    </w:rPr>
  </w:style>
  <w:style w:type="paragraph" w:customStyle="1" w:styleId="TableFin">
    <w:name w:val="Table_Fin"/>
    <w:basedOn w:val="Normal"/>
    <w:rsid w:val="00C83BDF"/>
    <w:pPr>
      <w:tabs>
        <w:tab w:val="clear" w:pos="794"/>
        <w:tab w:val="clear" w:pos="1191"/>
        <w:tab w:val="clear" w:pos="1588"/>
        <w:tab w:val="clear" w:pos="1985"/>
        <w:tab w:val="left" w:pos="1871"/>
        <w:tab w:val="left" w:pos="2268"/>
      </w:tabs>
      <w:spacing w:before="0"/>
      <w:jc w:val="both"/>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brmail@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95A72-F71F-4796-9326-0B28A146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35</TotalTime>
  <Pages>7</Pages>
  <Words>2046</Words>
  <Characters>11381</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INTERNATIONAL TELECOMMUNICATION UNION</vt:lpstr>
      <vt:lpstr>Rules concerning the late payment of cost recovery fees and  cancellation of sat</vt:lpstr>
      <vt:lpstr>Consolidation of frequency assignments of different GSO networks submitted by an</vt:lpstr>
      <vt:lpstr>1	Introduction</vt:lpstr>
      <vt:lpstr>2	Structure of notice</vt:lpstr>
      <vt:lpstr>    2.1 	Identity of the satellite network (Appendix 4, Annex 2, A1)</vt:lpstr>
      <vt:lpstr>    2.2	Orbital information (Appendix 4, Annex 2, A4)</vt:lpstr>
      <vt:lpstr>    2.3 	Antenna beam and group of frequency assignment characteristics (Appendix 4,</vt:lpstr>
      <vt:lpstr>    2.4	Identifier of the notice and groups</vt:lpstr>
      <vt:lpstr>3	BR IFIC (Space Services) and Annex to the BR IFIC</vt:lpstr>
      <vt:lpstr>    3.1	Part I-S </vt:lpstr>
      <vt:lpstr>    3.2	Special Sections</vt:lpstr>
      <vt:lpstr>4.	Cost recovery</vt:lpstr>
      <vt:lpstr>Rules concerning the Regional Agreement relating to the planning of VHF/UHF tele</vt:lpstr>
      <vt:lpstr>4	Examination of notices related to the non-planned services in the bands govern</vt:lpstr>
    </vt:vector>
  </TitlesOfParts>
  <Company>ITU</Company>
  <LinksUpToDate>false</LinksUpToDate>
  <CharactersWithSpaces>13401</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turnbulk</dc:creator>
  <cp:keywords/>
  <dc:description/>
  <cp:lastModifiedBy>marchett</cp:lastModifiedBy>
  <cp:revision>5</cp:revision>
  <cp:lastPrinted>2013-01-07T07:49:00Z</cp:lastPrinted>
  <dcterms:created xsi:type="dcterms:W3CDTF">2013-01-07T07:22:00Z</dcterms:created>
  <dcterms:modified xsi:type="dcterms:W3CDTF">2013-01-07T08:17:00Z</dcterms:modified>
</cp:coreProperties>
</file>