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Pr="00063ED2" w:rsidRDefault="007D3C32" w:rsidP="0003598B">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03598B">
            <w:pPr>
              <w:spacing w:before="0"/>
              <w:rPr>
                <w:lang w:eastAsia="zh-CN"/>
              </w:rPr>
            </w:pPr>
          </w:p>
        </w:tc>
        <w:tc>
          <w:tcPr>
            <w:tcW w:w="1667" w:type="dxa"/>
          </w:tcPr>
          <w:p w:rsidR="00D35752" w:rsidRPr="00D35752" w:rsidRDefault="00DF15E4" w:rsidP="0003598B">
            <w:pPr>
              <w:spacing w:before="0"/>
              <w:jc w:val="right"/>
            </w:pPr>
            <w:r w:rsidRPr="00DF15E4">
              <w:rPr>
                <w:noProof/>
                <w:lang w:val="en-US" w:eastAsia="zh-CN"/>
              </w:rPr>
              <w:drawing>
                <wp:inline distT="0" distB="0" distL="0" distR="0" wp14:anchorId="69CD8E89" wp14:editId="0DE2167B">
                  <wp:extent cx="883297" cy="100194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88270" cy="100759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03598B">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03598B">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D35752" w:rsidRDefault="00D35752" w:rsidP="0003598B">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8325A9" w:rsidRPr="00B92E2E" w:rsidRDefault="00147E21" w:rsidP="0003598B">
            <w:pPr>
              <w:tabs>
                <w:tab w:val="left" w:pos="7513"/>
              </w:tabs>
              <w:jc w:val="center"/>
              <w:rPr>
                <w:b/>
                <w:bCs/>
                <w:lang w:val="en-US" w:eastAsia="zh-CN"/>
              </w:rPr>
            </w:pPr>
            <w:bookmarkStart w:id="0" w:name="dletter"/>
            <w:bookmarkEnd w:id="0"/>
            <w:r w:rsidRPr="008325A9">
              <w:rPr>
                <w:rFonts w:hint="eastAsia"/>
                <w:lang w:val="en-US" w:eastAsia="zh-CN"/>
              </w:rPr>
              <w:t>通函</w:t>
            </w:r>
            <w:bookmarkStart w:id="1" w:name="dnum"/>
            <w:bookmarkEnd w:id="1"/>
            <w:r w:rsidR="00063ED2">
              <w:rPr>
                <w:lang w:val="en-US" w:eastAsia="zh-CN"/>
              </w:rPr>
              <w:br/>
            </w:r>
            <w:r w:rsidR="008325A9" w:rsidRPr="00B92E2E">
              <w:rPr>
                <w:b/>
                <w:bCs/>
                <w:lang w:val="en-US" w:eastAsia="zh-CN"/>
              </w:rPr>
              <w:t>C</w:t>
            </w:r>
            <w:r w:rsidR="000613C0">
              <w:rPr>
                <w:rFonts w:hint="eastAsia"/>
                <w:b/>
                <w:bCs/>
                <w:lang w:val="en-US" w:eastAsia="zh-CN"/>
              </w:rPr>
              <w:t>CR</w:t>
            </w:r>
            <w:r w:rsidR="008325A9" w:rsidRPr="00B92E2E">
              <w:rPr>
                <w:b/>
                <w:bCs/>
                <w:lang w:val="en-US" w:eastAsia="zh-CN"/>
              </w:rPr>
              <w:t>R/</w:t>
            </w:r>
            <w:r w:rsidR="000613C0">
              <w:rPr>
                <w:rFonts w:hint="eastAsia"/>
                <w:b/>
                <w:bCs/>
                <w:lang w:val="en-US" w:eastAsia="zh-CN"/>
              </w:rPr>
              <w:t>4</w:t>
            </w:r>
            <w:r w:rsidR="00D3634D">
              <w:rPr>
                <w:rFonts w:hint="eastAsia"/>
                <w:b/>
                <w:bCs/>
                <w:lang w:val="en-US" w:eastAsia="zh-CN"/>
              </w:rPr>
              <w:t>7</w:t>
            </w:r>
          </w:p>
        </w:tc>
        <w:tc>
          <w:tcPr>
            <w:tcW w:w="7502" w:type="dxa"/>
          </w:tcPr>
          <w:p w:rsidR="00B87E04" w:rsidRPr="00006896" w:rsidRDefault="00EE7758" w:rsidP="0003598B">
            <w:pPr>
              <w:tabs>
                <w:tab w:val="left" w:pos="7513"/>
              </w:tabs>
              <w:jc w:val="right"/>
              <w:rPr>
                <w:lang w:val="en-US" w:eastAsia="zh-CN"/>
              </w:rPr>
            </w:pPr>
            <w:bookmarkStart w:id="2" w:name="ddate"/>
            <w:bookmarkStart w:id="3" w:name="OLE_LINK1"/>
            <w:bookmarkStart w:id="4" w:name="OLE_LINK2"/>
            <w:bookmarkEnd w:id="2"/>
            <w:r>
              <w:rPr>
                <w:lang w:eastAsia="zh-CN"/>
              </w:rPr>
              <w:t>20</w:t>
            </w:r>
            <w:r w:rsidR="008A1F2F">
              <w:rPr>
                <w:lang w:eastAsia="zh-CN"/>
              </w:rPr>
              <w:t>1</w:t>
            </w:r>
            <w:r w:rsidR="00D3634D">
              <w:rPr>
                <w:rFonts w:hint="eastAsia"/>
                <w:lang w:eastAsia="zh-CN"/>
              </w:rPr>
              <w:t>3</w:t>
            </w:r>
            <w:r w:rsidR="00710302">
              <w:rPr>
                <w:rFonts w:hint="eastAsia"/>
                <w:lang w:val="en-US" w:eastAsia="zh-CN"/>
              </w:rPr>
              <w:t>年</w:t>
            </w:r>
            <w:r w:rsidR="00D3634D">
              <w:rPr>
                <w:rFonts w:hint="eastAsia"/>
                <w:lang w:val="en-US" w:eastAsia="zh-CN"/>
              </w:rPr>
              <w:t>1</w:t>
            </w:r>
            <w:r w:rsidR="00710302">
              <w:rPr>
                <w:rFonts w:hint="eastAsia"/>
                <w:lang w:eastAsia="zh-CN"/>
              </w:rPr>
              <w:t>月</w:t>
            </w:r>
            <w:bookmarkEnd w:id="3"/>
            <w:bookmarkEnd w:id="4"/>
            <w:r w:rsidR="00D3634D">
              <w:rPr>
                <w:rFonts w:hint="eastAsia"/>
                <w:lang w:val="en-US" w:eastAsia="zh-CN"/>
              </w:rPr>
              <w:t>7</w:t>
            </w:r>
            <w:r w:rsidR="005B67EE">
              <w:rPr>
                <w:rFonts w:hint="eastAsia"/>
                <w:lang w:val="en-US" w:eastAsia="zh-CN"/>
              </w:rPr>
              <w:t>日</w:t>
            </w:r>
          </w:p>
        </w:tc>
      </w:tr>
    </w:tbl>
    <w:p w:rsidR="00B87E04" w:rsidRPr="00417CB7" w:rsidRDefault="000613C0" w:rsidP="0003598B">
      <w:pPr>
        <w:tabs>
          <w:tab w:val="left" w:pos="7513"/>
        </w:tabs>
        <w:spacing w:before="480"/>
        <w:jc w:val="center"/>
        <w:rPr>
          <w:b/>
          <w:bCs/>
          <w:lang w:eastAsia="zh-CN"/>
        </w:rPr>
      </w:pPr>
      <w:r w:rsidRPr="000613C0">
        <w:rPr>
          <w:rFonts w:hint="eastAsia"/>
          <w:b/>
          <w:bCs/>
          <w:lang w:eastAsia="zh-CN"/>
        </w:rPr>
        <w:t>致国际电联</w:t>
      </w:r>
      <w:r w:rsidR="00063ED2">
        <w:rPr>
          <w:rFonts w:hint="eastAsia"/>
          <w:b/>
          <w:bCs/>
          <w:lang w:eastAsia="zh-CN"/>
        </w:rPr>
        <w:t>各</w:t>
      </w:r>
      <w:r w:rsidRPr="000613C0">
        <w:rPr>
          <w:rFonts w:hint="eastAsia"/>
          <w:b/>
          <w:bCs/>
          <w:lang w:eastAsia="zh-CN"/>
        </w:rPr>
        <w:t>成员国主管部门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2"/>
        <w:gridCol w:w="8753"/>
      </w:tblGrid>
      <w:tr w:rsidR="009A69CF" w:rsidRPr="00417CB7">
        <w:tc>
          <w:tcPr>
            <w:tcW w:w="1102" w:type="dxa"/>
          </w:tcPr>
          <w:p w:rsidR="009A69CF" w:rsidRPr="00417CB7" w:rsidRDefault="009A69CF" w:rsidP="0003598B">
            <w:pPr>
              <w:tabs>
                <w:tab w:val="clear" w:pos="794"/>
                <w:tab w:val="clear" w:pos="1191"/>
                <w:tab w:val="clear" w:pos="1588"/>
                <w:tab w:val="clear" w:pos="1985"/>
                <w:tab w:val="left" w:pos="709"/>
              </w:tabs>
              <w:spacing w:before="480"/>
              <w:rPr>
                <w:b/>
                <w:bCs/>
                <w:lang w:val="zh-CN" w:eastAsia="zh-CN"/>
              </w:rPr>
            </w:pPr>
            <w:bookmarkStart w:id="5" w:name="dtitle1"/>
            <w:bookmarkEnd w:id="5"/>
            <w:r w:rsidRPr="00417CB7">
              <w:rPr>
                <w:rFonts w:hint="eastAsia"/>
                <w:b/>
                <w:bCs/>
                <w:szCs w:val="24"/>
                <w:lang w:eastAsia="zh-CN"/>
              </w:rPr>
              <w:t>事由：</w:t>
            </w:r>
          </w:p>
        </w:tc>
        <w:tc>
          <w:tcPr>
            <w:tcW w:w="8753" w:type="dxa"/>
          </w:tcPr>
          <w:p w:rsidR="0068517A" w:rsidRPr="00417CB7" w:rsidRDefault="000F4451" w:rsidP="00B374A2">
            <w:pPr>
              <w:tabs>
                <w:tab w:val="clear" w:pos="794"/>
                <w:tab w:val="clear" w:pos="1191"/>
                <w:tab w:val="clear" w:pos="1588"/>
                <w:tab w:val="clear" w:pos="1985"/>
                <w:tab w:val="left" w:pos="709"/>
              </w:tabs>
              <w:spacing w:before="480"/>
              <w:rPr>
                <w:b/>
                <w:bCs/>
                <w:lang w:val="zh-CN" w:eastAsia="zh-CN"/>
              </w:rPr>
            </w:pPr>
            <w:r>
              <w:rPr>
                <w:rFonts w:hint="eastAsia"/>
                <w:lang w:val="en-US" w:eastAsia="zh-CN"/>
              </w:rPr>
              <w:t>反映</w:t>
            </w:r>
            <w:r>
              <w:rPr>
                <w:rFonts w:hint="eastAsia"/>
                <w:lang w:val="en-US" w:eastAsia="zh-CN"/>
              </w:rPr>
              <w:t>2012</w:t>
            </w:r>
            <w:r>
              <w:rPr>
                <w:rFonts w:hint="eastAsia"/>
                <w:lang w:val="en-US" w:eastAsia="zh-CN"/>
              </w:rPr>
              <w:t>年世界无线电通信大会（</w:t>
            </w:r>
            <w:r>
              <w:rPr>
                <w:rFonts w:hint="eastAsia"/>
                <w:lang w:val="en-US" w:eastAsia="zh-CN"/>
              </w:rPr>
              <w:t>WRC-12</w:t>
            </w:r>
            <w:r w:rsidR="00B374A2">
              <w:rPr>
                <w:rFonts w:hint="eastAsia"/>
                <w:lang w:val="en-US" w:eastAsia="zh-CN"/>
              </w:rPr>
              <w:t>）的</w:t>
            </w:r>
            <w:r>
              <w:rPr>
                <w:rFonts w:hint="eastAsia"/>
                <w:lang w:val="en-US" w:eastAsia="zh-CN"/>
              </w:rPr>
              <w:t>决定和可能需要更新的现有规则</w:t>
            </w:r>
            <w:r w:rsidR="00B374A2">
              <w:rPr>
                <w:rFonts w:hint="eastAsia"/>
                <w:lang w:val="en-US" w:eastAsia="zh-CN"/>
              </w:rPr>
              <w:t>的</w:t>
            </w:r>
            <w:r w:rsidR="00B374A2">
              <w:rPr>
                <w:lang w:val="en-US" w:eastAsia="zh-CN"/>
              </w:rPr>
              <w:t>《程序规则》</w:t>
            </w:r>
            <w:r w:rsidR="00B374A2">
              <w:rPr>
                <w:rFonts w:hint="eastAsia"/>
                <w:lang w:val="en-US" w:eastAsia="zh-CN"/>
              </w:rPr>
              <w:t>草案</w:t>
            </w:r>
          </w:p>
          <w:p w:rsidR="009A69CF" w:rsidRPr="00417CB7" w:rsidRDefault="009A69CF" w:rsidP="0003598B">
            <w:pPr>
              <w:tabs>
                <w:tab w:val="clear" w:pos="794"/>
                <w:tab w:val="clear" w:pos="1191"/>
                <w:tab w:val="clear" w:pos="1588"/>
                <w:tab w:val="clear" w:pos="1985"/>
                <w:tab w:val="left" w:pos="709"/>
              </w:tabs>
              <w:spacing w:before="60"/>
              <w:rPr>
                <w:b/>
                <w:bCs/>
                <w:lang w:val="zh-CN" w:eastAsia="zh-CN"/>
              </w:rPr>
            </w:pPr>
          </w:p>
        </w:tc>
      </w:tr>
    </w:tbl>
    <w:p w:rsidR="001E15AA" w:rsidRPr="00AE3521" w:rsidRDefault="007D3C32" w:rsidP="0003598B">
      <w:pPr>
        <w:tabs>
          <w:tab w:val="clear" w:pos="794"/>
          <w:tab w:val="clear" w:pos="1191"/>
          <w:tab w:val="clear" w:pos="1588"/>
          <w:tab w:val="clear" w:pos="1985"/>
          <w:tab w:val="left" w:pos="709"/>
          <w:tab w:val="left" w:pos="6327"/>
        </w:tabs>
        <w:spacing w:before="360"/>
        <w:ind w:left="709" w:hanging="709"/>
        <w:rPr>
          <w:rFonts w:ascii="SimSun" w:hAnsi="SimSun"/>
          <w:b/>
          <w:bCs/>
          <w:lang w:eastAsia="zh-CN"/>
        </w:rPr>
      </w:pPr>
      <w:r w:rsidRPr="00AE3521">
        <w:rPr>
          <w:rFonts w:ascii="SimSun" w:hAnsi="SimSun" w:hint="eastAsia"/>
          <w:b/>
          <w:bCs/>
          <w:lang w:eastAsia="zh-CN"/>
        </w:rPr>
        <w:t>致总局长</w:t>
      </w:r>
    </w:p>
    <w:p w:rsidR="001E15AA" w:rsidRPr="00EE7758" w:rsidRDefault="007D3C32" w:rsidP="0003598B">
      <w:pPr>
        <w:tabs>
          <w:tab w:val="clear" w:pos="794"/>
          <w:tab w:val="clear" w:pos="1191"/>
          <w:tab w:val="clear" w:pos="1588"/>
          <w:tab w:val="clear" w:pos="1985"/>
          <w:tab w:val="left" w:pos="709"/>
        </w:tabs>
        <w:spacing w:before="480"/>
        <w:ind w:left="709" w:hanging="709"/>
        <w:rPr>
          <w:szCs w:val="24"/>
          <w:lang w:eastAsia="zh-CN"/>
        </w:rPr>
      </w:pPr>
      <w:r w:rsidRPr="007D3C32">
        <w:rPr>
          <w:rFonts w:ascii="SimSun" w:hAnsi="SimSun" w:hint="eastAsia"/>
          <w:lang w:eastAsia="zh-CN"/>
        </w:rPr>
        <w:t>尊</w:t>
      </w:r>
      <w:r w:rsidRPr="00EE7758">
        <w:rPr>
          <w:rFonts w:hAnsi="SimSun"/>
          <w:szCs w:val="24"/>
          <w:lang w:eastAsia="zh-CN"/>
        </w:rPr>
        <w:t>敬的</w:t>
      </w:r>
      <w:r w:rsidR="00777222" w:rsidRPr="00EE7758">
        <w:rPr>
          <w:rFonts w:hAnsi="SimSun"/>
          <w:szCs w:val="24"/>
          <w:lang w:eastAsia="zh-CN"/>
        </w:rPr>
        <w:t>女士</w:t>
      </w:r>
      <w:r w:rsidR="007D3ED0" w:rsidRPr="00EE7758">
        <w:rPr>
          <w:szCs w:val="24"/>
          <w:lang w:eastAsia="zh-CN"/>
        </w:rPr>
        <w:t>/</w:t>
      </w:r>
      <w:r w:rsidR="00777222" w:rsidRPr="00EE7758">
        <w:rPr>
          <w:rFonts w:hAnsi="SimSun"/>
          <w:szCs w:val="24"/>
          <w:lang w:eastAsia="zh-CN"/>
        </w:rPr>
        <w:t>先生</w:t>
      </w:r>
      <w:r w:rsidRPr="00EE7758">
        <w:rPr>
          <w:rFonts w:hAnsi="SimSun"/>
          <w:szCs w:val="24"/>
          <w:lang w:eastAsia="zh-CN"/>
        </w:rPr>
        <w:t>：</w:t>
      </w:r>
    </w:p>
    <w:p w:rsidR="000613C0" w:rsidRDefault="000F4451" w:rsidP="00355240">
      <w:pPr>
        <w:ind w:firstLineChars="200" w:firstLine="480"/>
        <w:rPr>
          <w:lang w:val="en-US" w:eastAsia="zh-CN"/>
        </w:rPr>
      </w:pPr>
      <w:r>
        <w:rPr>
          <w:rFonts w:hint="eastAsia"/>
          <w:lang w:eastAsia="zh-CN"/>
        </w:rPr>
        <w:t>在</w:t>
      </w:r>
      <w:r w:rsidR="00BA5853">
        <w:rPr>
          <w:rFonts w:hint="eastAsia"/>
          <w:lang w:eastAsia="zh-CN"/>
        </w:rPr>
        <w:t>2012</w:t>
      </w:r>
      <w:r w:rsidR="00BA5853">
        <w:rPr>
          <w:rFonts w:hint="eastAsia"/>
          <w:lang w:eastAsia="zh-CN"/>
        </w:rPr>
        <w:t>年</w:t>
      </w:r>
      <w:r w:rsidR="00BA5853">
        <w:rPr>
          <w:rFonts w:hint="eastAsia"/>
          <w:lang w:eastAsia="zh-CN"/>
        </w:rPr>
        <w:t>5</w:t>
      </w:r>
      <w:r w:rsidR="00BA5853">
        <w:rPr>
          <w:rFonts w:hint="eastAsia"/>
          <w:lang w:eastAsia="zh-CN"/>
        </w:rPr>
        <w:t>月</w:t>
      </w:r>
      <w:r w:rsidR="00BA5853">
        <w:rPr>
          <w:rFonts w:hint="eastAsia"/>
          <w:lang w:eastAsia="zh-CN"/>
        </w:rPr>
        <w:t>14-18</w:t>
      </w:r>
      <w:r w:rsidR="00BA5853">
        <w:rPr>
          <w:rFonts w:hint="eastAsia"/>
          <w:lang w:eastAsia="zh-CN"/>
        </w:rPr>
        <w:t>日召开的</w:t>
      </w:r>
      <w:r>
        <w:rPr>
          <w:rFonts w:hint="eastAsia"/>
          <w:lang w:eastAsia="zh-CN"/>
        </w:rPr>
        <w:t>第</w:t>
      </w:r>
      <w:r>
        <w:rPr>
          <w:rFonts w:hint="eastAsia"/>
          <w:lang w:eastAsia="zh-CN"/>
        </w:rPr>
        <w:t>59</w:t>
      </w:r>
      <w:r w:rsidR="00BA5853">
        <w:rPr>
          <w:rFonts w:hint="eastAsia"/>
          <w:lang w:eastAsia="zh-CN"/>
        </w:rPr>
        <w:t>次会</w:t>
      </w:r>
      <w:r>
        <w:rPr>
          <w:rFonts w:hint="eastAsia"/>
          <w:lang w:eastAsia="zh-CN"/>
        </w:rPr>
        <w:t>上，</w:t>
      </w:r>
      <w:r w:rsidR="00B374A2">
        <w:rPr>
          <w:rFonts w:hint="eastAsia"/>
          <w:lang w:eastAsia="zh-CN"/>
        </w:rPr>
        <w:t>无线电规则委员会</w:t>
      </w:r>
      <w:r w:rsidR="00B374A2">
        <w:rPr>
          <w:rFonts w:eastAsiaTheme="minorEastAsia" w:hint="eastAsia"/>
          <w:color w:val="000000"/>
          <w:szCs w:val="24"/>
          <w:lang w:eastAsia="zh-CN"/>
        </w:rPr>
        <w:t>（</w:t>
      </w:r>
      <w:r w:rsidR="00B374A2">
        <w:rPr>
          <w:rFonts w:eastAsiaTheme="minorEastAsia" w:hint="eastAsia"/>
          <w:color w:val="000000"/>
          <w:szCs w:val="24"/>
          <w:lang w:eastAsia="zh-CN"/>
        </w:rPr>
        <w:t>RRB</w:t>
      </w:r>
      <w:r w:rsidR="00B374A2">
        <w:rPr>
          <w:rFonts w:eastAsiaTheme="minorEastAsia" w:hint="eastAsia"/>
          <w:color w:val="000000"/>
          <w:szCs w:val="24"/>
          <w:lang w:eastAsia="zh-CN"/>
        </w:rPr>
        <w:t>）</w:t>
      </w:r>
      <w:r>
        <w:rPr>
          <w:rFonts w:hint="eastAsia"/>
          <w:lang w:eastAsia="zh-CN"/>
        </w:rPr>
        <w:t>审议了</w:t>
      </w:r>
      <w:r>
        <w:rPr>
          <w:rFonts w:hint="eastAsia"/>
          <w:lang w:val="en-US" w:eastAsia="zh-CN"/>
        </w:rPr>
        <w:t>WRC-12</w:t>
      </w:r>
      <w:r>
        <w:rPr>
          <w:rFonts w:hint="eastAsia"/>
          <w:lang w:val="en-US" w:eastAsia="zh-CN"/>
        </w:rPr>
        <w:t>的决定</w:t>
      </w:r>
      <w:r w:rsidR="00BA5853">
        <w:rPr>
          <w:rFonts w:hint="eastAsia"/>
          <w:lang w:val="en-US" w:eastAsia="zh-CN"/>
        </w:rPr>
        <w:t>对现有《</w:t>
      </w:r>
      <w:r w:rsidR="00BA5853" w:rsidRPr="00D95D9A">
        <w:rPr>
          <w:rFonts w:hint="eastAsia"/>
          <w:lang w:eastAsia="zh-CN"/>
        </w:rPr>
        <w:t>程序规则</w:t>
      </w:r>
      <w:r w:rsidR="00B374A2">
        <w:rPr>
          <w:rFonts w:hint="eastAsia"/>
          <w:lang w:val="en-US" w:eastAsia="zh-CN"/>
        </w:rPr>
        <w:t>》的影响，并依据</w:t>
      </w:r>
      <w:r w:rsidR="00BA5853">
        <w:rPr>
          <w:rFonts w:hint="eastAsia"/>
          <w:lang w:val="en-US" w:eastAsia="zh-CN"/>
        </w:rPr>
        <w:t>无线电通信局提供的文件（见</w:t>
      </w:r>
      <w:r w:rsidR="00BA5853">
        <w:rPr>
          <w:rFonts w:hint="eastAsia"/>
          <w:lang w:val="en-US" w:eastAsia="zh-CN"/>
        </w:rPr>
        <w:t>RRB12-1/4</w:t>
      </w:r>
      <w:r w:rsidR="00BA5853">
        <w:rPr>
          <w:rFonts w:hint="eastAsia"/>
          <w:lang w:val="en-US" w:eastAsia="zh-CN"/>
        </w:rPr>
        <w:t>号文件）及委员会成员提供的其他意见</w:t>
      </w:r>
      <w:r w:rsidR="00B374A2">
        <w:rPr>
          <w:rFonts w:hint="eastAsia"/>
          <w:lang w:val="en-US" w:eastAsia="zh-CN"/>
        </w:rPr>
        <w:t>，就审议现有的</w:t>
      </w:r>
      <w:r w:rsidR="00BA5853" w:rsidRPr="00D95D9A">
        <w:rPr>
          <w:rFonts w:hint="eastAsia"/>
          <w:lang w:eastAsia="zh-CN"/>
        </w:rPr>
        <w:t>《程序规则》</w:t>
      </w:r>
      <w:r w:rsidR="007E2041">
        <w:rPr>
          <w:rFonts w:hint="eastAsia"/>
          <w:lang w:eastAsia="zh-CN"/>
        </w:rPr>
        <w:t>新</w:t>
      </w:r>
      <w:r w:rsidR="00355240">
        <w:rPr>
          <w:rFonts w:hint="eastAsia"/>
          <w:lang w:eastAsia="zh-CN"/>
        </w:rPr>
        <w:t>草案或</w:t>
      </w:r>
      <w:r w:rsidR="007E2041">
        <w:rPr>
          <w:rFonts w:hint="eastAsia"/>
          <w:lang w:eastAsia="zh-CN"/>
        </w:rPr>
        <w:t>修订</w:t>
      </w:r>
      <w:r w:rsidR="00BA5853">
        <w:rPr>
          <w:rFonts w:hint="eastAsia"/>
          <w:lang w:eastAsia="zh-CN"/>
        </w:rPr>
        <w:t>草案的时间</w:t>
      </w:r>
      <w:r w:rsidR="00355240">
        <w:rPr>
          <w:rFonts w:hint="eastAsia"/>
          <w:lang w:eastAsia="zh-CN"/>
        </w:rPr>
        <w:t>表</w:t>
      </w:r>
      <w:r w:rsidR="00BA5853">
        <w:rPr>
          <w:rFonts w:hint="eastAsia"/>
          <w:lang w:eastAsia="zh-CN"/>
        </w:rPr>
        <w:t>达成了</w:t>
      </w:r>
      <w:r w:rsidR="00355240">
        <w:rPr>
          <w:rFonts w:hint="eastAsia"/>
          <w:lang w:eastAsia="zh-CN"/>
        </w:rPr>
        <w:t>共识</w:t>
      </w:r>
      <w:r w:rsidR="00BA5853">
        <w:rPr>
          <w:rFonts w:hint="eastAsia"/>
          <w:lang w:eastAsia="zh-CN"/>
        </w:rPr>
        <w:t>。委员会责成</w:t>
      </w:r>
      <w:r w:rsidR="00BA5853">
        <w:rPr>
          <w:rFonts w:hint="eastAsia"/>
          <w:lang w:val="en-US" w:eastAsia="zh-CN"/>
        </w:rPr>
        <w:t>无线电通信局</w:t>
      </w:r>
      <w:r w:rsidR="00B374A2">
        <w:rPr>
          <w:rFonts w:hint="eastAsia"/>
          <w:lang w:val="en-US" w:eastAsia="zh-CN"/>
        </w:rPr>
        <w:t>遵照执行，但最后</w:t>
      </w:r>
      <w:r w:rsidR="00BA5853">
        <w:rPr>
          <w:rFonts w:hint="eastAsia"/>
          <w:lang w:val="en-US" w:eastAsia="zh-CN"/>
        </w:rPr>
        <w:t>可能会根据额外研究</w:t>
      </w:r>
      <w:r w:rsidR="00355240">
        <w:rPr>
          <w:rFonts w:hint="eastAsia"/>
          <w:lang w:val="en-US" w:eastAsia="zh-CN"/>
        </w:rPr>
        <w:t>的情况</w:t>
      </w:r>
      <w:r w:rsidR="00B374A2">
        <w:rPr>
          <w:rFonts w:hint="eastAsia"/>
          <w:lang w:val="en-US" w:eastAsia="zh-CN"/>
        </w:rPr>
        <w:t>对时间</w:t>
      </w:r>
      <w:r w:rsidR="00355240">
        <w:rPr>
          <w:rFonts w:hint="eastAsia"/>
          <w:lang w:val="en-US" w:eastAsia="zh-CN"/>
        </w:rPr>
        <w:t>表</w:t>
      </w:r>
      <w:r w:rsidR="007E2041">
        <w:rPr>
          <w:rFonts w:hint="eastAsia"/>
          <w:lang w:val="en-US" w:eastAsia="zh-CN"/>
        </w:rPr>
        <w:t>做出</w:t>
      </w:r>
      <w:r w:rsidR="00BA5853">
        <w:rPr>
          <w:rFonts w:hint="eastAsia"/>
          <w:lang w:val="en-US" w:eastAsia="zh-CN"/>
        </w:rPr>
        <w:t>调整</w:t>
      </w:r>
      <w:r w:rsidR="007E2041">
        <w:rPr>
          <w:rFonts w:hint="eastAsia"/>
          <w:lang w:val="en-US" w:eastAsia="zh-CN"/>
        </w:rPr>
        <w:t>。</w:t>
      </w:r>
    </w:p>
    <w:p w:rsidR="007E2041" w:rsidRPr="007E2041" w:rsidRDefault="007E2041" w:rsidP="00B374A2">
      <w:pPr>
        <w:ind w:firstLineChars="200" w:firstLine="480"/>
        <w:rPr>
          <w:lang w:val="en-US" w:eastAsia="zh-CN"/>
        </w:rPr>
      </w:pPr>
      <w:r>
        <w:rPr>
          <w:rFonts w:hint="eastAsia"/>
          <w:lang w:val="en-US" w:eastAsia="zh-CN"/>
        </w:rPr>
        <w:t>为此，无线电通信局</w:t>
      </w:r>
      <w:r w:rsidR="00B374A2">
        <w:rPr>
          <w:rFonts w:hint="eastAsia"/>
          <w:lang w:val="en-US" w:eastAsia="zh-CN"/>
        </w:rPr>
        <w:t>以</w:t>
      </w:r>
      <w:r w:rsidR="00B374A2">
        <w:rPr>
          <w:rFonts w:hint="eastAsia"/>
          <w:lang w:val="en-US" w:eastAsia="zh-CN"/>
        </w:rPr>
        <w:t>WRC-12</w:t>
      </w:r>
      <w:r w:rsidR="00B374A2">
        <w:rPr>
          <w:rFonts w:hint="eastAsia"/>
          <w:lang w:val="en-US" w:eastAsia="zh-CN"/>
        </w:rPr>
        <w:t>的决定为依据，</w:t>
      </w:r>
      <w:r>
        <w:rPr>
          <w:rFonts w:hint="eastAsia"/>
          <w:lang w:val="en-US" w:eastAsia="zh-CN"/>
        </w:rPr>
        <w:t>拟定了第三套《</w:t>
      </w:r>
      <w:r w:rsidRPr="00D95D9A">
        <w:rPr>
          <w:rFonts w:hint="eastAsia"/>
          <w:lang w:eastAsia="zh-CN"/>
        </w:rPr>
        <w:t>程序规则</w:t>
      </w:r>
      <w:r>
        <w:rPr>
          <w:rFonts w:hint="eastAsia"/>
          <w:lang w:val="en-US" w:eastAsia="zh-CN"/>
        </w:rPr>
        <w:t>》新</w:t>
      </w:r>
      <w:r w:rsidR="00355240">
        <w:rPr>
          <w:rFonts w:hint="eastAsia"/>
          <w:lang w:val="en-US" w:eastAsia="zh-CN"/>
        </w:rPr>
        <w:t>草案或</w:t>
      </w:r>
      <w:r>
        <w:rPr>
          <w:rFonts w:hint="eastAsia"/>
          <w:lang w:val="en-US" w:eastAsia="zh-CN"/>
        </w:rPr>
        <w:t>修订草案。</w:t>
      </w:r>
    </w:p>
    <w:p w:rsidR="000613C0" w:rsidRDefault="000613C0" w:rsidP="0003598B">
      <w:pPr>
        <w:pStyle w:val="hfbc-2"/>
        <w:spacing w:before="120"/>
        <w:ind w:firstLineChars="200" w:firstLine="480"/>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按照《无线电规则》第</w:t>
      </w:r>
      <w:r w:rsidRPr="00F40C5B">
        <w:rPr>
          <w:rFonts w:ascii="Times New Roman" w:eastAsiaTheme="minorEastAsia" w:hAnsi="Times New Roman"/>
          <w:b/>
          <w:bCs/>
          <w:color w:val="000000"/>
          <w:sz w:val="24"/>
          <w:szCs w:val="24"/>
          <w:lang w:eastAsia="zh-CN"/>
        </w:rPr>
        <w:t>13.17</w:t>
      </w:r>
      <w:r w:rsidRPr="000613C0">
        <w:rPr>
          <w:rFonts w:ascii="Times New Roman" w:eastAsiaTheme="minorEastAsia" w:hAnsi="Times New Roman" w:hint="eastAsia"/>
          <w:color w:val="000000"/>
          <w:sz w:val="24"/>
          <w:szCs w:val="24"/>
          <w:lang w:eastAsia="zh-CN"/>
        </w:rPr>
        <w:t>款，</w:t>
      </w:r>
      <w:r w:rsidR="007C690F">
        <w:rPr>
          <w:rFonts w:ascii="Times New Roman" w:eastAsiaTheme="minorEastAsia" w:hAnsi="Times New Roman" w:hint="eastAsia"/>
          <w:color w:val="000000"/>
          <w:sz w:val="24"/>
          <w:szCs w:val="24"/>
          <w:lang w:eastAsia="zh-CN"/>
        </w:rPr>
        <w:t>现</w:t>
      </w:r>
      <w:r w:rsidRPr="000613C0">
        <w:rPr>
          <w:rFonts w:ascii="Times New Roman" w:eastAsiaTheme="minorEastAsia" w:hAnsi="Times New Roman" w:hint="eastAsia"/>
          <w:color w:val="000000"/>
          <w:sz w:val="24"/>
          <w:szCs w:val="24"/>
          <w:lang w:eastAsia="zh-CN"/>
        </w:rPr>
        <w:t>将</w:t>
      </w:r>
      <w:r w:rsidR="007C690F" w:rsidRPr="000613C0">
        <w:rPr>
          <w:rFonts w:ascii="Times New Roman" w:eastAsiaTheme="minorEastAsia" w:hAnsi="Times New Roman" w:hint="eastAsia"/>
          <w:color w:val="000000"/>
          <w:sz w:val="24"/>
          <w:szCs w:val="24"/>
          <w:lang w:eastAsia="zh-CN"/>
        </w:rPr>
        <w:t>这些</w:t>
      </w:r>
      <w:r w:rsidR="007C690F">
        <w:rPr>
          <w:rFonts w:ascii="Times New Roman" w:eastAsiaTheme="minorEastAsia" w:hAnsi="Times New Roman" w:hint="eastAsia"/>
          <w:color w:val="000000"/>
          <w:sz w:val="24"/>
          <w:szCs w:val="24"/>
          <w:lang w:eastAsia="zh-CN"/>
        </w:rPr>
        <w:t>《程序规则》草案发至各</w:t>
      </w:r>
      <w:r w:rsidRPr="000613C0">
        <w:rPr>
          <w:rFonts w:ascii="Times New Roman" w:eastAsiaTheme="minorEastAsia" w:hAnsi="Times New Roman" w:hint="eastAsia"/>
          <w:color w:val="000000"/>
          <w:sz w:val="24"/>
          <w:szCs w:val="24"/>
          <w:lang w:eastAsia="zh-CN"/>
        </w:rPr>
        <w:t>主管部门</w:t>
      </w:r>
      <w:r w:rsidR="007C690F">
        <w:rPr>
          <w:rFonts w:ascii="Times New Roman" w:eastAsiaTheme="minorEastAsia" w:hAnsi="Times New Roman" w:hint="eastAsia"/>
          <w:color w:val="000000"/>
          <w:sz w:val="24"/>
          <w:szCs w:val="24"/>
          <w:lang w:eastAsia="zh-CN"/>
        </w:rPr>
        <w:t>以征求</w:t>
      </w:r>
      <w:r w:rsidRPr="000613C0">
        <w:rPr>
          <w:rFonts w:ascii="Times New Roman" w:eastAsiaTheme="minorEastAsia" w:hAnsi="Times New Roman" w:hint="eastAsia"/>
          <w:color w:val="000000"/>
          <w:sz w:val="24"/>
          <w:szCs w:val="24"/>
          <w:lang w:eastAsia="zh-CN"/>
        </w:rPr>
        <w:t>意见，之后再按照第</w:t>
      </w:r>
      <w:r w:rsidRPr="00523B20">
        <w:rPr>
          <w:rFonts w:ascii="Times New Roman" w:eastAsiaTheme="minorEastAsia" w:hAnsi="Times New Roman" w:hint="eastAsia"/>
          <w:b/>
          <w:bCs/>
          <w:color w:val="000000"/>
          <w:sz w:val="24"/>
          <w:szCs w:val="24"/>
          <w:lang w:eastAsia="zh-CN"/>
        </w:rPr>
        <w:t>13.14</w:t>
      </w:r>
      <w:r w:rsidRPr="000613C0">
        <w:rPr>
          <w:rFonts w:ascii="Times New Roman" w:eastAsiaTheme="minorEastAsia" w:hAnsi="Times New Roman" w:hint="eastAsia"/>
          <w:color w:val="000000"/>
          <w:sz w:val="24"/>
          <w:szCs w:val="24"/>
          <w:lang w:eastAsia="zh-CN"/>
        </w:rPr>
        <w:t>款的要求提交无线电规则委员会。按照《无线电规则》</w:t>
      </w:r>
      <w:r w:rsidRPr="00D750CC">
        <w:rPr>
          <w:rFonts w:ascii="Times New Roman" w:eastAsiaTheme="minorEastAsia" w:hAnsi="Times New Roman" w:hint="eastAsia"/>
          <w:color w:val="000000"/>
          <w:sz w:val="24"/>
          <w:szCs w:val="24"/>
          <w:lang w:eastAsia="zh-CN"/>
        </w:rPr>
        <w:t>第</w:t>
      </w:r>
      <w:r w:rsidRPr="00F40C5B">
        <w:rPr>
          <w:rFonts w:ascii="Times New Roman" w:eastAsiaTheme="minorEastAsia" w:hAnsi="Times New Roman"/>
          <w:b/>
          <w:bCs/>
          <w:color w:val="000000"/>
          <w:sz w:val="24"/>
          <w:szCs w:val="24"/>
          <w:lang w:eastAsia="zh-CN"/>
        </w:rPr>
        <w:t>13.12A</w:t>
      </w:r>
      <w:r w:rsidRPr="000613C0">
        <w:rPr>
          <w:rFonts w:ascii="Times New Roman" w:eastAsiaTheme="minorEastAsia" w:hAnsi="Times New Roman" w:hint="eastAsia"/>
          <w:color w:val="000000"/>
          <w:sz w:val="24"/>
          <w:szCs w:val="24"/>
          <w:lang w:eastAsia="zh-CN"/>
        </w:rPr>
        <w:t xml:space="preserve"> </w:t>
      </w:r>
      <w:r w:rsidRPr="00EC1E6B">
        <w:rPr>
          <w:rFonts w:ascii="Times New Roman" w:eastAsiaTheme="minorEastAsia" w:hAnsi="Times New Roman" w:hint="eastAsia"/>
          <w:i/>
          <w:iCs/>
          <w:color w:val="000000"/>
          <w:sz w:val="24"/>
          <w:szCs w:val="24"/>
          <w:lang w:eastAsia="zh-CN"/>
        </w:rPr>
        <w:t>d)</w:t>
      </w:r>
      <w:r w:rsidRPr="000613C0">
        <w:rPr>
          <w:rFonts w:ascii="Times New Roman" w:eastAsiaTheme="minorEastAsia" w:hAnsi="Times New Roman" w:hint="eastAsia"/>
          <w:color w:val="000000"/>
          <w:sz w:val="24"/>
          <w:szCs w:val="24"/>
          <w:lang w:eastAsia="zh-CN"/>
        </w:rPr>
        <w:t>款的</w:t>
      </w:r>
      <w:r w:rsidR="0011225F">
        <w:rPr>
          <w:rFonts w:ascii="Times New Roman" w:eastAsiaTheme="minorEastAsia" w:hAnsi="Times New Roman" w:hint="eastAsia"/>
          <w:color w:val="000000"/>
          <w:sz w:val="24"/>
          <w:szCs w:val="24"/>
          <w:lang w:eastAsia="zh-CN"/>
        </w:rPr>
        <w:t>规定</w:t>
      </w:r>
      <w:r w:rsidRPr="000613C0">
        <w:rPr>
          <w:rFonts w:ascii="Times New Roman" w:eastAsiaTheme="minorEastAsia" w:hAnsi="Times New Roman" w:hint="eastAsia"/>
          <w:color w:val="000000"/>
          <w:sz w:val="24"/>
          <w:szCs w:val="24"/>
          <w:lang w:eastAsia="zh-CN"/>
        </w:rPr>
        <w:t>，应在</w:t>
      </w:r>
      <w:r w:rsidRPr="00F40C5B">
        <w:rPr>
          <w:rFonts w:ascii="Times New Roman" w:eastAsiaTheme="minorEastAsia" w:hAnsi="Times New Roman"/>
          <w:b/>
          <w:bCs/>
          <w:color w:val="000000"/>
          <w:sz w:val="24"/>
          <w:szCs w:val="24"/>
          <w:lang w:eastAsia="zh-CN"/>
        </w:rPr>
        <w:t>201</w:t>
      </w:r>
      <w:r w:rsidR="007C690F">
        <w:rPr>
          <w:rFonts w:ascii="Times New Roman" w:eastAsiaTheme="minorEastAsia" w:hAnsi="Times New Roman" w:hint="eastAsia"/>
          <w:b/>
          <w:bCs/>
          <w:color w:val="000000"/>
          <w:sz w:val="24"/>
          <w:szCs w:val="24"/>
          <w:lang w:eastAsia="zh-CN"/>
        </w:rPr>
        <w:t>3</w:t>
      </w:r>
      <w:r w:rsidRPr="00F40C5B">
        <w:rPr>
          <w:rFonts w:ascii="Times New Roman" w:eastAsiaTheme="minorEastAsia" w:hAnsi="Times New Roman" w:hint="eastAsia"/>
          <w:b/>
          <w:bCs/>
          <w:color w:val="000000"/>
          <w:sz w:val="24"/>
          <w:szCs w:val="24"/>
          <w:lang w:eastAsia="zh-CN"/>
        </w:rPr>
        <w:t>年</w:t>
      </w:r>
      <w:r w:rsidR="007C690F">
        <w:rPr>
          <w:rFonts w:ascii="Times New Roman" w:eastAsiaTheme="minorEastAsia" w:hAnsi="Times New Roman" w:hint="eastAsia"/>
          <w:b/>
          <w:bCs/>
          <w:color w:val="000000"/>
          <w:sz w:val="24"/>
          <w:szCs w:val="24"/>
          <w:lang w:eastAsia="zh-CN"/>
        </w:rPr>
        <w:t>2</w:t>
      </w:r>
      <w:r w:rsidRPr="00F40C5B">
        <w:rPr>
          <w:rFonts w:ascii="Times New Roman" w:eastAsiaTheme="minorEastAsia" w:hAnsi="Times New Roman" w:hint="eastAsia"/>
          <w:b/>
          <w:bCs/>
          <w:color w:val="000000"/>
          <w:sz w:val="24"/>
          <w:szCs w:val="24"/>
          <w:lang w:eastAsia="zh-CN"/>
        </w:rPr>
        <w:t>月</w:t>
      </w:r>
      <w:r w:rsidR="00523B20" w:rsidRPr="00F40C5B">
        <w:rPr>
          <w:rFonts w:ascii="Times New Roman" w:eastAsiaTheme="minorEastAsia" w:hAnsi="Times New Roman"/>
          <w:b/>
          <w:bCs/>
          <w:color w:val="000000"/>
          <w:sz w:val="24"/>
          <w:szCs w:val="24"/>
          <w:lang w:eastAsia="zh-CN"/>
        </w:rPr>
        <w:t>1</w:t>
      </w:r>
      <w:r w:rsidR="007C690F">
        <w:rPr>
          <w:rFonts w:ascii="Times New Roman" w:eastAsiaTheme="minorEastAsia" w:hAnsi="Times New Roman" w:hint="eastAsia"/>
          <w:b/>
          <w:bCs/>
          <w:color w:val="000000"/>
          <w:sz w:val="24"/>
          <w:szCs w:val="24"/>
          <w:lang w:eastAsia="zh-CN"/>
        </w:rPr>
        <w:t>8</w:t>
      </w:r>
      <w:r w:rsidRPr="00F40C5B">
        <w:rPr>
          <w:rFonts w:ascii="Times New Roman" w:eastAsiaTheme="minorEastAsia" w:hAnsi="Times New Roman" w:hint="eastAsia"/>
          <w:b/>
          <w:bCs/>
          <w:color w:val="000000"/>
          <w:sz w:val="24"/>
          <w:szCs w:val="24"/>
          <w:lang w:eastAsia="zh-CN"/>
        </w:rPr>
        <w:t>日</w:t>
      </w:r>
      <w:r w:rsidRPr="000613C0">
        <w:rPr>
          <w:rFonts w:ascii="Times New Roman" w:eastAsiaTheme="minorEastAsia" w:hAnsi="Times New Roman" w:hint="eastAsia"/>
          <w:color w:val="000000"/>
          <w:sz w:val="24"/>
          <w:szCs w:val="24"/>
          <w:lang w:eastAsia="zh-CN"/>
        </w:rPr>
        <w:t>之前将贵主管部门的意见提交无线电通信局，以便在计划于</w:t>
      </w:r>
      <w:r w:rsidRPr="000613C0">
        <w:rPr>
          <w:rFonts w:ascii="Times New Roman" w:eastAsiaTheme="minorEastAsia" w:hAnsi="Times New Roman" w:hint="eastAsia"/>
          <w:color w:val="000000"/>
          <w:sz w:val="24"/>
          <w:szCs w:val="24"/>
          <w:lang w:eastAsia="zh-CN"/>
        </w:rPr>
        <w:t>201</w:t>
      </w:r>
      <w:r w:rsidR="007C690F">
        <w:rPr>
          <w:rFonts w:ascii="Times New Roman" w:eastAsiaTheme="minorEastAsia" w:hAnsi="Times New Roman" w:hint="eastAsia"/>
          <w:color w:val="000000"/>
          <w:sz w:val="24"/>
          <w:szCs w:val="24"/>
          <w:lang w:eastAsia="zh-CN"/>
        </w:rPr>
        <w:t>3</w:t>
      </w:r>
      <w:r w:rsidRPr="000613C0">
        <w:rPr>
          <w:rFonts w:ascii="Times New Roman" w:eastAsiaTheme="minorEastAsia" w:hAnsi="Times New Roman" w:hint="eastAsia"/>
          <w:color w:val="000000"/>
          <w:sz w:val="24"/>
          <w:szCs w:val="24"/>
          <w:lang w:eastAsia="zh-CN"/>
        </w:rPr>
        <w:t>年</w:t>
      </w:r>
      <w:r w:rsidR="007C690F">
        <w:rPr>
          <w:rFonts w:ascii="Times New Roman" w:eastAsiaTheme="minorEastAsia" w:hAnsi="Times New Roman" w:hint="eastAsia"/>
          <w:color w:val="000000"/>
          <w:sz w:val="24"/>
          <w:szCs w:val="24"/>
          <w:lang w:eastAsia="zh-CN"/>
        </w:rPr>
        <w:t>3</w:t>
      </w:r>
      <w:r w:rsidRPr="000613C0">
        <w:rPr>
          <w:rFonts w:ascii="Times New Roman" w:eastAsiaTheme="minorEastAsia" w:hAnsi="Times New Roman" w:hint="eastAsia"/>
          <w:color w:val="000000"/>
          <w:sz w:val="24"/>
          <w:szCs w:val="24"/>
          <w:lang w:eastAsia="zh-CN"/>
        </w:rPr>
        <w:t>月</w:t>
      </w:r>
      <w:r w:rsidRPr="000613C0">
        <w:rPr>
          <w:rFonts w:ascii="Times New Roman" w:eastAsiaTheme="minorEastAsia" w:hAnsi="Times New Roman" w:hint="eastAsia"/>
          <w:color w:val="000000"/>
          <w:sz w:val="24"/>
          <w:szCs w:val="24"/>
          <w:lang w:eastAsia="zh-CN"/>
        </w:rPr>
        <w:t>1</w:t>
      </w:r>
      <w:r w:rsidR="007C690F">
        <w:rPr>
          <w:rFonts w:ascii="Times New Roman" w:eastAsiaTheme="minorEastAsia" w:hAnsi="Times New Roman" w:hint="eastAsia"/>
          <w:color w:val="000000"/>
          <w:sz w:val="24"/>
          <w:szCs w:val="24"/>
          <w:lang w:eastAsia="zh-CN"/>
        </w:rPr>
        <w:t>8</w:t>
      </w:r>
      <w:r w:rsidRPr="000613C0">
        <w:rPr>
          <w:rFonts w:ascii="Times New Roman" w:eastAsiaTheme="minorEastAsia" w:hAnsi="Times New Roman" w:hint="eastAsia"/>
          <w:color w:val="000000"/>
          <w:sz w:val="24"/>
          <w:szCs w:val="24"/>
          <w:lang w:eastAsia="zh-CN"/>
        </w:rPr>
        <w:t>-</w:t>
      </w:r>
      <w:r w:rsidR="007C690F">
        <w:rPr>
          <w:rFonts w:ascii="Times New Roman" w:eastAsiaTheme="minorEastAsia" w:hAnsi="Times New Roman" w:hint="eastAsia"/>
          <w:color w:val="000000"/>
          <w:sz w:val="24"/>
          <w:szCs w:val="24"/>
          <w:lang w:eastAsia="zh-CN"/>
        </w:rPr>
        <w:t>22</w:t>
      </w:r>
      <w:r w:rsidRPr="000613C0">
        <w:rPr>
          <w:rFonts w:ascii="Times New Roman" w:eastAsiaTheme="minorEastAsia" w:hAnsi="Times New Roman" w:hint="eastAsia"/>
          <w:color w:val="000000"/>
          <w:sz w:val="24"/>
          <w:szCs w:val="24"/>
          <w:lang w:eastAsia="zh-CN"/>
        </w:rPr>
        <w:t>日召开的无线电规则委员会第</w:t>
      </w:r>
      <w:r w:rsidR="00523B20">
        <w:rPr>
          <w:rFonts w:ascii="Times New Roman" w:eastAsiaTheme="minorEastAsia" w:hAnsi="Times New Roman" w:hint="eastAsia"/>
          <w:color w:val="000000"/>
          <w:sz w:val="24"/>
          <w:szCs w:val="24"/>
          <w:lang w:eastAsia="zh-CN"/>
        </w:rPr>
        <w:t>6</w:t>
      </w:r>
      <w:r w:rsidR="007C690F">
        <w:rPr>
          <w:rFonts w:ascii="Times New Roman" w:eastAsiaTheme="minorEastAsia" w:hAnsi="Times New Roman" w:hint="eastAsia"/>
          <w:color w:val="000000"/>
          <w:sz w:val="24"/>
          <w:szCs w:val="24"/>
          <w:lang w:eastAsia="zh-CN"/>
        </w:rPr>
        <w:t>2</w:t>
      </w:r>
      <w:r w:rsidRPr="000613C0">
        <w:rPr>
          <w:rFonts w:ascii="Times New Roman" w:eastAsiaTheme="minorEastAsia" w:hAnsi="Times New Roman" w:hint="eastAsia"/>
          <w:color w:val="000000"/>
          <w:sz w:val="24"/>
          <w:szCs w:val="24"/>
          <w:lang w:eastAsia="zh-CN"/>
        </w:rPr>
        <w:t>次会议上进行审议。所有通过电子邮件提交的意见均请发至</w:t>
      </w:r>
      <w:r w:rsidRPr="00F40C5B">
        <w:rPr>
          <w:rFonts w:asciiTheme="majorBidi" w:eastAsiaTheme="minorEastAsia" w:hAnsiTheme="majorBidi" w:cstheme="majorBidi" w:hint="eastAsia"/>
          <w:color w:val="000000"/>
          <w:sz w:val="24"/>
          <w:szCs w:val="24"/>
          <w:lang w:eastAsia="zh-CN"/>
        </w:rPr>
        <w:t>：</w:t>
      </w:r>
      <w:hyperlink r:id="rId10" w:history="1">
        <w:r w:rsidRPr="00F40C5B">
          <w:rPr>
            <w:rStyle w:val="Hyperlink"/>
            <w:rFonts w:asciiTheme="majorBidi" w:hAnsiTheme="majorBidi" w:cstheme="majorBidi"/>
            <w:sz w:val="24"/>
            <w:szCs w:val="24"/>
            <w:lang w:eastAsia="zh-CN"/>
          </w:rPr>
          <w:t>brmail@itu.int</w:t>
        </w:r>
      </w:hyperlink>
      <w:r w:rsidRPr="000613C0">
        <w:rPr>
          <w:rFonts w:ascii="Times New Roman" w:eastAsiaTheme="minorEastAsia" w:hAnsi="Times New Roman" w:hint="eastAsia"/>
          <w:color w:val="000000"/>
          <w:sz w:val="24"/>
          <w:szCs w:val="24"/>
          <w:lang w:eastAsia="zh-CN"/>
        </w:rPr>
        <w:t>。</w:t>
      </w:r>
    </w:p>
    <w:p w:rsidR="00A16D8E" w:rsidRDefault="00A16D8E" w:rsidP="0003598B">
      <w:pPr>
        <w:pStyle w:val="hfbc-2"/>
        <w:spacing w:before="120"/>
        <w:ind w:firstLineChars="200" w:firstLine="480"/>
        <w:rPr>
          <w:rFonts w:ascii="Times New Roman" w:eastAsiaTheme="minorEastAsia" w:hAnsi="Times New Roman"/>
          <w:color w:val="000000"/>
          <w:sz w:val="24"/>
          <w:szCs w:val="24"/>
          <w:lang w:eastAsia="zh-CN"/>
        </w:rPr>
      </w:pPr>
    </w:p>
    <w:p w:rsidR="000613C0" w:rsidRPr="000613C0" w:rsidRDefault="000613C0" w:rsidP="0003598B">
      <w:pPr>
        <w:pStyle w:val="hfbc-2"/>
        <w:ind w:firstLineChars="200" w:firstLine="480"/>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顺致敬意，</w:t>
      </w:r>
    </w:p>
    <w:p w:rsidR="000613C0" w:rsidRPr="000613C0" w:rsidRDefault="000613C0" w:rsidP="0003598B">
      <w:pPr>
        <w:pStyle w:val="hfbc-2"/>
        <w:ind w:firstLineChars="200" w:firstLine="480"/>
        <w:rPr>
          <w:rFonts w:ascii="Times New Roman" w:eastAsiaTheme="minorEastAsia" w:hAnsi="Times New Roman"/>
          <w:color w:val="000000"/>
          <w:sz w:val="24"/>
          <w:szCs w:val="24"/>
          <w:lang w:eastAsia="zh-CN"/>
        </w:rPr>
      </w:pPr>
    </w:p>
    <w:p w:rsidR="000613C0" w:rsidRPr="000613C0" w:rsidRDefault="000613C0" w:rsidP="0003598B">
      <w:pPr>
        <w:pStyle w:val="hfbc-2"/>
        <w:ind w:left="720" w:firstLineChars="200" w:firstLine="480"/>
        <w:jc w:val="left"/>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ab/>
      </w:r>
      <w:r w:rsidRPr="000613C0">
        <w:rPr>
          <w:rFonts w:ascii="Times New Roman" w:eastAsiaTheme="minorEastAsia" w:hAnsi="Times New Roman" w:hint="eastAsia"/>
          <w:color w:val="000000"/>
          <w:sz w:val="24"/>
          <w:szCs w:val="24"/>
          <w:lang w:eastAsia="zh-CN"/>
        </w:rPr>
        <w:t>无线电通信局主任</w:t>
      </w:r>
      <w:r w:rsidR="00EC1E6B">
        <w:rPr>
          <w:rFonts w:ascii="Times New Roman" w:eastAsiaTheme="minorEastAsia" w:hAnsi="Times New Roman"/>
          <w:color w:val="000000"/>
          <w:sz w:val="24"/>
          <w:szCs w:val="24"/>
          <w:lang w:eastAsia="zh-CN"/>
        </w:rPr>
        <w:br/>
      </w:r>
      <w:r w:rsidR="00EC1E6B">
        <w:rPr>
          <w:rFonts w:ascii="Times New Roman" w:eastAsiaTheme="minorEastAsia" w:hAnsi="Times New Roman" w:hint="eastAsia"/>
          <w:color w:val="000000"/>
          <w:sz w:val="24"/>
          <w:szCs w:val="24"/>
          <w:lang w:eastAsia="zh-CN"/>
        </w:rPr>
        <w:tab/>
      </w:r>
      <w:r w:rsidR="00EC1E6B">
        <w:rPr>
          <w:rFonts w:ascii="Times New Roman" w:eastAsiaTheme="minorEastAsia" w:hAnsi="Times New Roman" w:hint="eastAsia"/>
          <w:color w:val="000000"/>
          <w:sz w:val="24"/>
          <w:szCs w:val="24"/>
          <w:lang w:eastAsia="zh-CN"/>
        </w:rPr>
        <w:tab/>
        <w:t xml:space="preserve">   </w:t>
      </w:r>
      <w:r w:rsidR="00EC1E6B" w:rsidRPr="000613C0">
        <w:rPr>
          <w:rFonts w:ascii="Times New Roman" w:eastAsiaTheme="minorEastAsia" w:hAnsi="Times New Roman" w:hint="eastAsia"/>
          <w:color w:val="000000"/>
          <w:sz w:val="24"/>
          <w:szCs w:val="24"/>
          <w:lang w:eastAsia="zh-CN"/>
        </w:rPr>
        <w:t>弗朗索瓦</w:t>
      </w:r>
      <w:r w:rsidR="00EC1E6B" w:rsidRPr="00954408">
        <w:rPr>
          <w:rFonts w:ascii="Times New Roman" w:eastAsia="SimSun" w:hAnsi="Times New Roman"/>
          <w:color w:val="000000"/>
          <w:sz w:val="24"/>
          <w:szCs w:val="24"/>
          <w:lang w:eastAsia="zh-CN"/>
        </w:rPr>
        <w:t>•</w:t>
      </w:r>
      <w:r w:rsidR="00EC1E6B" w:rsidRPr="000613C0">
        <w:rPr>
          <w:rFonts w:ascii="Times New Roman" w:eastAsiaTheme="minorEastAsia" w:hAnsi="Times New Roman" w:hint="eastAsia"/>
          <w:color w:val="000000"/>
          <w:sz w:val="24"/>
          <w:szCs w:val="24"/>
          <w:lang w:eastAsia="zh-CN"/>
        </w:rPr>
        <w:t>朗西</w:t>
      </w:r>
    </w:p>
    <w:p w:rsidR="00320EC2" w:rsidRDefault="00320EC2" w:rsidP="0003598B">
      <w:pPr>
        <w:rPr>
          <w:lang w:eastAsia="zh-CN"/>
        </w:rPr>
      </w:pPr>
      <w:r w:rsidRPr="00320EC2">
        <w:rPr>
          <w:rFonts w:hint="eastAsia"/>
          <w:b/>
          <w:bCs/>
          <w:lang w:eastAsia="zh-CN"/>
        </w:rPr>
        <w:t>附件：</w:t>
      </w:r>
      <w:r w:rsidR="0011225F">
        <w:rPr>
          <w:rFonts w:hint="eastAsia"/>
          <w:lang w:eastAsia="zh-CN"/>
        </w:rPr>
        <w:t>1</w:t>
      </w:r>
      <w:r w:rsidR="0011225F">
        <w:rPr>
          <w:rFonts w:hint="eastAsia"/>
          <w:lang w:eastAsia="zh-CN"/>
        </w:rPr>
        <w:t>件</w:t>
      </w:r>
    </w:p>
    <w:p w:rsidR="00320EC2" w:rsidRPr="00320EC2" w:rsidRDefault="00320EC2" w:rsidP="0003598B">
      <w:pPr>
        <w:tabs>
          <w:tab w:val="left" w:pos="284"/>
          <w:tab w:val="left" w:pos="568"/>
        </w:tabs>
        <w:spacing w:after="80"/>
        <w:ind w:right="-284"/>
        <w:rPr>
          <w:rFonts w:ascii="SimSun"/>
          <w:b/>
          <w:bCs/>
          <w:sz w:val="18"/>
          <w:szCs w:val="18"/>
          <w:lang w:eastAsia="zh-CN"/>
        </w:rPr>
      </w:pPr>
      <w:r w:rsidRPr="00320EC2">
        <w:rPr>
          <w:rFonts w:ascii="SimSun" w:hAnsi="SimSun" w:hint="eastAsia"/>
          <w:b/>
          <w:bCs/>
          <w:sz w:val="18"/>
          <w:szCs w:val="18"/>
          <w:lang w:eastAsia="zh-CN"/>
        </w:rPr>
        <w:t>分发：</w:t>
      </w:r>
    </w:p>
    <w:p w:rsidR="00320EC2" w:rsidRPr="00320EC2" w:rsidRDefault="00434C4B" w:rsidP="0003598B">
      <w:pPr>
        <w:tabs>
          <w:tab w:val="clear" w:pos="794"/>
          <w:tab w:val="left" w:pos="284"/>
        </w:tabs>
        <w:spacing w:before="80"/>
        <w:rPr>
          <w:sz w:val="18"/>
          <w:szCs w:val="18"/>
          <w:lang w:eastAsia="zh-CN"/>
        </w:rPr>
      </w:pPr>
      <w:r w:rsidRPr="00A45DFE">
        <w:rPr>
          <w:sz w:val="16"/>
          <w:szCs w:val="16"/>
          <w:lang w:eastAsia="zh-CN"/>
        </w:rPr>
        <w:t>–</w:t>
      </w:r>
      <w:r>
        <w:rPr>
          <w:rFonts w:hint="eastAsia"/>
          <w:sz w:val="16"/>
          <w:szCs w:val="16"/>
          <w:lang w:eastAsia="zh-CN"/>
        </w:rPr>
        <w:tab/>
      </w:r>
      <w:r w:rsidR="00320EC2" w:rsidRPr="00320EC2">
        <w:rPr>
          <w:rFonts w:hint="eastAsia"/>
          <w:sz w:val="18"/>
          <w:szCs w:val="18"/>
          <w:lang w:eastAsia="zh-CN"/>
        </w:rPr>
        <w:t>国际电联各成员国主管部门</w:t>
      </w:r>
    </w:p>
    <w:p w:rsidR="00320EC2" w:rsidRDefault="00434C4B" w:rsidP="0003598B">
      <w:pPr>
        <w:tabs>
          <w:tab w:val="clear" w:pos="794"/>
          <w:tab w:val="left" w:pos="284"/>
        </w:tabs>
        <w:spacing w:before="0"/>
        <w:rPr>
          <w:sz w:val="18"/>
          <w:szCs w:val="18"/>
          <w:lang w:eastAsia="zh-CN"/>
        </w:rPr>
      </w:pPr>
      <w:r w:rsidRPr="00A45DFE">
        <w:rPr>
          <w:sz w:val="16"/>
          <w:szCs w:val="16"/>
          <w:lang w:eastAsia="zh-CN"/>
        </w:rPr>
        <w:t>–</w:t>
      </w:r>
      <w:r>
        <w:rPr>
          <w:rFonts w:hint="eastAsia"/>
          <w:sz w:val="16"/>
          <w:szCs w:val="16"/>
          <w:lang w:eastAsia="zh-CN"/>
        </w:rPr>
        <w:tab/>
      </w:r>
      <w:r w:rsidR="00320EC2" w:rsidRPr="00320EC2">
        <w:rPr>
          <w:rFonts w:hint="eastAsia"/>
          <w:sz w:val="18"/>
          <w:szCs w:val="18"/>
          <w:lang w:eastAsia="zh-CN"/>
        </w:rPr>
        <w:t>无线电规则委员会委员</w:t>
      </w:r>
    </w:p>
    <w:p w:rsidR="00320EC2" w:rsidRPr="00320EC2" w:rsidRDefault="00434C4B" w:rsidP="0003598B">
      <w:pPr>
        <w:tabs>
          <w:tab w:val="clear" w:pos="794"/>
          <w:tab w:val="left" w:pos="284"/>
        </w:tabs>
        <w:spacing w:before="0"/>
        <w:rPr>
          <w:sz w:val="18"/>
          <w:szCs w:val="18"/>
          <w:lang w:eastAsia="zh-CN"/>
        </w:rPr>
      </w:pPr>
      <w:r w:rsidRPr="00A45DFE">
        <w:rPr>
          <w:sz w:val="16"/>
          <w:szCs w:val="16"/>
          <w:lang w:eastAsia="zh-CN"/>
        </w:rPr>
        <w:t>–</w:t>
      </w:r>
      <w:r>
        <w:rPr>
          <w:rFonts w:hint="eastAsia"/>
          <w:sz w:val="16"/>
          <w:szCs w:val="16"/>
          <w:lang w:eastAsia="zh-CN"/>
        </w:rPr>
        <w:tab/>
      </w:r>
      <w:r w:rsidR="00320EC2" w:rsidRPr="00320EC2">
        <w:rPr>
          <w:rFonts w:hint="eastAsia"/>
          <w:sz w:val="18"/>
          <w:szCs w:val="18"/>
          <w:lang w:eastAsia="zh-CN"/>
        </w:rPr>
        <w:t>无线电通信局主任和各部门负责人</w:t>
      </w:r>
    </w:p>
    <w:p w:rsidR="00D3634D" w:rsidRPr="00D3634D" w:rsidRDefault="00063ED2" w:rsidP="00B6172A">
      <w:pPr>
        <w:pStyle w:val="AnnexNotitle"/>
        <w:rPr>
          <w:rFonts w:eastAsiaTheme="minorEastAsia"/>
          <w:lang w:val="en-US" w:eastAsia="zh-CN"/>
        </w:rPr>
      </w:pPr>
      <w:r>
        <w:rPr>
          <w:lang w:eastAsia="zh-CN"/>
        </w:rPr>
        <w:br w:type="page"/>
      </w:r>
      <w:r w:rsidR="00D3634D" w:rsidRPr="00A16D8E">
        <w:rPr>
          <w:rFonts w:hint="eastAsia"/>
          <w:lang w:eastAsia="zh-CN"/>
        </w:rPr>
        <w:lastRenderedPageBreak/>
        <w:t>附件</w:t>
      </w:r>
      <w:r w:rsidR="00D3634D">
        <w:rPr>
          <w:rFonts w:hint="eastAsia"/>
          <w:lang w:eastAsia="zh-CN"/>
        </w:rPr>
        <w:t>一</w:t>
      </w:r>
    </w:p>
    <w:p w:rsidR="00D3634D" w:rsidRPr="000F6261" w:rsidRDefault="00154520" w:rsidP="00B6172A">
      <w:pPr>
        <w:pStyle w:val="AnnexTitle"/>
        <w:rPr>
          <w:lang w:eastAsia="zh-CN"/>
        </w:rPr>
      </w:pPr>
      <w:r>
        <w:rPr>
          <w:rFonts w:hint="eastAsia"/>
          <w:lang w:eastAsia="zh-CN"/>
        </w:rPr>
        <w:t>关于《无线电规则》第</w:t>
      </w:r>
      <w:r w:rsidR="00D3634D">
        <w:rPr>
          <w:lang w:eastAsia="zh-CN"/>
        </w:rPr>
        <w:t>9</w:t>
      </w:r>
      <w:r>
        <w:rPr>
          <w:rFonts w:hint="eastAsia"/>
          <w:lang w:eastAsia="zh-CN"/>
        </w:rPr>
        <w:t>条的程序规则</w:t>
      </w:r>
      <w:r w:rsidR="00D3634D">
        <w:rPr>
          <w:rStyle w:val="FootnoteReference"/>
          <w:szCs w:val="24"/>
        </w:rPr>
        <w:footnoteReference w:id="1"/>
      </w:r>
    </w:p>
    <w:p w:rsidR="00A8165B" w:rsidRDefault="00A8165B" w:rsidP="00A8165B">
      <w:pPr>
        <w:pStyle w:val="AnnexTitle"/>
        <w:jc w:val="left"/>
        <w:rPr>
          <w:rFonts w:hAnsi="Times New Roman Bold"/>
          <w:bCs/>
          <w:lang w:val="en-US" w:eastAsia="zh-CN"/>
        </w:rPr>
      </w:pPr>
      <w:r w:rsidRPr="00D94D61">
        <w:rPr>
          <w:szCs w:val="24"/>
          <w:lang w:eastAsia="zh-CN"/>
        </w:rPr>
        <w:t>ADD</w:t>
      </w:r>
    </w:p>
    <w:p w:rsidR="00D3634D" w:rsidRDefault="00351713" w:rsidP="00C14C30">
      <w:pPr>
        <w:pStyle w:val="AnnexTitle"/>
        <w:rPr>
          <w:rFonts w:hAnsi="Times New Roman Bold"/>
          <w:bCs/>
          <w:lang w:val="en-US" w:eastAsia="zh-CN"/>
        </w:rPr>
      </w:pPr>
      <w:r>
        <w:rPr>
          <w:rFonts w:hAnsi="Times New Roman Bold" w:hint="eastAsia"/>
          <w:bCs/>
          <w:lang w:val="en-US" w:eastAsia="zh-CN"/>
        </w:rPr>
        <w:t>根据理事会第</w:t>
      </w:r>
      <w:r>
        <w:rPr>
          <w:rFonts w:hAnsi="Times New Roman Bold"/>
          <w:bCs/>
          <w:lang w:val="en-US" w:eastAsia="zh-CN"/>
        </w:rPr>
        <w:t>482</w:t>
      </w:r>
      <w:r>
        <w:rPr>
          <w:rFonts w:hAnsi="Times New Roman Bold" w:hint="eastAsia"/>
          <w:bCs/>
          <w:lang w:val="en-US" w:eastAsia="zh-CN"/>
        </w:rPr>
        <w:t>号决定关于</w:t>
      </w:r>
      <w:r w:rsidR="00355240">
        <w:rPr>
          <w:rFonts w:hAnsi="Times New Roman Bold" w:hint="eastAsia"/>
          <w:bCs/>
          <w:lang w:val="en-US" w:eastAsia="zh-CN"/>
        </w:rPr>
        <w:t>延期</w:t>
      </w:r>
      <w:r w:rsidR="00B374A2">
        <w:rPr>
          <w:rFonts w:hAnsi="Times New Roman Bold" w:hint="eastAsia"/>
          <w:bCs/>
          <w:lang w:val="en-US" w:eastAsia="zh-CN"/>
        </w:rPr>
        <w:t>支付</w:t>
      </w:r>
      <w:r>
        <w:rPr>
          <w:rFonts w:hAnsi="Times New Roman Bold" w:hint="eastAsia"/>
          <w:bCs/>
          <w:lang w:val="en-US" w:eastAsia="zh-CN"/>
        </w:rPr>
        <w:t>成本回收费用</w:t>
      </w:r>
      <w:r w:rsidR="00BB0DD2">
        <w:rPr>
          <w:rFonts w:hAnsi="Times New Roman Bold" w:hint="eastAsia"/>
          <w:bCs/>
          <w:lang w:val="en-US" w:eastAsia="zh-CN"/>
        </w:rPr>
        <w:t>和</w:t>
      </w:r>
      <w:r>
        <w:rPr>
          <w:rFonts w:hAnsi="Times New Roman Bold" w:hint="eastAsia"/>
          <w:bCs/>
          <w:lang w:val="en-US" w:eastAsia="zh-CN"/>
        </w:rPr>
        <w:t>因</w:t>
      </w:r>
      <w:r w:rsidR="00BB0DD2">
        <w:rPr>
          <w:rFonts w:hAnsi="Times New Roman Bold" w:hint="eastAsia"/>
          <w:bCs/>
          <w:lang w:val="en-US" w:eastAsia="zh-CN"/>
        </w:rPr>
        <w:t>未支付</w:t>
      </w:r>
      <w:r w:rsidR="00B374A2">
        <w:rPr>
          <w:rFonts w:hAnsi="Times New Roman Bold" w:hint="eastAsia"/>
          <w:bCs/>
          <w:lang w:val="en-US" w:eastAsia="zh-CN"/>
        </w:rPr>
        <w:t>成本回收费用</w:t>
      </w:r>
      <w:r w:rsidR="00C14C30">
        <w:rPr>
          <w:rFonts w:hAnsi="Times New Roman Bold"/>
          <w:bCs/>
          <w:lang w:val="en-US" w:eastAsia="zh-CN"/>
        </w:rPr>
        <w:br/>
      </w:r>
      <w:r w:rsidR="00355240">
        <w:rPr>
          <w:rFonts w:hAnsi="Times New Roman Bold" w:hint="eastAsia"/>
          <w:bCs/>
          <w:lang w:val="en-US" w:eastAsia="zh-CN"/>
        </w:rPr>
        <w:t>而</w:t>
      </w:r>
      <w:r w:rsidR="00B374A2">
        <w:rPr>
          <w:rFonts w:hAnsi="Times New Roman Bold" w:hint="eastAsia"/>
          <w:bCs/>
          <w:lang w:val="en-US" w:eastAsia="zh-CN"/>
        </w:rPr>
        <w:t>取消卫星网络申报的程序规则</w:t>
      </w:r>
    </w:p>
    <w:p w:rsidR="00D3634D" w:rsidRDefault="00D3634D" w:rsidP="0003598B">
      <w:pPr>
        <w:keepNext/>
        <w:keepLines/>
        <w:spacing w:before="360"/>
        <w:ind w:left="794" w:hanging="794"/>
        <w:jc w:val="center"/>
        <w:outlineLvl w:val="0"/>
        <w:rPr>
          <w:rFonts w:hAnsi="Times New Roman Bold"/>
          <w:b/>
          <w:bCs/>
          <w:lang w:val="en-US" w:eastAsia="zh-CN"/>
        </w:rPr>
      </w:pPr>
    </w:p>
    <w:p w:rsidR="00BA2E9F" w:rsidRDefault="00BA2E9F" w:rsidP="00351713">
      <w:pPr>
        <w:rPr>
          <w:lang w:eastAsia="zh-CN"/>
        </w:rPr>
      </w:pPr>
      <w:r>
        <w:rPr>
          <w:rFonts w:hint="eastAsia"/>
          <w:lang w:eastAsia="zh-CN"/>
        </w:rPr>
        <w:t>1</w:t>
      </w:r>
      <w:r>
        <w:rPr>
          <w:rFonts w:hint="eastAsia"/>
          <w:lang w:eastAsia="zh-CN"/>
        </w:rPr>
        <w:tab/>
      </w:r>
      <w:r>
        <w:rPr>
          <w:rFonts w:hint="eastAsia"/>
          <w:lang w:eastAsia="zh-CN"/>
        </w:rPr>
        <w:t>第</w:t>
      </w:r>
      <w:r>
        <w:rPr>
          <w:rFonts w:hint="eastAsia"/>
          <w:lang w:eastAsia="zh-CN"/>
        </w:rPr>
        <w:t>9</w:t>
      </w:r>
      <w:r>
        <w:rPr>
          <w:rFonts w:hint="eastAsia"/>
          <w:lang w:eastAsia="zh-CN"/>
        </w:rPr>
        <w:t>条第</w:t>
      </w:r>
      <w:r>
        <w:rPr>
          <w:rFonts w:hint="eastAsia"/>
          <w:lang w:eastAsia="zh-CN"/>
        </w:rPr>
        <w:t>9.2B.1</w:t>
      </w:r>
      <w:r>
        <w:rPr>
          <w:rFonts w:hint="eastAsia"/>
          <w:lang w:eastAsia="zh-CN"/>
        </w:rPr>
        <w:t>和</w:t>
      </w:r>
      <w:r>
        <w:rPr>
          <w:rFonts w:hint="eastAsia"/>
          <w:lang w:eastAsia="zh-CN"/>
        </w:rPr>
        <w:t>9.38.1</w:t>
      </w:r>
      <w:r>
        <w:rPr>
          <w:rFonts w:hint="eastAsia"/>
          <w:lang w:eastAsia="zh-CN"/>
        </w:rPr>
        <w:t>款、第</w:t>
      </w:r>
      <w:r>
        <w:rPr>
          <w:rFonts w:hint="eastAsia"/>
          <w:lang w:eastAsia="zh-CN"/>
        </w:rPr>
        <w:t>11</w:t>
      </w:r>
      <w:r>
        <w:rPr>
          <w:rFonts w:hint="eastAsia"/>
          <w:lang w:eastAsia="zh-CN"/>
        </w:rPr>
        <w:t>条</w:t>
      </w:r>
      <w:r>
        <w:rPr>
          <w:rFonts w:hint="eastAsia"/>
          <w:lang w:eastAsia="zh-CN"/>
        </w:rPr>
        <w:t>A.11.6</w:t>
      </w:r>
      <w:r>
        <w:rPr>
          <w:rFonts w:hint="eastAsia"/>
          <w:lang w:eastAsia="zh-CN"/>
        </w:rPr>
        <w:t>款</w:t>
      </w:r>
      <w:r w:rsidR="00AF5320">
        <w:rPr>
          <w:rFonts w:hint="eastAsia"/>
          <w:lang w:eastAsia="zh-CN"/>
        </w:rPr>
        <w:t>、第</w:t>
      </w:r>
      <w:r w:rsidR="00AF5320">
        <w:rPr>
          <w:rFonts w:hint="eastAsia"/>
          <w:lang w:eastAsia="zh-CN"/>
        </w:rPr>
        <w:t>4.1.5</w:t>
      </w:r>
      <w:r w:rsidR="00AF5320">
        <w:rPr>
          <w:rFonts w:hint="eastAsia"/>
          <w:lang w:eastAsia="zh-CN"/>
        </w:rPr>
        <w:t>段脚注</w:t>
      </w:r>
      <w:r w:rsidR="00AF5320">
        <w:rPr>
          <w:rFonts w:hint="eastAsia"/>
          <w:lang w:eastAsia="zh-CN"/>
        </w:rPr>
        <w:t>7</w:t>
      </w:r>
      <w:r w:rsidR="00AF5320">
        <w:rPr>
          <w:rFonts w:hint="eastAsia"/>
          <w:lang w:eastAsia="zh-CN"/>
        </w:rPr>
        <w:t>、第</w:t>
      </w:r>
      <w:r w:rsidR="00AF5320">
        <w:rPr>
          <w:rFonts w:hint="eastAsia"/>
          <w:lang w:eastAsia="zh-CN"/>
        </w:rPr>
        <w:t>4.1.15</w:t>
      </w:r>
      <w:r w:rsidR="00AF5320">
        <w:rPr>
          <w:rFonts w:hint="eastAsia"/>
          <w:lang w:eastAsia="zh-CN"/>
        </w:rPr>
        <w:t>段脚注</w:t>
      </w:r>
      <w:r w:rsidR="00AF5320">
        <w:rPr>
          <w:rFonts w:hint="eastAsia"/>
          <w:lang w:eastAsia="zh-CN"/>
        </w:rPr>
        <w:t>8</w:t>
      </w:r>
      <w:r w:rsidR="00AF5320">
        <w:rPr>
          <w:rFonts w:hint="eastAsia"/>
          <w:lang w:eastAsia="zh-CN"/>
        </w:rPr>
        <w:t>、</w:t>
      </w:r>
      <w:r w:rsidR="00C14C30">
        <w:rPr>
          <w:lang w:eastAsia="zh-CN"/>
        </w:rPr>
        <w:br/>
      </w:r>
      <w:r w:rsidR="00AF5320">
        <w:rPr>
          <w:rFonts w:hint="eastAsia"/>
          <w:lang w:eastAsia="zh-CN"/>
        </w:rPr>
        <w:t>第</w:t>
      </w:r>
      <w:r w:rsidR="00AF5320">
        <w:rPr>
          <w:rFonts w:hint="eastAsia"/>
          <w:lang w:eastAsia="zh-CN"/>
        </w:rPr>
        <w:t>4.2.8</w:t>
      </w:r>
      <w:r w:rsidR="00AF5320">
        <w:rPr>
          <w:rFonts w:hint="eastAsia"/>
          <w:lang w:eastAsia="zh-CN"/>
        </w:rPr>
        <w:t>段脚注</w:t>
      </w:r>
      <w:r w:rsidR="00AF5320">
        <w:rPr>
          <w:rFonts w:hint="eastAsia"/>
          <w:lang w:eastAsia="zh-CN"/>
        </w:rPr>
        <w:t>16</w:t>
      </w:r>
      <w:r w:rsidR="00AF5320">
        <w:rPr>
          <w:rFonts w:hint="eastAsia"/>
          <w:lang w:eastAsia="zh-CN"/>
        </w:rPr>
        <w:t>、第</w:t>
      </w:r>
      <w:r w:rsidR="00AF5320">
        <w:rPr>
          <w:rFonts w:hint="eastAsia"/>
          <w:lang w:eastAsia="zh-CN"/>
        </w:rPr>
        <w:t>4.2.19</w:t>
      </w:r>
      <w:r w:rsidR="00AF5320">
        <w:rPr>
          <w:rFonts w:hint="eastAsia"/>
          <w:lang w:eastAsia="zh-CN"/>
        </w:rPr>
        <w:t>段脚注</w:t>
      </w:r>
      <w:r w:rsidR="00AF5320">
        <w:rPr>
          <w:rFonts w:hint="eastAsia"/>
          <w:lang w:eastAsia="zh-CN"/>
        </w:rPr>
        <w:t>17</w:t>
      </w:r>
      <w:r w:rsidR="00AF5320">
        <w:rPr>
          <w:rFonts w:hint="eastAsia"/>
          <w:lang w:eastAsia="zh-CN"/>
        </w:rPr>
        <w:t>、第</w:t>
      </w:r>
      <w:r w:rsidR="00AF5320">
        <w:rPr>
          <w:rFonts w:hint="eastAsia"/>
          <w:lang w:eastAsia="zh-CN"/>
        </w:rPr>
        <w:t>5</w:t>
      </w:r>
      <w:r w:rsidR="00AF5320">
        <w:rPr>
          <w:rFonts w:hint="eastAsia"/>
          <w:lang w:eastAsia="zh-CN"/>
        </w:rPr>
        <w:t>条标题及附录</w:t>
      </w:r>
      <w:r w:rsidR="00AF5320">
        <w:rPr>
          <w:rFonts w:hint="eastAsia"/>
          <w:lang w:eastAsia="zh-CN"/>
        </w:rPr>
        <w:t>30</w:t>
      </w:r>
      <w:r w:rsidR="00AF5320">
        <w:rPr>
          <w:rFonts w:hint="eastAsia"/>
          <w:lang w:eastAsia="zh-CN"/>
        </w:rPr>
        <w:t>脚注</w:t>
      </w:r>
      <w:r w:rsidR="00AF5320">
        <w:rPr>
          <w:rFonts w:hint="eastAsia"/>
          <w:lang w:eastAsia="zh-CN"/>
        </w:rPr>
        <w:t>18</w:t>
      </w:r>
      <w:r w:rsidR="00AF5320">
        <w:rPr>
          <w:rFonts w:hint="eastAsia"/>
          <w:lang w:eastAsia="zh-CN"/>
        </w:rPr>
        <w:t>、第</w:t>
      </w:r>
      <w:r w:rsidR="00AF5320">
        <w:rPr>
          <w:rFonts w:hint="eastAsia"/>
          <w:lang w:eastAsia="zh-CN"/>
        </w:rPr>
        <w:t>4.15</w:t>
      </w:r>
      <w:r w:rsidR="00AF5320">
        <w:rPr>
          <w:rFonts w:hint="eastAsia"/>
          <w:lang w:eastAsia="zh-CN"/>
        </w:rPr>
        <w:t>段脚注</w:t>
      </w:r>
      <w:r w:rsidR="00AF5320">
        <w:rPr>
          <w:rFonts w:hint="eastAsia"/>
          <w:lang w:eastAsia="zh-CN"/>
        </w:rPr>
        <w:t>9</w:t>
      </w:r>
      <w:r w:rsidR="00AF5320">
        <w:rPr>
          <w:rFonts w:hint="eastAsia"/>
          <w:lang w:eastAsia="zh-CN"/>
        </w:rPr>
        <w:t>、第</w:t>
      </w:r>
      <w:r w:rsidR="00AF5320">
        <w:rPr>
          <w:rFonts w:hint="eastAsia"/>
          <w:lang w:eastAsia="zh-CN"/>
        </w:rPr>
        <w:t>4.1.15</w:t>
      </w:r>
      <w:r w:rsidR="00AF5320">
        <w:rPr>
          <w:rFonts w:hint="eastAsia"/>
          <w:lang w:eastAsia="zh-CN"/>
        </w:rPr>
        <w:t>段脚注</w:t>
      </w:r>
      <w:r w:rsidR="00AF5320">
        <w:rPr>
          <w:rFonts w:hint="eastAsia"/>
          <w:lang w:eastAsia="zh-CN"/>
        </w:rPr>
        <w:t>10</w:t>
      </w:r>
      <w:r w:rsidR="00AF5320">
        <w:rPr>
          <w:rFonts w:hint="eastAsia"/>
          <w:lang w:eastAsia="zh-CN"/>
        </w:rPr>
        <w:t>、第</w:t>
      </w:r>
      <w:r w:rsidR="00AF5320">
        <w:rPr>
          <w:rFonts w:hint="eastAsia"/>
          <w:lang w:eastAsia="zh-CN"/>
        </w:rPr>
        <w:t>4.2.8</w:t>
      </w:r>
      <w:r w:rsidR="00AF5320">
        <w:rPr>
          <w:rFonts w:hint="eastAsia"/>
          <w:lang w:eastAsia="zh-CN"/>
        </w:rPr>
        <w:t>段脚注</w:t>
      </w:r>
      <w:r w:rsidR="00AF5320">
        <w:rPr>
          <w:rFonts w:hint="eastAsia"/>
          <w:lang w:eastAsia="zh-CN"/>
        </w:rPr>
        <w:t>19</w:t>
      </w:r>
      <w:r w:rsidR="00AF5320">
        <w:rPr>
          <w:rFonts w:hint="eastAsia"/>
          <w:lang w:eastAsia="zh-CN"/>
        </w:rPr>
        <w:t>、第</w:t>
      </w:r>
      <w:r w:rsidR="00AF5320">
        <w:rPr>
          <w:rFonts w:hint="eastAsia"/>
          <w:lang w:eastAsia="zh-CN"/>
        </w:rPr>
        <w:t>4.2.19</w:t>
      </w:r>
      <w:r w:rsidR="00AF5320">
        <w:rPr>
          <w:rFonts w:hint="eastAsia"/>
          <w:lang w:eastAsia="zh-CN"/>
        </w:rPr>
        <w:t>段脚注</w:t>
      </w:r>
      <w:r w:rsidR="00AF5320">
        <w:rPr>
          <w:rFonts w:hint="eastAsia"/>
          <w:lang w:eastAsia="zh-CN"/>
        </w:rPr>
        <w:t>20</w:t>
      </w:r>
      <w:r w:rsidR="00AF5320">
        <w:rPr>
          <w:rFonts w:hint="eastAsia"/>
          <w:lang w:eastAsia="zh-CN"/>
        </w:rPr>
        <w:t>、第</w:t>
      </w:r>
      <w:r w:rsidR="00AF5320">
        <w:rPr>
          <w:rFonts w:hint="eastAsia"/>
          <w:lang w:eastAsia="zh-CN"/>
        </w:rPr>
        <w:t>5</w:t>
      </w:r>
      <w:r w:rsidR="00AF5320">
        <w:rPr>
          <w:rFonts w:hint="eastAsia"/>
          <w:lang w:eastAsia="zh-CN"/>
        </w:rPr>
        <w:t>条和附录</w:t>
      </w:r>
      <w:r w:rsidR="00AF5320">
        <w:rPr>
          <w:rFonts w:hint="eastAsia"/>
          <w:lang w:eastAsia="zh-CN"/>
        </w:rPr>
        <w:t>30A</w:t>
      </w:r>
      <w:r w:rsidR="00AF5320">
        <w:rPr>
          <w:rFonts w:hint="eastAsia"/>
          <w:lang w:eastAsia="zh-CN"/>
        </w:rPr>
        <w:t>脚注</w:t>
      </w:r>
      <w:r w:rsidR="00AF5320">
        <w:rPr>
          <w:rFonts w:hint="eastAsia"/>
          <w:lang w:eastAsia="zh-CN"/>
        </w:rPr>
        <w:t>22</w:t>
      </w:r>
      <w:r w:rsidR="00AF5320">
        <w:rPr>
          <w:rFonts w:hint="eastAsia"/>
          <w:lang w:eastAsia="zh-CN"/>
        </w:rPr>
        <w:t>、第</w:t>
      </w:r>
      <w:r w:rsidR="00AF5320">
        <w:rPr>
          <w:rFonts w:hint="eastAsia"/>
          <w:lang w:eastAsia="zh-CN"/>
        </w:rPr>
        <w:t>6</w:t>
      </w:r>
      <w:r w:rsidR="00AF5320">
        <w:rPr>
          <w:rFonts w:hint="eastAsia"/>
          <w:lang w:eastAsia="zh-CN"/>
        </w:rPr>
        <w:t>条脚注</w:t>
      </w:r>
      <w:r w:rsidR="00AF5320">
        <w:rPr>
          <w:rFonts w:hint="eastAsia"/>
          <w:lang w:eastAsia="zh-CN"/>
        </w:rPr>
        <w:t>1</w:t>
      </w:r>
      <w:r w:rsidR="00AF5320">
        <w:rPr>
          <w:rFonts w:hint="eastAsia"/>
          <w:lang w:eastAsia="zh-CN"/>
        </w:rPr>
        <w:t>、附录</w:t>
      </w:r>
      <w:r w:rsidR="00AF5320">
        <w:rPr>
          <w:rFonts w:hint="eastAsia"/>
          <w:lang w:eastAsia="zh-CN"/>
        </w:rPr>
        <w:t>30B</w:t>
      </w:r>
      <w:r w:rsidR="00AF5320">
        <w:rPr>
          <w:rFonts w:hint="eastAsia"/>
          <w:lang w:eastAsia="zh-CN"/>
        </w:rPr>
        <w:t>第</w:t>
      </w:r>
      <w:r w:rsidR="00AF5320">
        <w:rPr>
          <w:rFonts w:hint="eastAsia"/>
          <w:lang w:eastAsia="zh-CN"/>
        </w:rPr>
        <w:t>8</w:t>
      </w:r>
      <w:r w:rsidR="00AF5320">
        <w:rPr>
          <w:rFonts w:hint="eastAsia"/>
          <w:lang w:eastAsia="zh-CN"/>
        </w:rPr>
        <w:t>条标题脚注</w:t>
      </w:r>
      <w:r w:rsidR="00AF5320">
        <w:rPr>
          <w:rFonts w:hint="eastAsia"/>
          <w:lang w:eastAsia="zh-CN"/>
        </w:rPr>
        <w:t>11</w:t>
      </w:r>
      <w:r w:rsidR="00BB0DD2">
        <w:rPr>
          <w:rFonts w:hint="eastAsia"/>
          <w:lang w:eastAsia="zh-CN"/>
        </w:rPr>
        <w:t>的各条款</w:t>
      </w:r>
      <w:r w:rsidR="00B374A2">
        <w:rPr>
          <w:rFonts w:hint="eastAsia"/>
          <w:lang w:eastAsia="zh-CN"/>
        </w:rPr>
        <w:t>规定</w:t>
      </w:r>
      <w:r w:rsidR="00AF5320">
        <w:rPr>
          <w:rFonts w:hint="eastAsia"/>
          <w:lang w:eastAsia="zh-CN"/>
        </w:rPr>
        <w:t>，</w:t>
      </w:r>
      <w:r w:rsidR="00351713">
        <w:rPr>
          <w:rFonts w:hint="eastAsia"/>
          <w:lang w:eastAsia="zh-CN"/>
        </w:rPr>
        <w:t>如根据</w:t>
      </w:r>
      <w:r w:rsidR="00BB0DD2">
        <w:rPr>
          <w:rFonts w:hint="eastAsia"/>
          <w:lang w:eastAsia="zh-CN"/>
        </w:rPr>
        <w:t>经修订的有关对卫星网络申报实行成本回收的</w:t>
      </w:r>
      <w:r w:rsidR="00B374A2">
        <w:rPr>
          <w:rFonts w:hint="eastAsia"/>
          <w:lang w:eastAsia="zh-CN"/>
        </w:rPr>
        <w:t>理事会</w:t>
      </w:r>
      <w:r w:rsidR="002D746D">
        <w:rPr>
          <w:rFonts w:hint="eastAsia"/>
          <w:lang w:eastAsia="zh-CN"/>
        </w:rPr>
        <w:t>第</w:t>
      </w:r>
      <w:r w:rsidR="002D746D">
        <w:rPr>
          <w:rFonts w:hint="eastAsia"/>
          <w:lang w:eastAsia="zh-CN"/>
        </w:rPr>
        <w:t>482</w:t>
      </w:r>
      <w:r w:rsidR="00B374A2">
        <w:rPr>
          <w:rFonts w:hint="eastAsia"/>
          <w:lang w:eastAsia="zh-CN"/>
        </w:rPr>
        <w:t>号决定</w:t>
      </w:r>
      <w:r w:rsidR="00351713">
        <w:rPr>
          <w:rFonts w:hint="eastAsia"/>
          <w:lang w:eastAsia="zh-CN"/>
        </w:rPr>
        <w:t>未</w:t>
      </w:r>
      <w:r w:rsidR="00BB0DD2">
        <w:rPr>
          <w:rFonts w:hint="eastAsia"/>
          <w:lang w:eastAsia="zh-CN"/>
        </w:rPr>
        <w:t>收到</w:t>
      </w:r>
      <w:r w:rsidR="00351713">
        <w:rPr>
          <w:rFonts w:hint="eastAsia"/>
          <w:lang w:eastAsia="zh-CN"/>
        </w:rPr>
        <w:t>对</w:t>
      </w:r>
      <w:r w:rsidR="00BB0DD2">
        <w:rPr>
          <w:rFonts w:hint="eastAsia"/>
          <w:lang w:eastAsia="zh-CN"/>
        </w:rPr>
        <w:t>依</w:t>
      </w:r>
      <w:r w:rsidR="00351713">
        <w:rPr>
          <w:rFonts w:hint="eastAsia"/>
          <w:lang w:eastAsia="zh-CN"/>
        </w:rPr>
        <w:t>上述条款提交的</w:t>
      </w:r>
      <w:r w:rsidR="002D746D">
        <w:rPr>
          <w:rFonts w:hint="eastAsia"/>
          <w:lang w:eastAsia="zh-CN"/>
        </w:rPr>
        <w:t>通知</w:t>
      </w:r>
      <w:r w:rsidR="00351713">
        <w:rPr>
          <w:rFonts w:hint="eastAsia"/>
          <w:lang w:eastAsia="zh-CN"/>
        </w:rPr>
        <w:t>的付款</w:t>
      </w:r>
      <w:r w:rsidR="00BB0DD2">
        <w:rPr>
          <w:rFonts w:hint="eastAsia"/>
          <w:lang w:eastAsia="zh-CN"/>
        </w:rPr>
        <w:t>，无线电通信局</w:t>
      </w:r>
      <w:r w:rsidR="00351713">
        <w:rPr>
          <w:rFonts w:hint="eastAsia"/>
          <w:lang w:eastAsia="zh-CN"/>
        </w:rPr>
        <w:t>将</w:t>
      </w:r>
      <w:r w:rsidR="002D746D">
        <w:rPr>
          <w:rFonts w:hint="eastAsia"/>
          <w:lang w:eastAsia="zh-CN"/>
        </w:rPr>
        <w:t>在通知相关主管部门后取消公布。</w:t>
      </w:r>
    </w:p>
    <w:p w:rsidR="002D746D" w:rsidRDefault="002D746D" w:rsidP="00692F33">
      <w:pPr>
        <w:rPr>
          <w:lang w:eastAsia="zh-CN"/>
        </w:rPr>
      </w:pPr>
      <w:r>
        <w:rPr>
          <w:rFonts w:hint="eastAsia"/>
          <w:lang w:eastAsia="zh-CN"/>
        </w:rPr>
        <w:t>2</w:t>
      </w:r>
      <w:r>
        <w:rPr>
          <w:rFonts w:hint="eastAsia"/>
          <w:lang w:eastAsia="zh-CN"/>
        </w:rPr>
        <w:tab/>
      </w:r>
      <w:r w:rsidR="00351713">
        <w:rPr>
          <w:rFonts w:hint="eastAsia"/>
          <w:lang w:eastAsia="zh-CN"/>
        </w:rPr>
        <w:t>理事会第</w:t>
      </w:r>
      <w:r w:rsidR="00351713">
        <w:rPr>
          <w:rFonts w:hint="eastAsia"/>
          <w:lang w:eastAsia="zh-CN"/>
        </w:rPr>
        <w:t>482</w:t>
      </w:r>
      <w:r w:rsidR="00351713">
        <w:rPr>
          <w:rFonts w:hint="eastAsia"/>
          <w:lang w:eastAsia="zh-CN"/>
        </w:rPr>
        <w:t>号决定规定，</w:t>
      </w:r>
      <w:r>
        <w:rPr>
          <w:rFonts w:hint="eastAsia"/>
          <w:lang w:eastAsia="zh-CN"/>
        </w:rPr>
        <w:t>无线电</w:t>
      </w:r>
      <w:r w:rsidR="00351713">
        <w:rPr>
          <w:rFonts w:hint="eastAsia"/>
          <w:lang w:eastAsia="zh-CN"/>
        </w:rPr>
        <w:t>通信局</w:t>
      </w:r>
      <w:r w:rsidR="00692F33" w:rsidRPr="005F647C">
        <w:rPr>
          <w:rFonts w:hint="eastAsia"/>
          <w:color w:val="000000"/>
          <w:lang w:eastAsia="zh-CN"/>
        </w:rPr>
        <w:t>一经收到</w:t>
      </w:r>
      <w:r>
        <w:rPr>
          <w:rFonts w:hint="eastAsia"/>
          <w:lang w:eastAsia="zh-CN"/>
        </w:rPr>
        <w:t>申报资料</w:t>
      </w:r>
      <w:r w:rsidR="00692F33">
        <w:rPr>
          <w:rFonts w:hint="eastAsia"/>
          <w:lang w:eastAsia="zh-CN"/>
        </w:rPr>
        <w:t>后即</w:t>
      </w:r>
      <w:r>
        <w:rPr>
          <w:rFonts w:hint="eastAsia"/>
          <w:lang w:eastAsia="zh-CN"/>
        </w:rPr>
        <w:t>出具发票，并将此发票送达通知的主管部门</w:t>
      </w:r>
      <w:r w:rsidR="00692F33">
        <w:rPr>
          <w:rFonts w:hint="eastAsia"/>
          <w:lang w:eastAsia="zh-CN"/>
        </w:rPr>
        <w:t>。</w:t>
      </w:r>
      <w:r>
        <w:rPr>
          <w:rFonts w:hint="eastAsia"/>
          <w:lang w:eastAsia="zh-CN"/>
        </w:rPr>
        <w:t>此发票应作为支付费用的依据，且支付应在发票开出之日起最多</w:t>
      </w:r>
      <w:r w:rsidR="00D639AB">
        <w:rPr>
          <w:rFonts w:hint="eastAsia"/>
          <w:lang w:eastAsia="zh-CN"/>
        </w:rPr>
        <w:t>六</w:t>
      </w:r>
      <w:r>
        <w:rPr>
          <w:rFonts w:hint="eastAsia"/>
          <w:lang w:eastAsia="zh-CN"/>
        </w:rPr>
        <w:t>个月内完成。</w:t>
      </w:r>
    </w:p>
    <w:p w:rsidR="002D746D" w:rsidRDefault="002D746D" w:rsidP="00D05C28">
      <w:pPr>
        <w:rPr>
          <w:lang w:eastAsia="zh-CN"/>
        </w:rPr>
      </w:pPr>
      <w:r>
        <w:rPr>
          <w:rFonts w:hint="eastAsia"/>
          <w:lang w:eastAsia="zh-CN"/>
        </w:rPr>
        <w:t>3</w:t>
      </w:r>
      <w:r>
        <w:rPr>
          <w:rFonts w:hint="eastAsia"/>
          <w:lang w:eastAsia="zh-CN"/>
        </w:rPr>
        <w:tab/>
      </w:r>
      <w:r w:rsidR="00D639AB">
        <w:rPr>
          <w:rFonts w:hint="eastAsia"/>
          <w:lang w:eastAsia="zh-CN"/>
        </w:rPr>
        <w:t>由于</w:t>
      </w:r>
      <w:r w:rsidR="006D1F51">
        <w:rPr>
          <w:rFonts w:hint="eastAsia"/>
          <w:lang w:eastAsia="zh-CN"/>
        </w:rPr>
        <w:t>需</w:t>
      </w:r>
      <w:r w:rsidR="00692F33">
        <w:rPr>
          <w:rFonts w:hint="eastAsia"/>
          <w:lang w:eastAsia="zh-CN"/>
        </w:rPr>
        <w:t>对财务机构的支付进行确认</w:t>
      </w:r>
      <w:r w:rsidR="006D1F51">
        <w:rPr>
          <w:rFonts w:hint="eastAsia"/>
          <w:lang w:eastAsia="zh-CN"/>
        </w:rPr>
        <w:t>，</w:t>
      </w:r>
      <w:r w:rsidR="00692F33">
        <w:rPr>
          <w:rFonts w:hint="eastAsia"/>
          <w:lang w:eastAsia="zh-CN"/>
        </w:rPr>
        <w:t>以及</w:t>
      </w:r>
      <w:r w:rsidR="006D1F51">
        <w:rPr>
          <w:rFonts w:hint="eastAsia"/>
          <w:lang w:eastAsia="zh-CN"/>
        </w:rPr>
        <w:t>需</w:t>
      </w:r>
      <w:r w:rsidR="00692F33">
        <w:rPr>
          <w:rFonts w:hint="eastAsia"/>
          <w:lang w:eastAsia="zh-CN"/>
        </w:rPr>
        <w:t>在无线电通信局与</w:t>
      </w:r>
      <w:r>
        <w:rPr>
          <w:rFonts w:hint="eastAsia"/>
          <w:lang w:eastAsia="zh-CN"/>
        </w:rPr>
        <w:t>秘书处财务资源管理部之间</w:t>
      </w:r>
      <w:r w:rsidR="00692F33">
        <w:rPr>
          <w:rFonts w:hint="eastAsia"/>
          <w:lang w:eastAsia="zh-CN"/>
        </w:rPr>
        <w:t>进行</w:t>
      </w:r>
      <w:r>
        <w:rPr>
          <w:rFonts w:hint="eastAsia"/>
          <w:lang w:eastAsia="zh-CN"/>
        </w:rPr>
        <w:t>内部确认</w:t>
      </w:r>
      <w:r w:rsidR="00692F33">
        <w:rPr>
          <w:rFonts w:hint="eastAsia"/>
          <w:lang w:eastAsia="zh-CN"/>
        </w:rPr>
        <w:t>，</w:t>
      </w:r>
      <w:r w:rsidR="00D639AB">
        <w:rPr>
          <w:rFonts w:hint="eastAsia"/>
          <w:lang w:eastAsia="zh-CN"/>
        </w:rPr>
        <w:t>从而</w:t>
      </w:r>
      <w:r w:rsidR="006D1F51">
        <w:rPr>
          <w:rFonts w:hint="eastAsia"/>
          <w:lang w:eastAsia="zh-CN"/>
        </w:rPr>
        <w:t>导致</w:t>
      </w:r>
      <w:r w:rsidR="00692F33">
        <w:rPr>
          <w:rFonts w:hint="eastAsia"/>
          <w:lang w:eastAsia="zh-CN"/>
        </w:rPr>
        <w:t>行政管理方面的延误，</w:t>
      </w:r>
      <w:r w:rsidR="00D639AB">
        <w:rPr>
          <w:rFonts w:hint="eastAsia"/>
          <w:lang w:eastAsia="zh-CN"/>
        </w:rPr>
        <w:t>所以</w:t>
      </w:r>
      <w:r w:rsidR="006D1F51">
        <w:rPr>
          <w:rFonts w:hint="eastAsia"/>
          <w:lang w:eastAsia="zh-CN"/>
        </w:rPr>
        <w:t>，</w:t>
      </w:r>
      <w:r w:rsidR="00692F33">
        <w:rPr>
          <w:rFonts w:hint="eastAsia"/>
          <w:lang w:eastAsia="zh-CN"/>
        </w:rPr>
        <w:t>无线电通信局</w:t>
      </w:r>
      <w:r w:rsidR="00D05C28">
        <w:rPr>
          <w:rFonts w:hint="eastAsia"/>
          <w:lang w:eastAsia="zh-CN"/>
        </w:rPr>
        <w:t>通常是在相关通知成本回收费用的六个月支付截止期限到期后的六周内将</w:t>
      </w:r>
      <w:r w:rsidR="006D1F51">
        <w:rPr>
          <w:rFonts w:hint="eastAsia"/>
          <w:lang w:eastAsia="zh-CN"/>
        </w:rPr>
        <w:t>有关</w:t>
      </w:r>
      <w:r w:rsidR="00D639AB">
        <w:rPr>
          <w:rFonts w:hint="eastAsia"/>
          <w:lang w:eastAsia="zh-CN"/>
        </w:rPr>
        <w:t>卫星网络通知的延期支付或未支付</w:t>
      </w:r>
      <w:r w:rsidR="006D1F51">
        <w:rPr>
          <w:rFonts w:hint="eastAsia"/>
          <w:lang w:eastAsia="zh-CN"/>
        </w:rPr>
        <w:t>的决定</w:t>
      </w:r>
      <w:r w:rsidR="00D05C28">
        <w:rPr>
          <w:rFonts w:hint="eastAsia"/>
          <w:lang w:eastAsia="zh-CN"/>
        </w:rPr>
        <w:t>提交</w:t>
      </w:r>
      <w:r w:rsidR="00082DE9">
        <w:rPr>
          <w:rFonts w:hint="eastAsia"/>
          <w:lang w:eastAsia="zh-CN"/>
        </w:rPr>
        <w:t>无线电通信局《国际频率信息通报》（</w:t>
      </w:r>
      <w:r w:rsidR="00D639AB">
        <w:rPr>
          <w:rFonts w:hint="eastAsia"/>
          <w:lang w:eastAsia="zh-CN"/>
        </w:rPr>
        <w:t>BR IFIC</w:t>
      </w:r>
      <w:r w:rsidR="00082DE9">
        <w:rPr>
          <w:rFonts w:hint="eastAsia"/>
          <w:lang w:eastAsia="zh-CN"/>
        </w:rPr>
        <w:t>）</w:t>
      </w:r>
      <w:r w:rsidR="00D639AB">
        <w:rPr>
          <w:rFonts w:hint="eastAsia"/>
          <w:lang w:eastAsia="zh-CN"/>
        </w:rPr>
        <w:t>会议</w:t>
      </w:r>
      <w:r w:rsidR="00D05C28">
        <w:rPr>
          <w:rFonts w:hint="eastAsia"/>
          <w:lang w:eastAsia="zh-CN"/>
        </w:rPr>
        <w:t>，</w:t>
      </w:r>
      <w:r w:rsidR="00082DE9">
        <w:rPr>
          <w:rFonts w:hint="eastAsia"/>
          <w:lang w:eastAsia="zh-CN"/>
        </w:rPr>
        <w:t>供</w:t>
      </w:r>
      <w:r w:rsidR="00D639AB">
        <w:rPr>
          <w:rFonts w:hint="eastAsia"/>
          <w:lang w:eastAsia="zh-CN"/>
        </w:rPr>
        <w:t>其审议</w:t>
      </w:r>
      <w:r w:rsidR="00082DE9">
        <w:rPr>
          <w:rFonts w:hint="eastAsia"/>
          <w:lang w:eastAsia="zh-CN"/>
        </w:rPr>
        <w:t>和</w:t>
      </w:r>
      <w:r w:rsidR="00D639AB">
        <w:rPr>
          <w:rFonts w:hint="eastAsia"/>
          <w:lang w:eastAsia="zh-CN"/>
        </w:rPr>
        <w:t>确认</w:t>
      </w:r>
      <w:r>
        <w:rPr>
          <w:rFonts w:hint="eastAsia"/>
          <w:lang w:eastAsia="zh-CN"/>
        </w:rPr>
        <w:t>。</w:t>
      </w:r>
    </w:p>
    <w:p w:rsidR="002D746D" w:rsidRDefault="002D746D" w:rsidP="00D05C28">
      <w:pPr>
        <w:rPr>
          <w:lang w:eastAsia="zh-CN"/>
        </w:rPr>
      </w:pPr>
      <w:r>
        <w:rPr>
          <w:rFonts w:hint="eastAsia"/>
          <w:lang w:eastAsia="zh-CN"/>
        </w:rPr>
        <w:t>4</w:t>
      </w:r>
      <w:r>
        <w:rPr>
          <w:rFonts w:hint="eastAsia"/>
          <w:lang w:eastAsia="zh-CN"/>
        </w:rPr>
        <w:tab/>
      </w:r>
      <w:r w:rsidR="00D05C28">
        <w:rPr>
          <w:rFonts w:hint="eastAsia"/>
          <w:lang w:eastAsia="zh-CN"/>
        </w:rPr>
        <w:t>考虑到上述情况</w:t>
      </w:r>
      <w:r>
        <w:rPr>
          <w:rFonts w:hint="eastAsia"/>
          <w:lang w:eastAsia="zh-CN"/>
        </w:rPr>
        <w:t>，委员会决定</w:t>
      </w:r>
      <w:r w:rsidR="00D05C28">
        <w:rPr>
          <w:rFonts w:hint="eastAsia"/>
          <w:lang w:eastAsia="zh-CN"/>
        </w:rPr>
        <w:t>，对于</w:t>
      </w:r>
      <w:r>
        <w:rPr>
          <w:rFonts w:hint="eastAsia"/>
          <w:lang w:eastAsia="zh-CN"/>
        </w:rPr>
        <w:t>在</w:t>
      </w:r>
      <w:r w:rsidR="00D05C28">
        <w:rPr>
          <w:rFonts w:hint="eastAsia"/>
          <w:lang w:eastAsia="zh-CN"/>
        </w:rPr>
        <w:t>六</w:t>
      </w:r>
      <w:r>
        <w:rPr>
          <w:rFonts w:hint="eastAsia"/>
          <w:lang w:eastAsia="zh-CN"/>
        </w:rPr>
        <w:t>个月</w:t>
      </w:r>
      <w:r w:rsidR="00D05C28">
        <w:rPr>
          <w:rFonts w:hint="eastAsia"/>
          <w:lang w:eastAsia="zh-CN"/>
        </w:rPr>
        <w:t>的</w:t>
      </w:r>
      <w:r>
        <w:rPr>
          <w:rFonts w:hint="eastAsia"/>
          <w:lang w:eastAsia="zh-CN"/>
        </w:rPr>
        <w:t>截至期限</w:t>
      </w:r>
      <w:r w:rsidR="00D05C28">
        <w:rPr>
          <w:rFonts w:hint="eastAsia"/>
          <w:lang w:eastAsia="zh-CN"/>
        </w:rPr>
        <w:t>之</w:t>
      </w:r>
      <w:r>
        <w:rPr>
          <w:rFonts w:hint="eastAsia"/>
          <w:lang w:eastAsia="zh-CN"/>
        </w:rPr>
        <w:t>后</w:t>
      </w:r>
      <w:r w:rsidR="00D05C28">
        <w:rPr>
          <w:rFonts w:hint="eastAsia"/>
          <w:lang w:eastAsia="zh-CN"/>
        </w:rPr>
        <w:t>和审议延期</w:t>
      </w:r>
      <w:r>
        <w:rPr>
          <w:rFonts w:hint="eastAsia"/>
          <w:lang w:eastAsia="zh-CN"/>
        </w:rPr>
        <w:t>支付的</w:t>
      </w:r>
      <w:r w:rsidR="00292AB9">
        <w:rPr>
          <w:rFonts w:hint="eastAsia"/>
          <w:lang w:eastAsia="zh-CN"/>
        </w:rPr>
        <w:t>BR</w:t>
      </w:r>
      <w:r w:rsidR="00292AB9">
        <w:rPr>
          <w:lang w:val="en-US" w:eastAsia="zh-CN"/>
        </w:rPr>
        <w:t> </w:t>
      </w:r>
      <w:r>
        <w:rPr>
          <w:rFonts w:hint="eastAsia"/>
          <w:lang w:eastAsia="zh-CN"/>
        </w:rPr>
        <w:t>IFIC</w:t>
      </w:r>
      <w:r w:rsidR="00D05C28">
        <w:rPr>
          <w:rFonts w:hint="eastAsia"/>
          <w:lang w:eastAsia="zh-CN"/>
        </w:rPr>
        <w:t>会议之前收到付款的</w:t>
      </w:r>
      <w:r>
        <w:rPr>
          <w:rFonts w:hint="eastAsia"/>
          <w:lang w:eastAsia="zh-CN"/>
        </w:rPr>
        <w:t>卫星网络申报</w:t>
      </w:r>
      <w:r w:rsidR="00D05C28">
        <w:rPr>
          <w:rFonts w:hint="eastAsia"/>
          <w:lang w:eastAsia="zh-CN"/>
        </w:rPr>
        <w:t>，将继续予以受理</w:t>
      </w:r>
      <w:r>
        <w:rPr>
          <w:rFonts w:hint="eastAsia"/>
          <w:lang w:eastAsia="zh-CN"/>
        </w:rPr>
        <w:t>。</w:t>
      </w:r>
    </w:p>
    <w:p w:rsidR="002D746D" w:rsidRDefault="002D746D" w:rsidP="00082DE9">
      <w:pPr>
        <w:rPr>
          <w:lang w:eastAsia="zh-CN"/>
        </w:rPr>
      </w:pPr>
      <w:r>
        <w:rPr>
          <w:rFonts w:hint="eastAsia"/>
          <w:lang w:eastAsia="zh-CN"/>
        </w:rPr>
        <w:t>5</w:t>
      </w:r>
      <w:r>
        <w:rPr>
          <w:rFonts w:hint="eastAsia"/>
          <w:lang w:eastAsia="zh-CN"/>
        </w:rPr>
        <w:tab/>
      </w:r>
      <w:r w:rsidR="00082DE9">
        <w:rPr>
          <w:rFonts w:hint="eastAsia"/>
          <w:lang w:eastAsia="zh-CN"/>
        </w:rPr>
        <w:t>对于在</w:t>
      </w:r>
      <w:r w:rsidR="00082DE9">
        <w:rPr>
          <w:rFonts w:hint="eastAsia"/>
          <w:lang w:eastAsia="zh-CN"/>
        </w:rPr>
        <w:t>BR IFIC</w:t>
      </w:r>
      <w:r w:rsidR="00082DE9">
        <w:rPr>
          <w:rFonts w:hint="eastAsia"/>
          <w:lang w:eastAsia="zh-CN"/>
        </w:rPr>
        <w:t>会议之后收到付款且已经就该未付款的申报做出取消决定的</w:t>
      </w:r>
      <w:r>
        <w:rPr>
          <w:rFonts w:hint="eastAsia"/>
          <w:lang w:eastAsia="zh-CN"/>
        </w:rPr>
        <w:t>卫星网络申报</w:t>
      </w:r>
      <w:r w:rsidR="00082DE9">
        <w:rPr>
          <w:rFonts w:hint="eastAsia"/>
          <w:lang w:eastAsia="zh-CN"/>
        </w:rPr>
        <w:t>，</w:t>
      </w:r>
      <w:r>
        <w:rPr>
          <w:rFonts w:hint="eastAsia"/>
          <w:lang w:eastAsia="zh-CN"/>
        </w:rPr>
        <w:t>将不再予以</w:t>
      </w:r>
      <w:r w:rsidR="00082DE9">
        <w:rPr>
          <w:rFonts w:hint="eastAsia"/>
          <w:lang w:eastAsia="zh-CN"/>
        </w:rPr>
        <w:t>受理，如相关主管部门提出请求，则</w:t>
      </w:r>
      <w:r w:rsidR="00CB5B71">
        <w:rPr>
          <w:rFonts w:hint="eastAsia"/>
          <w:lang w:eastAsia="zh-CN"/>
        </w:rPr>
        <w:t>将</w:t>
      </w:r>
      <w:r w:rsidR="00082DE9">
        <w:rPr>
          <w:rFonts w:hint="eastAsia"/>
          <w:lang w:eastAsia="zh-CN"/>
        </w:rPr>
        <w:t>向无线电规则委员会会议报告该问题</w:t>
      </w:r>
      <w:r>
        <w:rPr>
          <w:rFonts w:hint="eastAsia"/>
          <w:lang w:eastAsia="zh-CN"/>
        </w:rPr>
        <w:t>。</w:t>
      </w:r>
    </w:p>
    <w:p w:rsidR="002D746D" w:rsidRPr="002D746D" w:rsidRDefault="002D746D" w:rsidP="00082DE9">
      <w:pPr>
        <w:rPr>
          <w:rFonts w:ascii="STKaiti" w:eastAsia="STKaiti" w:hAnsi="STKaiti"/>
          <w:lang w:eastAsia="zh-CN"/>
        </w:rPr>
      </w:pPr>
      <w:r w:rsidRPr="002D746D">
        <w:rPr>
          <w:rFonts w:ascii="STKaiti" w:eastAsia="STKaiti" w:hAnsi="STKaiti" w:hint="eastAsia"/>
          <w:b/>
          <w:bCs/>
          <w:lang w:eastAsia="zh-CN"/>
        </w:rPr>
        <w:t>理由：</w:t>
      </w:r>
      <w:r w:rsidR="00082DE9" w:rsidRPr="00082DE9">
        <w:rPr>
          <w:rFonts w:ascii="STKaiti" w:eastAsia="STKaiti" w:hAnsi="STKaiti" w:hint="eastAsia"/>
          <w:lang w:eastAsia="zh-CN"/>
        </w:rPr>
        <w:t>对</w:t>
      </w:r>
      <w:r w:rsidRPr="002D746D">
        <w:rPr>
          <w:rFonts w:ascii="STKaiti" w:eastAsia="STKaiti" w:hAnsi="STKaiti" w:hint="eastAsia"/>
          <w:lang w:eastAsia="zh-CN"/>
        </w:rPr>
        <w:t>RRB12-1/4</w:t>
      </w:r>
      <w:r w:rsidR="00082DE9">
        <w:rPr>
          <w:rFonts w:ascii="STKaiti" w:eastAsia="STKaiti" w:hAnsi="STKaiti" w:hint="eastAsia"/>
          <w:lang w:eastAsia="zh-CN"/>
        </w:rPr>
        <w:t>号文件及随后的修订版中</w:t>
      </w:r>
      <w:r w:rsidRPr="002D746D">
        <w:rPr>
          <w:rFonts w:ascii="STKaiti" w:eastAsia="STKaiti" w:hAnsi="STKaiti" w:hint="eastAsia"/>
          <w:lang w:eastAsia="zh-CN"/>
        </w:rPr>
        <w:t>RRB</w:t>
      </w:r>
      <w:r w:rsidR="00082DE9">
        <w:rPr>
          <w:rFonts w:ascii="STKaiti" w:eastAsia="STKaiti" w:hAnsi="STKaiti" w:hint="eastAsia"/>
          <w:lang w:eastAsia="zh-CN"/>
        </w:rPr>
        <w:t>要求的后续</w:t>
      </w:r>
      <w:r w:rsidR="00304AA4">
        <w:rPr>
          <w:rFonts w:ascii="STKaiti" w:eastAsia="STKaiti" w:hAnsi="STKaiti" w:hint="eastAsia"/>
          <w:lang w:eastAsia="zh-CN"/>
        </w:rPr>
        <w:t>跟进</w:t>
      </w:r>
    </w:p>
    <w:p w:rsidR="002D746D" w:rsidRPr="002D746D" w:rsidRDefault="00CB5B71" w:rsidP="0003598B">
      <w:pPr>
        <w:rPr>
          <w:lang w:eastAsia="zh-CN"/>
        </w:rPr>
      </w:pPr>
      <w:r>
        <w:rPr>
          <w:rFonts w:ascii="STKaiti" w:eastAsia="STKaiti" w:hAnsi="STKaiti" w:hint="eastAsia"/>
          <w:lang w:eastAsia="zh-CN"/>
        </w:rPr>
        <w:t>本</w:t>
      </w:r>
      <w:r w:rsidR="009A0501">
        <w:rPr>
          <w:rFonts w:ascii="STKaiti" w:eastAsia="STKaiti" w:hAnsi="STKaiti" w:hint="eastAsia"/>
          <w:lang w:eastAsia="zh-CN"/>
        </w:rPr>
        <w:t>规则</w:t>
      </w:r>
      <w:r w:rsidR="002D746D" w:rsidRPr="002D746D">
        <w:rPr>
          <w:rFonts w:ascii="STKaiti" w:eastAsia="STKaiti" w:hAnsi="STKaiti" w:hint="eastAsia"/>
          <w:lang w:eastAsia="zh-CN"/>
        </w:rPr>
        <w:t>的生效日期：</w:t>
      </w:r>
      <w:r>
        <w:rPr>
          <w:rFonts w:ascii="STKaiti" w:eastAsia="STKaiti" w:hAnsi="STKaiti" w:hint="eastAsia"/>
          <w:lang w:eastAsia="zh-CN"/>
        </w:rPr>
        <w:t>批准后</w:t>
      </w:r>
      <w:r w:rsidR="002D746D" w:rsidRPr="002D746D">
        <w:rPr>
          <w:rFonts w:ascii="STKaiti" w:eastAsia="STKaiti" w:hAnsi="STKaiti" w:hint="eastAsia"/>
          <w:lang w:eastAsia="zh-CN"/>
        </w:rPr>
        <w:t>即</w:t>
      </w:r>
      <w:r>
        <w:rPr>
          <w:rFonts w:ascii="STKaiti" w:eastAsia="STKaiti" w:hAnsi="STKaiti" w:hint="eastAsia"/>
          <w:lang w:eastAsia="zh-CN"/>
        </w:rPr>
        <w:t>刻</w:t>
      </w:r>
      <w:r w:rsidR="002D746D" w:rsidRPr="002D746D">
        <w:rPr>
          <w:rFonts w:ascii="STKaiti" w:eastAsia="STKaiti" w:hAnsi="STKaiti" w:hint="eastAsia"/>
          <w:lang w:eastAsia="zh-CN"/>
        </w:rPr>
        <w:t>生效</w:t>
      </w:r>
    </w:p>
    <w:p w:rsidR="00D3634D" w:rsidRPr="000F6261" w:rsidRDefault="00D3634D" w:rsidP="0003598B">
      <w:pPr>
        <w:keepNext/>
        <w:keepLines/>
        <w:spacing w:after="240"/>
        <w:ind w:left="794" w:hanging="794"/>
        <w:jc w:val="center"/>
        <w:outlineLvl w:val="0"/>
        <w:rPr>
          <w:b/>
          <w:szCs w:val="24"/>
          <w:lang w:eastAsia="zh-CN"/>
        </w:rPr>
      </w:pPr>
      <w:r>
        <w:rPr>
          <w:b/>
          <w:szCs w:val="24"/>
          <w:lang w:eastAsia="zh-CN"/>
        </w:rPr>
        <w:br w:type="page"/>
      </w:r>
    </w:p>
    <w:p w:rsidR="00D3634D" w:rsidRDefault="004A367A" w:rsidP="00B6172A">
      <w:pPr>
        <w:pStyle w:val="AnnexTitle"/>
        <w:rPr>
          <w:lang w:eastAsia="zh-CN"/>
        </w:rPr>
      </w:pPr>
      <w:r>
        <w:rPr>
          <w:rFonts w:hint="eastAsia"/>
          <w:lang w:eastAsia="zh-CN"/>
        </w:rPr>
        <w:lastRenderedPageBreak/>
        <w:t>关于</w:t>
      </w:r>
      <w:r w:rsidR="00975154">
        <w:rPr>
          <w:rFonts w:hint="eastAsia"/>
          <w:lang w:eastAsia="zh-CN"/>
        </w:rPr>
        <w:t>《无线电规则》第</w:t>
      </w:r>
      <w:r w:rsidR="00975154">
        <w:rPr>
          <w:rFonts w:hint="eastAsia"/>
          <w:lang w:eastAsia="zh-CN"/>
        </w:rPr>
        <w:t>11</w:t>
      </w:r>
      <w:r w:rsidR="00975154">
        <w:rPr>
          <w:rFonts w:hint="eastAsia"/>
          <w:lang w:eastAsia="zh-CN"/>
        </w:rPr>
        <w:t>条的</w:t>
      </w:r>
      <w:r>
        <w:rPr>
          <w:rFonts w:hint="eastAsia"/>
          <w:lang w:eastAsia="zh-CN"/>
        </w:rPr>
        <w:t>程序</w:t>
      </w:r>
      <w:r w:rsidR="00975154">
        <w:rPr>
          <w:rFonts w:hint="eastAsia"/>
          <w:lang w:eastAsia="zh-CN"/>
        </w:rPr>
        <w:t>规则</w:t>
      </w:r>
    </w:p>
    <w:p w:rsidR="00A8165B" w:rsidRPr="00A8165B" w:rsidRDefault="00A8165B" w:rsidP="00A8165B">
      <w:pPr>
        <w:rPr>
          <w:lang w:eastAsia="zh-CN"/>
        </w:rPr>
      </w:pPr>
      <w:r w:rsidRPr="00715444">
        <w:rPr>
          <w:b/>
          <w:szCs w:val="24"/>
          <w:lang w:eastAsia="zh-CN"/>
        </w:rPr>
        <w:t>ADD</w:t>
      </w:r>
    </w:p>
    <w:p w:rsidR="00D3634D" w:rsidRPr="004008A5" w:rsidRDefault="00BE204E" w:rsidP="00C14C30">
      <w:pPr>
        <w:pStyle w:val="AnnexTitle"/>
        <w:rPr>
          <w:lang w:val="en-US" w:eastAsia="zh-CN"/>
        </w:rPr>
      </w:pPr>
      <w:r>
        <w:rPr>
          <w:rFonts w:hint="eastAsia"/>
          <w:lang w:val="en-US" w:eastAsia="zh-CN"/>
        </w:rPr>
        <w:t>将</w:t>
      </w:r>
      <w:r w:rsidR="004A367A">
        <w:rPr>
          <w:rFonts w:hint="eastAsia"/>
          <w:lang w:val="en-US" w:eastAsia="zh-CN"/>
        </w:rPr>
        <w:t>一个</w:t>
      </w:r>
      <w:r w:rsidR="00975154">
        <w:rPr>
          <w:rFonts w:hint="eastAsia"/>
          <w:lang w:val="en-US" w:eastAsia="zh-CN"/>
        </w:rPr>
        <w:t>主管部门提交的</w:t>
      </w:r>
      <w:r>
        <w:rPr>
          <w:rFonts w:hint="eastAsia"/>
          <w:lang w:val="en-US" w:eastAsia="zh-CN"/>
        </w:rPr>
        <w:t>同一</w:t>
      </w:r>
      <w:r w:rsidR="00B12FAD">
        <w:rPr>
          <w:rFonts w:hint="eastAsia"/>
          <w:lang w:val="en-US" w:eastAsia="zh-CN"/>
        </w:rPr>
        <w:t>轨位上</w:t>
      </w:r>
      <w:r w:rsidR="004A367A">
        <w:rPr>
          <w:rFonts w:hint="eastAsia"/>
          <w:lang w:val="en-US" w:eastAsia="zh-CN"/>
        </w:rPr>
        <w:t>不同</w:t>
      </w:r>
      <w:r w:rsidR="00B12FAD">
        <w:rPr>
          <w:rFonts w:hint="eastAsia"/>
          <w:lang w:val="en-US" w:eastAsia="zh-CN"/>
        </w:rPr>
        <w:t>的对地静止卫星</w:t>
      </w:r>
      <w:r>
        <w:rPr>
          <w:rFonts w:hint="eastAsia"/>
          <w:lang w:val="en-US" w:eastAsia="zh-CN"/>
        </w:rPr>
        <w:t>网络的</w:t>
      </w:r>
      <w:r w:rsidR="00975154">
        <w:rPr>
          <w:rFonts w:hint="eastAsia"/>
          <w:lang w:val="en-US" w:eastAsia="zh-CN"/>
        </w:rPr>
        <w:t>频率指配</w:t>
      </w:r>
      <w:r w:rsidR="00C14C30">
        <w:rPr>
          <w:lang w:val="en-US" w:eastAsia="zh-CN"/>
        </w:rPr>
        <w:br/>
      </w:r>
      <w:r>
        <w:rPr>
          <w:rFonts w:hint="eastAsia"/>
          <w:lang w:val="en-US" w:eastAsia="zh-CN"/>
        </w:rPr>
        <w:t>合并</w:t>
      </w:r>
      <w:r w:rsidR="00B12FAD">
        <w:rPr>
          <w:rFonts w:hint="eastAsia"/>
          <w:lang w:val="en-US" w:eastAsia="zh-CN"/>
        </w:rPr>
        <w:t>为一个</w:t>
      </w:r>
      <w:r w:rsidR="00975154">
        <w:rPr>
          <w:rFonts w:hint="eastAsia"/>
          <w:lang w:val="en-US" w:eastAsia="zh-CN"/>
        </w:rPr>
        <w:t>卫星网络的频率指配</w:t>
      </w:r>
    </w:p>
    <w:p w:rsidR="00D3634D" w:rsidRDefault="00975154" w:rsidP="0003598B">
      <w:pPr>
        <w:pStyle w:val="Heading1"/>
        <w:rPr>
          <w:lang w:val="en-US" w:eastAsia="zh-CN"/>
        </w:rPr>
      </w:pPr>
      <w:r>
        <w:rPr>
          <w:rFonts w:hint="eastAsia"/>
          <w:lang w:val="en-US" w:eastAsia="zh-CN"/>
        </w:rPr>
        <w:t>1</w:t>
      </w:r>
      <w:r>
        <w:rPr>
          <w:rFonts w:hint="eastAsia"/>
          <w:lang w:val="en-US" w:eastAsia="zh-CN"/>
        </w:rPr>
        <w:tab/>
      </w:r>
      <w:r>
        <w:rPr>
          <w:rFonts w:hint="eastAsia"/>
          <w:lang w:val="en-US" w:eastAsia="zh-CN"/>
        </w:rPr>
        <w:t>引言</w:t>
      </w:r>
    </w:p>
    <w:p w:rsidR="00975154" w:rsidRDefault="00975154" w:rsidP="00BE204E">
      <w:pPr>
        <w:ind w:firstLineChars="200" w:firstLine="480"/>
        <w:rPr>
          <w:lang w:val="en-US" w:eastAsia="zh-CN"/>
        </w:rPr>
      </w:pPr>
      <w:r>
        <w:rPr>
          <w:rFonts w:hint="eastAsia"/>
          <w:lang w:val="en-US" w:eastAsia="zh-CN"/>
        </w:rPr>
        <w:t>委员会注意到</w:t>
      </w:r>
      <w:r>
        <w:rPr>
          <w:rFonts w:hint="eastAsia"/>
          <w:lang w:val="en-US" w:eastAsia="zh-CN"/>
        </w:rPr>
        <w:t>WRC-12</w:t>
      </w:r>
      <w:r w:rsidR="00BE204E">
        <w:rPr>
          <w:rFonts w:hint="eastAsia"/>
          <w:lang w:val="en-US" w:eastAsia="zh-CN"/>
        </w:rPr>
        <w:t>有关详细</w:t>
      </w:r>
      <w:r w:rsidR="00B12FAD">
        <w:rPr>
          <w:rFonts w:hint="eastAsia"/>
          <w:lang w:val="en-US" w:eastAsia="zh-CN"/>
        </w:rPr>
        <w:t>说明</w:t>
      </w:r>
      <w:r w:rsidR="004A367A">
        <w:rPr>
          <w:rFonts w:hint="eastAsia"/>
          <w:lang w:val="en-US" w:eastAsia="zh-CN"/>
        </w:rPr>
        <w:t>无线电通信局</w:t>
      </w:r>
      <w:r w:rsidR="00B12FAD">
        <w:rPr>
          <w:rFonts w:hint="eastAsia"/>
          <w:lang w:val="en-US" w:eastAsia="zh-CN"/>
        </w:rPr>
        <w:t>针对</w:t>
      </w:r>
      <w:r>
        <w:rPr>
          <w:rFonts w:hint="eastAsia"/>
          <w:lang w:val="en-US" w:eastAsia="zh-CN"/>
        </w:rPr>
        <w:t>主管部门提交的</w:t>
      </w:r>
      <w:r w:rsidR="00BE204E">
        <w:rPr>
          <w:rFonts w:hint="eastAsia"/>
          <w:lang w:val="en-US" w:eastAsia="zh-CN"/>
        </w:rPr>
        <w:t>同一轨位上不同</w:t>
      </w:r>
      <w:r w:rsidR="00B12FAD">
        <w:rPr>
          <w:rFonts w:hint="eastAsia"/>
          <w:lang w:val="en-US" w:eastAsia="zh-CN"/>
        </w:rPr>
        <w:t>的</w:t>
      </w:r>
      <w:r w:rsidR="00BE204E">
        <w:rPr>
          <w:rFonts w:hint="eastAsia"/>
          <w:lang w:val="en-US" w:eastAsia="zh-CN"/>
        </w:rPr>
        <w:t>对地静止</w:t>
      </w:r>
      <w:r>
        <w:rPr>
          <w:rFonts w:hint="eastAsia"/>
          <w:lang w:val="en-US" w:eastAsia="zh-CN"/>
        </w:rPr>
        <w:t>（</w:t>
      </w:r>
      <w:r>
        <w:rPr>
          <w:rFonts w:hint="eastAsia"/>
          <w:lang w:val="en-US" w:eastAsia="zh-CN"/>
        </w:rPr>
        <w:t>GSO</w:t>
      </w:r>
      <w:r>
        <w:rPr>
          <w:rFonts w:hint="eastAsia"/>
          <w:lang w:val="en-US" w:eastAsia="zh-CN"/>
        </w:rPr>
        <w:t>）</w:t>
      </w:r>
      <w:r w:rsidR="00BE204E">
        <w:rPr>
          <w:rFonts w:hint="eastAsia"/>
          <w:lang w:val="en-US" w:eastAsia="zh-CN"/>
        </w:rPr>
        <w:t>卫星</w:t>
      </w:r>
      <w:r>
        <w:rPr>
          <w:rFonts w:hint="eastAsia"/>
          <w:lang w:val="en-US" w:eastAsia="zh-CN"/>
        </w:rPr>
        <w:t>网络的频率指配合并为一个卫星网络的频率指配</w:t>
      </w:r>
      <w:r w:rsidR="00BE204E">
        <w:rPr>
          <w:rFonts w:hint="eastAsia"/>
          <w:lang w:val="en-US" w:eastAsia="zh-CN"/>
        </w:rPr>
        <w:t>所</w:t>
      </w:r>
      <w:r>
        <w:rPr>
          <w:rFonts w:hint="eastAsia"/>
          <w:lang w:val="en-US" w:eastAsia="zh-CN"/>
        </w:rPr>
        <w:t>采取</w:t>
      </w:r>
      <w:r w:rsidR="00BE204E">
        <w:rPr>
          <w:rFonts w:hint="eastAsia"/>
          <w:lang w:val="en-US" w:eastAsia="zh-CN"/>
        </w:rPr>
        <w:t>行动的要求</w:t>
      </w:r>
      <w:r>
        <w:rPr>
          <w:rFonts w:hint="eastAsia"/>
          <w:lang w:val="en-US" w:eastAsia="zh-CN"/>
        </w:rPr>
        <w:t>。</w:t>
      </w:r>
    </w:p>
    <w:p w:rsidR="00975154" w:rsidRDefault="00B12FAD" w:rsidP="00F040E1">
      <w:pPr>
        <w:ind w:firstLineChars="200" w:firstLine="480"/>
        <w:rPr>
          <w:lang w:val="en-US" w:eastAsia="zh-CN"/>
        </w:rPr>
      </w:pPr>
      <w:r>
        <w:rPr>
          <w:rFonts w:hint="eastAsia"/>
          <w:lang w:val="en-US" w:eastAsia="zh-CN"/>
        </w:rPr>
        <w:t>针对这一问题，委员会认为</w:t>
      </w:r>
      <w:r w:rsidR="00975154">
        <w:rPr>
          <w:rFonts w:hint="eastAsia"/>
          <w:lang w:val="en-US" w:eastAsia="zh-CN"/>
        </w:rPr>
        <w:t>，</w:t>
      </w:r>
      <w:r>
        <w:rPr>
          <w:rFonts w:hint="eastAsia"/>
          <w:lang w:val="en-US" w:eastAsia="zh-CN"/>
        </w:rPr>
        <w:t>只有在发出通知的主管部门</w:t>
      </w:r>
      <w:r w:rsidR="00F040E1">
        <w:rPr>
          <w:rFonts w:hint="eastAsia"/>
          <w:lang w:val="en-US" w:eastAsia="zh-CN"/>
        </w:rPr>
        <w:t>针对</w:t>
      </w:r>
      <w:r>
        <w:rPr>
          <w:rFonts w:hint="eastAsia"/>
          <w:lang w:val="en-US" w:eastAsia="zh-CN"/>
        </w:rPr>
        <w:t>成功</w:t>
      </w:r>
      <w:r w:rsidR="00F040E1">
        <w:rPr>
          <w:rFonts w:hint="eastAsia"/>
          <w:lang w:val="en-US" w:eastAsia="zh-CN"/>
        </w:rPr>
        <w:t>地</w:t>
      </w:r>
      <w:r>
        <w:rPr>
          <w:rFonts w:hint="eastAsia"/>
          <w:lang w:val="en-US" w:eastAsia="zh-CN"/>
        </w:rPr>
        <w:t>履行了通知程序</w:t>
      </w:r>
      <w:r w:rsidR="00F040E1">
        <w:rPr>
          <w:rFonts w:hint="eastAsia"/>
          <w:lang w:val="en-US" w:eastAsia="zh-CN"/>
        </w:rPr>
        <w:t>、已经</w:t>
      </w:r>
      <w:r>
        <w:rPr>
          <w:rFonts w:hint="eastAsia"/>
          <w:lang w:val="en-US" w:eastAsia="zh-CN"/>
        </w:rPr>
        <w:t>在国际频率登记总表中</w:t>
      </w:r>
      <w:r w:rsidR="00975154">
        <w:rPr>
          <w:rFonts w:hint="eastAsia"/>
          <w:lang w:val="en-US" w:eastAsia="zh-CN"/>
        </w:rPr>
        <w:t>登记的</w:t>
      </w:r>
      <w:r w:rsidR="00975154">
        <w:rPr>
          <w:rFonts w:hint="eastAsia"/>
          <w:lang w:val="en-US" w:eastAsia="zh-CN"/>
        </w:rPr>
        <w:t>GSO</w:t>
      </w:r>
      <w:r w:rsidR="00975154">
        <w:rPr>
          <w:rFonts w:hint="eastAsia"/>
          <w:lang w:val="en-US" w:eastAsia="zh-CN"/>
        </w:rPr>
        <w:t>卫星网络</w:t>
      </w:r>
      <w:r>
        <w:rPr>
          <w:rFonts w:hint="eastAsia"/>
          <w:lang w:val="en-US" w:eastAsia="zh-CN"/>
        </w:rPr>
        <w:t>的</w:t>
      </w:r>
      <w:r w:rsidR="00975154">
        <w:rPr>
          <w:rFonts w:hint="eastAsia"/>
          <w:lang w:val="en-US" w:eastAsia="zh-CN"/>
        </w:rPr>
        <w:t>频率指配</w:t>
      </w:r>
      <w:r>
        <w:rPr>
          <w:rFonts w:hint="eastAsia"/>
          <w:lang w:val="en-US" w:eastAsia="zh-CN"/>
        </w:rPr>
        <w:t>提出请</w:t>
      </w:r>
      <w:r w:rsidR="00E54E60">
        <w:rPr>
          <w:rFonts w:hint="eastAsia"/>
          <w:lang w:val="en-US" w:eastAsia="zh-CN"/>
        </w:rPr>
        <w:t>求后，</w:t>
      </w:r>
      <w:r>
        <w:rPr>
          <w:rFonts w:hint="eastAsia"/>
          <w:lang w:val="en-US" w:eastAsia="zh-CN"/>
        </w:rPr>
        <w:t>才可合并卫星网络，并且将</w:t>
      </w:r>
      <w:r w:rsidR="00E54E60">
        <w:rPr>
          <w:rFonts w:hint="eastAsia"/>
          <w:lang w:val="en-US" w:eastAsia="zh-CN"/>
        </w:rPr>
        <w:t>适用下述原则。</w:t>
      </w:r>
    </w:p>
    <w:p w:rsidR="00E54E60" w:rsidRDefault="00E54E60" w:rsidP="0003598B">
      <w:pPr>
        <w:pStyle w:val="Heading1"/>
        <w:rPr>
          <w:lang w:val="en-US" w:eastAsia="zh-CN"/>
        </w:rPr>
      </w:pPr>
      <w:r>
        <w:rPr>
          <w:rFonts w:hint="eastAsia"/>
          <w:lang w:val="en-US" w:eastAsia="zh-CN"/>
        </w:rPr>
        <w:t>2</w:t>
      </w:r>
      <w:r>
        <w:rPr>
          <w:rFonts w:hint="eastAsia"/>
          <w:lang w:val="en-US" w:eastAsia="zh-CN"/>
        </w:rPr>
        <w:tab/>
      </w:r>
      <w:r>
        <w:rPr>
          <w:rFonts w:hint="eastAsia"/>
          <w:lang w:val="en-US" w:eastAsia="zh-CN"/>
        </w:rPr>
        <w:t>通知的结构</w:t>
      </w:r>
    </w:p>
    <w:p w:rsidR="00E54E60" w:rsidRPr="00E54E60" w:rsidRDefault="00F040E1" w:rsidP="00F040E1">
      <w:pPr>
        <w:ind w:firstLineChars="200" w:firstLine="480"/>
        <w:rPr>
          <w:lang w:val="en-US" w:eastAsia="zh-CN"/>
        </w:rPr>
      </w:pPr>
      <w:r>
        <w:rPr>
          <w:rFonts w:hint="eastAsia"/>
          <w:lang w:val="en-US" w:eastAsia="zh-CN"/>
        </w:rPr>
        <w:t>将若干网络已登记的频率指配合并为一个网络，在于累加</w:t>
      </w:r>
      <w:r w:rsidR="00E54E60">
        <w:rPr>
          <w:rFonts w:hint="eastAsia"/>
          <w:lang w:val="en-US" w:eastAsia="zh-CN"/>
        </w:rPr>
        <w:t>与无线电通信局空间网络系统数据库（</w:t>
      </w:r>
      <w:r w:rsidR="00E54E60">
        <w:rPr>
          <w:rFonts w:hint="eastAsia"/>
          <w:lang w:val="en-US" w:eastAsia="zh-CN"/>
        </w:rPr>
        <w:t>SNS</w:t>
      </w:r>
      <w:r>
        <w:rPr>
          <w:rFonts w:hint="eastAsia"/>
          <w:lang w:val="en-US" w:eastAsia="zh-CN"/>
        </w:rPr>
        <w:t>）中的相关</w:t>
      </w:r>
      <w:r w:rsidR="00E54E60">
        <w:rPr>
          <w:rFonts w:hint="eastAsia"/>
          <w:lang w:val="en-US" w:eastAsia="zh-CN"/>
        </w:rPr>
        <w:t>GSO</w:t>
      </w:r>
      <w:r w:rsidR="00E54E60">
        <w:rPr>
          <w:rFonts w:hint="eastAsia"/>
          <w:lang w:val="en-US" w:eastAsia="zh-CN"/>
        </w:rPr>
        <w:t>卫星网络</w:t>
      </w:r>
      <w:r>
        <w:rPr>
          <w:rFonts w:hint="eastAsia"/>
          <w:lang w:val="en-US" w:eastAsia="zh-CN"/>
        </w:rPr>
        <w:t>的频率指配有</w:t>
      </w:r>
      <w:r w:rsidR="00E54E60">
        <w:rPr>
          <w:rFonts w:hint="eastAsia"/>
          <w:lang w:val="en-US" w:eastAsia="zh-CN"/>
        </w:rPr>
        <w:t>关的</w:t>
      </w:r>
      <w:r>
        <w:rPr>
          <w:rFonts w:hint="eastAsia"/>
          <w:lang w:val="en-US" w:eastAsia="zh-CN"/>
        </w:rPr>
        <w:t>所有</w:t>
      </w:r>
      <w:r w:rsidR="00E54E60">
        <w:rPr>
          <w:rFonts w:hint="eastAsia"/>
          <w:lang w:val="en-US" w:eastAsia="zh-CN"/>
        </w:rPr>
        <w:t>字母数字数据与图形干扰管理软件（</w:t>
      </w:r>
      <w:r w:rsidR="00E54E60">
        <w:rPr>
          <w:rFonts w:hint="eastAsia"/>
          <w:lang w:val="en-US" w:eastAsia="zh-CN"/>
        </w:rPr>
        <w:t>GIMS</w:t>
      </w:r>
      <w:r>
        <w:rPr>
          <w:rFonts w:hint="eastAsia"/>
          <w:lang w:val="en-US" w:eastAsia="zh-CN"/>
        </w:rPr>
        <w:t>）参考数据库中的相关图形数据</w:t>
      </w:r>
      <w:r w:rsidR="00E54E60">
        <w:rPr>
          <w:rFonts w:hint="eastAsia"/>
          <w:lang w:val="en-US" w:eastAsia="zh-CN"/>
        </w:rPr>
        <w:t>。</w:t>
      </w:r>
    </w:p>
    <w:p w:rsidR="00D3634D" w:rsidRPr="00884248" w:rsidRDefault="00E54E60" w:rsidP="0003598B">
      <w:pPr>
        <w:pStyle w:val="Heading2"/>
        <w:rPr>
          <w:b w:val="0"/>
          <w:bCs/>
          <w:lang w:val="en-US" w:eastAsia="zh-CN"/>
        </w:rPr>
      </w:pPr>
      <w:r w:rsidRPr="00884248">
        <w:rPr>
          <w:b w:val="0"/>
          <w:bCs/>
          <w:lang w:val="en-US" w:eastAsia="zh-CN"/>
        </w:rPr>
        <w:t>2.1</w:t>
      </w:r>
      <w:r w:rsidR="00D3634D" w:rsidRPr="00884248">
        <w:rPr>
          <w:b w:val="0"/>
          <w:bCs/>
          <w:lang w:val="en-US" w:eastAsia="zh-CN"/>
        </w:rPr>
        <w:tab/>
      </w:r>
      <w:r w:rsidRPr="00884248">
        <w:rPr>
          <w:rFonts w:ascii="STKaiti" w:eastAsia="STKaiti" w:hAnsi="STKaiti" w:hint="eastAsia"/>
          <w:b w:val="0"/>
          <w:bCs/>
          <w:lang w:val="en-US" w:eastAsia="zh-CN"/>
        </w:rPr>
        <w:t>卫星网络的标识（</w:t>
      </w:r>
      <w:r w:rsidR="003F1939">
        <w:rPr>
          <w:rFonts w:ascii="STKaiti" w:eastAsia="STKaiti" w:hAnsi="STKaiti" w:hint="eastAsia"/>
          <w:b w:val="0"/>
          <w:bCs/>
          <w:lang w:val="en-US" w:eastAsia="zh-CN"/>
        </w:rPr>
        <w:t>附录4</w:t>
      </w:r>
      <w:r w:rsidR="00F040E1">
        <w:rPr>
          <w:rFonts w:ascii="STKaiti" w:eastAsia="STKaiti" w:hAnsi="STKaiti" w:hint="eastAsia"/>
          <w:b w:val="0"/>
          <w:bCs/>
          <w:lang w:val="en-US" w:eastAsia="zh-CN"/>
        </w:rPr>
        <w:t>的</w:t>
      </w:r>
      <w:r w:rsidR="003F1939">
        <w:rPr>
          <w:rFonts w:ascii="STKaiti" w:eastAsia="STKaiti" w:hAnsi="STKaiti" w:hint="eastAsia"/>
          <w:b w:val="0"/>
          <w:bCs/>
          <w:lang w:val="en-US" w:eastAsia="zh-CN"/>
        </w:rPr>
        <w:t>附件2</w:t>
      </w:r>
      <w:r w:rsidRPr="00884248">
        <w:rPr>
          <w:rFonts w:ascii="STKaiti" w:eastAsia="STKaiti" w:hAnsi="STKaiti"/>
          <w:b w:val="0"/>
          <w:bCs/>
          <w:lang w:val="en-US" w:eastAsia="zh-CN"/>
        </w:rPr>
        <w:t xml:space="preserve"> A1</w:t>
      </w:r>
      <w:r w:rsidRPr="00884248">
        <w:rPr>
          <w:rFonts w:ascii="STKaiti" w:eastAsia="STKaiti" w:hAnsi="STKaiti" w:hint="eastAsia"/>
          <w:b w:val="0"/>
          <w:bCs/>
          <w:lang w:val="en-US" w:eastAsia="zh-CN"/>
        </w:rPr>
        <w:t>）</w:t>
      </w:r>
    </w:p>
    <w:p w:rsidR="00E54E60" w:rsidRPr="00E54E60" w:rsidRDefault="00B164ED" w:rsidP="00B164ED">
      <w:pPr>
        <w:ind w:firstLineChars="200" w:firstLine="480"/>
        <w:rPr>
          <w:lang w:val="en-US" w:eastAsia="zh-CN"/>
        </w:rPr>
      </w:pPr>
      <w:r>
        <w:rPr>
          <w:rFonts w:hint="eastAsia"/>
          <w:lang w:val="en-US" w:eastAsia="zh-CN"/>
        </w:rPr>
        <w:t>只有那些具有完全一致的发出通知的主管部门相关信息的卫星网络才可以</w:t>
      </w:r>
      <w:r w:rsidR="00884248">
        <w:rPr>
          <w:rFonts w:hint="eastAsia"/>
          <w:lang w:val="en-US" w:eastAsia="zh-CN"/>
        </w:rPr>
        <w:t>合并：</w:t>
      </w:r>
    </w:p>
    <w:p w:rsidR="00D3634D" w:rsidRPr="00C20325" w:rsidRDefault="00884248" w:rsidP="0003598B">
      <w:pPr>
        <w:pStyle w:val="enumlev1"/>
        <w:rPr>
          <w:lang w:val="en-US" w:eastAsia="zh-CN"/>
        </w:rPr>
      </w:pPr>
      <w:r w:rsidRPr="00884248">
        <w:rPr>
          <w:lang w:val="en-US" w:eastAsia="zh-CN"/>
        </w:rPr>
        <w:t>–</w:t>
      </w:r>
      <w:r>
        <w:rPr>
          <w:rFonts w:hint="eastAsia"/>
          <w:lang w:val="en-US" w:eastAsia="zh-CN"/>
        </w:rPr>
        <w:tab/>
      </w:r>
      <w:r>
        <w:rPr>
          <w:lang w:val="en-US" w:eastAsia="zh-CN"/>
        </w:rPr>
        <w:t>A.1.f.1</w:t>
      </w:r>
      <w:r>
        <w:rPr>
          <w:rFonts w:hint="eastAsia"/>
          <w:lang w:val="en-US" w:eastAsia="zh-CN"/>
        </w:rPr>
        <w:tab/>
      </w:r>
      <w:r w:rsidR="00D3634D" w:rsidRPr="00C20325">
        <w:rPr>
          <w:lang w:val="en-US" w:eastAsia="zh-CN"/>
        </w:rPr>
        <w:tab/>
      </w:r>
      <w:r>
        <w:rPr>
          <w:rFonts w:hint="eastAsia"/>
          <w:lang w:val="en-US" w:eastAsia="zh-CN"/>
        </w:rPr>
        <w:tab/>
      </w:r>
      <w:r>
        <w:rPr>
          <w:rFonts w:hint="eastAsia"/>
          <w:lang w:val="en-US" w:eastAsia="zh-CN"/>
        </w:rPr>
        <w:tab/>
      </w:r>
      <w:r>
        <w:rPr>
          <w:rFonts w:hint="eastAsia"/>
          <w:lang w:val="en-US" w:eastAsia="zh-CN"/>
        </w:rPr>
        <w:t>发出通知的主管部门</w:t>
      </w:r>
    </w:p>
    <w:p w:rsidR="00D3634D" w:rsidRPr="00C20325" w:rsidRDefault="00884248" w:rsidP="0003598B">
      <w:pPr>
        <w:pStyle w:val="enumlev1"/>
        <w:rPr>
          <w:lang w:val="en-US" w:eastAsia="zh-CN"/>
        </w:rPr>
      </w:pPr>
      <w:r w:rsidRPr="00884248">
        <w:rPr>
          <w:lang w:val="en-US" w:eastAsia="zh-CN"/>
        </w:rPr>
        <w:t>–</w:t>
      </w:r>
      <w:r>
        <w:rPr>
          <w:rFonts w:hint="eastAsia"/>
          <w:lang w:val="en-US" w:eastAsia="zh-CN"/>
        </w:rPr>
        <w:tab/>
      </w:r>
      <w:r>
        <w:rPr>
          <w:lang w:val="en-US" w:eastAsia="zh-CN"/>
        </w:rPr>
        <w:t>A.1.f.2</w:t>
      </w:r>
      <w:r>
        <w:rPr>
          <w:rFonts w:hint="eastAsia"/>
          <w:lang w:val="en-US" w:eastAsia="zh-CN"/>
        </w:rPr>
        <w:tab/>
      </w:r>
      <w:r w:rsidR="00D3634D" w:rsidRPr="00C20325">
        <w:rPr>
          <w:lang w:val="en-US" w:eastAsia="zh-CN"/>
        </w:rPr>
        <w:tab/>
      </w:r>
      <w:r>
        <w:rPr>
          <w:rFonts w:hint="eastAsia"/>
          <w:lang w:val="en-US" w:eastAsia="zh-CN"/>
        </w:rPr>
        <w:tab/>
      </w:r>
      <w:r>
        <w:rPr>
          <w:rFonts w:hint="eastAsia"/>
          <w:lang w:val="en-US" w:eastAsia="zh-CN"/>
        </w:rPr>
        <w:tab/>
      </w:r>
      <w:r>
        <w:rPr>
          <w:rFonts w:hint="eastAsia"/>
          <w:lang w:val="en-US" w:eastAsia="zh-CN"/>
        </w:rPr>
        <w:t>一组主管部门</w:t>
      </w:r>
    </w:p>
    <w:p w:rsidR="00D3634D" w:rsidRDefault="00884248" w:rsidP="0003598B">
      <w:pPr>
        <w:pStyle w:val="enumlev1"/>
        <w:rPr>
          <w:lang w:val="en-US" w:eastAsia="zh-CN"/>
        </w:rPr>
      </w:pPr>
      <w:r w:rsidRPr="00884248">
        <w:rPr>
          <w:lang w:val="en-US" w:eastAsia="zh-CN"/>
        </w:rPr>
        <w:t>–</w:t>
      </w:r>
      <w:r>
        <w:rPr>
          <w:rFonts w:hint="eastAsia"/>
          <w:lang w:val="en-US" w:eastAsia="zh-CN"/>
        </w:rPr>
        <w:tab/>
      </w:r>
      <w:r w:rsidR="00D3634D" w:rsidRPr="00C20325">
        <w:rPr>
          <w:lang w:val="en-US" w:eastAsia="zh-CN"/>
        </w:rPr>
        <w:t>A.1.f.3</w:t>
      </w:r>
      <w:r w:rsidR="00D3634D" w:rsidRPr="00C20325">
        <w:rPr>
          <w:lang w:val="en-US" w:eastAsia="zh-CN"/>
        </w:rPr>
        <w:tab/>
      </w:r>
      <w:r w:rsidR="00D3634D" w:rsidRPr="00C20325">
        <w:rPr>
          <w:lang w:val="en-US" w:eastAsia="zh-CN"/>
        </w:rPr>
        <w:tab/>
      </w:r>
      <w:r>
        <w:rPr>
          <w:rFonts w:hint="eastAsia"/>
          <w:lang w:val="en-US" w:eastAsia="zh-CN"/>
        </w:rPr>
        <w:tab/>
      </w:r>
      <w:r>
        <w:rPr>
          <w:rFonts w:hint="eastAsia"/>
          <w:lang w:val="en-US" w:eastAsia="zh-CN"/>
        </w:rPr>
        <w:tab/>
      </w:r>
      <w:r>
        <w:rPr>
          <w:rFonts w:hint="eastAsia"/>
          <w:lang w:val="en-US" w:eastAsia="zh-CN"/>
        </w:rPr>
        <w:t>政府间卫星组织</w:t>
      </w:r>
    </w:p>
    <w:p w:rsidR="00D3634D" w:rsidRDefault="00D3634D" w:rsidP="0003598B">
      <w:pPr>
        <w:pStyle w:val="Heading2"/>
        <w:rPr>
          <w:rFonts w:ascii="STKaiti" w:eastAsia="STKaiti" w:hAnsi="STKaiti"/>
          <w:b w:val="0"/>
          <w:bCs/>
          <w:lang w:val="en-US" w:eastAsia="zh-CN"/>
        </w:rPr>
      </w:pPr>
      <w:r w:rsidRPr="00884248">
        <w:rPr>
          <w:b w:val="0"/>
          <w:bCs/>
          <w:lang w:val="en-US" w:eastAsia="zh-CN"/>
        </w:rPr>
        <w:t>2.2</w:t>
      </w:r>
      <w:r w:rsidRPr="00884248">
        <w:rPr>
          <w:b w:val="0"/>
          <w:bCs/>
          <w:lang w:val="en-US" w:eastAsia="zh-CN"/>
        </w:rPr>
        <w:tab/>
      </w:r>
      <w:r w:rsidR="00884248" w:rsidRPr="00884248">
        <w:rPr>
          <w:rFonts w:ascii="STKaiti" w:eastAsia="STKaiti" w:hAnsi="STKaiti" w:hint="eastAsia"/>
          <w:b w:val="0"/>
          <w:bCs/>
          <w:lang w:val="en-US" w:eastAsia="zh-CN"/>
        </w:rPr>
        <w:t>轨道信息</w:t>
      </w:r>
      <w:r w:rsidR="00884248">
        <w:rPr>
          <w:rFonts w:ascii="STKaiti" w:eastAsia="STKaiti" w:hAnsi="STKaiti" w:hint="eastAsia"/>
          <w:b w:val="0"/>
          <w:bCs/>
          <w:lang w:val="en-US" w:eastAsia="zh-CN"/>
        </w:rPr>
        <w:t>（</w:t>
      </w:r>
      <w:r w:rsidR="003F1939">
        <w:rPr>
          <w:rFonts w:ascii="STKaiti" w:eastAsia="STKaiti" w:hAnsi="STKaiti" w:hint="eastAsia"/>
          <w:b w:val="0"/>
          <w:bCs/>
          <w:lang w:val="en-US" w:eastAsia="zh-CN"/>
        </w:rPr>
        <w:t>附录4</w:t>
      </w:r>
      <w:r w:rsidR="00F040E1">
        <w:rPr>
          <w:rFonts w:ascii="STKaiti" w:eastAsia="STKaiti" w:hAnsi="STKaiti" w:hint="eastAsia"/>
          <w:b w:val="0"/>
          <w:bCs/>
          <w:lang w:val="en-US" w:eastAsia="zh-CN"/>
        </w:rPr>
        <w:t>的</w:t>
      </w:r>
      <w:r w:rsidR="003F1939">
        <w:rPr>
          <w:rFonts w:ascii="STKaiti" w:eastAsia="STKaiti" w:hAnsi="STKaiti" w:hint="eastAsia"/>
          <w:b w:val="0"/>
          <w:bCs/>
          <w:lang w:val="en-US" w:eastAsia="zh-CN"/>
        </w:rPr>
        <w:t>附件2</w:t>
      </w:r>
      <w:r w:rsidR="00884248">
        <w:rPr>
          <w:rFonts w:ascii="STKaiti" w:eastAsia="STKaiti" w:hAnsi="STKaiti"/>
          <w:b w:val="0"/>
          <w:bCs/>
          <w:lang w:val="en-US" w:eastAsia="zh-CN"/>
        </w:rPr>
        <w:t xml:space="preserve"> A4</w:t>
      </w:r>
      <w:r w:rsidR="00884248">
        <w:rPr>
          <w:rFonts w:ascii="STKaiti" w:eastAsia="STKaiti" w:hAnsi="STKaiti" w:hint="eastAsia"/>
          <w:b w:val="0"/>
          <w:bCs/>
          <w:lang w:val="en-US" w:eastAsia="zh-CN"/>
        </w:rPr>
        <w:t>）</w:t>
      </w:r>
    </w:p>
    <w:p w:rsidR="00884248" w:rsidRPr="00884248" w:rsidRDefault="00884248" w:rsidP="0003598B">
      <w:pPr>
        <w:ind w:firstLineChars="200" w:firstLine="480"/>
        <w:rPr>
          <w:lang w:val="en-US" w:eastAsia="zh-CN"/>
        </w:rPr>
      </w:pPr>
      <w:r>
        <w:rPr>
          <w:rFonts w:hint="eastAsia"/>
          <w:lang w:val="en-US" w:eastAsia="zh-CN"/>
        </w:rPr>
        <w:t>将要合并的卫星网络须具备相同的轨道特性：</w:t>
      </w:r>
    </w:p>
    <w:p w:rsidR="00D3634D" w:rsidRPr="00C20325" w:rsidRDefault="00884248" w:rsidP="0003598B">
      <w:pPr>
        <w:pStyle w:val="enumlev1"/>
        <w:rPr>
          <w:lang w:val="en-US" w:eastAsia="zh-CN"/>
        </w:rPr>
      </w:pPr>
      <w:r w:rsidRPr="00884248">
        <w:rPr>
          <w:lang w:val="en-US" w:eastAsia="zh-CN"/>
        </w:rPr>
        <w:t>–</w:t>
      </w:r>
      <w:r>
        <w:rPr>
          <w:rFonts w:hint="eastAsia"/>
          <w:lang w:val="en-US" w:eastAsia="zh-CN"/>
        </w:rPr>
        <w:tab/>
      </w:r>
      <w:r>
        <w:rPr>
          <w:lang w:val="en-US" w:eastAsia="zh-CN"/>
        </w:rPr>
        <w:t>A.4.a.1</w:t>
      </w:r>
      <w:r>
        <w:rPr>
          <w:rFonts w:hint="eastAsia"/>
          <w:lang w:val="en-US" w:eastAsia="zh-CN"/>
        </w:rPr>
        <w:tab/>
      </w:r>
      <w:r>
        <w:rPr>
          <w:rFonts w:hint="eastAsia"/>
          <w:lang w:val="en-US" w:eastAsia="zh-CN"/>
        </w:rPr>
        <w:tab/>
      </w:r>
      <w:r w:rsidR="00D3634D" w:rsidRPr="00C20325">
        <w:rPr>
          <w:lang w:val="en-US" w:eastAsia="zh-CN"/>
        </w:rPr>
        <w:tab/>
      </w:r>
      <w:r>
        <w:rPr>
          <w:rFonts w:hint="eastAsia"/>
          <w:lang w:val="en-US" w:eastAsia="zh-CN"/>
        </w:rPr>
        <w:tab/>
      </w:r>
      <w:r w:rsidR="000059C2">
        <w:rPr>
          <w:rFonts w:hint="eastAsia"/>
          <w:lang w:val="en-US" w:eastAsia="zh-CN"/>
        </w:rPr>
        <w:t>轨道位置</w:t>
      </w:r>
    </w:p>
    <w:p w:rsidR="00D3634D" w:rsidRPr="00C20325" w:rsidRDefault="00884248" w:rsidP="0003598B">
      <w:pPr>
        <w:pStyle w:val="enumlev1"/>
        <w:rPr>
          <w:lang w:val="en-US" w:eastAsia="zh-CN"/>
        </w:rPr>
      </w:pPr>
      <w:r w:rsidRPr="00884248">
        <w:rPr>
          <w:lang w:val="en-US" w:eastAsia="zh-CN"/>
        </w:rPr>
        <w:t>–</w:t>
      </w:r>
      <w:r>
        <w:rPr>
          <w:rFonts w:hint="eastAsia"/>
          <w:lang w:val="en-US" w:eastAsia="zh-CN"/>
        </w:rPr>
        <w:tab/>
      </w:r>
      <w:r w:rsidR="000059C2">
        <w:rPr>
          <w:lang w:val="en-US" w:eastAsia="zh-CN"/>
        </w:rPr>
        <w:t>A.4.a.2.a</w:t>
      </w:r>
      <w:r w:rsidR="000059C2">
        <w:rPr>
          <w:rFonts w:hint="eastAsia"/>
          <w:lang w:val="en-US" w:eastAsia="zh-CN"/>
        </w:rPr>
        <w:t>、</w:t>
      </w:r>
      <w:r w:rsidR="00D3634D" w:rsidRPr="00C20325">
        <w:rPr>
          <w:lang w:val="en-US" w:eastAsia="zh-CN"/>
        </w:rPr>
        <w:t>b</w:t>
      </w:r>
      <w:r w:rsidR="00D3634D" w:rsidRPr="00C20325">
        <w:rPr>
          <w:lang w:val="en-US" w:eastAsia="zh-CN"/>
        </w:rPr>
        <w:tab/>
      </w:r>
      <w:r>
        <w:rPr>
          <w:rFonts w:hint="eastAsia"/>
          <w:lang w:val="en-US" w:eastAsia="zh-CN"/>
        </w:rPr>
        <w:tab/>
      </w:r>
      <w:r w:rsidR="00B164ED">
        <w:rPr>
          <w:rFonts w:hint="eastAsia"/>
          <w:lang w:val="en-US" w:eastAsia="zh-CN"/>
        </w:rPr>
        <w:t>经度容限</w:t>
      </w:r>
    </w:p>
    <w:p w:rsidR="00D3634D" w:rsidRDefault="00884248" w:rsidP="0003598B">
      <w:pPr>
        <w:pStyle w:val="enumlev1"/>
        <w:rPr>
          <w:lang w:val="en-US" w:eastAsia="zh-CN"/>
        </w:rPr>
      </w:pPr>
      <w:r w:rsidRPr="00884248">
        <w:rPr>
          <w:lang w:val="en-US" w:eastAsia="zh-CN"/>
        </w:rPr>
        <w:t>–</w:t>
      </w:r>
      <w:r>
        <w:rPr>
          <w:rFonts w:hint="eastAsia"/>
          <w:lang w:val="en-US" w:eastAsia="zh-CN"/>
        </w:rPr>
        <w:tab/>
      </w:r>
      <w:r w:rsidR="00D3634D" w:rsidRPr="00C20325">
        <w:rPr>
          <w:lang w:val="en-US" w:eastAsia="zh-CN"/>
        </w:rPr>
        <w:t xml:space="preserve">A.4.a.2.c </w:t>
      </w:r>
      <w:r w:rsidR="00D3634D" w:rsidRPr="00C20325">
        <w:rPr>
          <w:lang w:val="en-US" w:eastAsia="zh-CN"/>
        </w:rPr>
        <w:tab/>
      </w:r>
      <w:r>
        <w:rPr>
          <w:rFonts w:hint="eastAsia"/>
          <w:lang w:val="en-US" w:eastAsia="zh-CN"/>
        </w:rPr>
        <w:tab/>
      </w:r>
      <w:r>
        <w:rPr>
          <w:rFonts w:hint="eastAsia"/>
          <w:lang w:val="en-US" w:eastAsia="zh-CN"/>
        </w:rPr>
        <w:tab/>
      </w:r>
      <w:r w:rsidR="000059C2">
        <w:rPr>
          <w:rFonts w:hint="eastAsia"/>
          <w:lang w:val="en-US" w:eastAsia="zh-CN"/>
        </w:rPr>
        <w:t>倾斜偏离</w:t>
      </w:r>
    </w:p>
    <w:p w:rsidR="00D3634D" w:rsidRPr="00C20325" w:rsidRDefault="000059C2" w:rsidP="00B164ED">
      <w:pPr>
        <w:ind w:firstLineChars="200" w:firstLine="480"/>
        <w:rPr>
          <w:lang w:val="en-US" w:eastAsia="zh-CN"/>
        </w:rPr>
      </w:pPr>
      <w:r>
        <w:rPr>
          <w:rFonts w:hint="eastAsia"/>
          <w:lang w:val="en-US" w:eastAsia="zh-CN"/>
        </w:rPr>
        <w:t>在经度绒线和倾斜偏离数值不同的情况下，</w:t>
      </w:r>
      <w:r w:rsidR="00B164ED">
        <w:rPr>
          <w:rFonts w:hint="eastAsia"/>
          <w:lang w:val="en-US" w:eastAsia="zh-CN"/>
        </w:rPr>
        <w:t>将最小值用于合并网络</w:t>
      </w:r>
      <w:r>
        <w:rPr>
          <w:rFonts w:hint="eastAsia"/>
          <w:lang w:val="en-US" w:eastAsia="zh-CN"/>
        </w:rPr>
        <w:t>。</w:t>
      </w:r>
    </w:p>
    <w:p w:rsidR="00D3634D" w:rsidRDefault="000059C2" w:rsidP="00B164ED">
      <w:pPr>
        <w:pStyle w:val="Heading2"/>
        <w:rPr>
          <w:rFonts w:ascii="STKaiti" w:eastAsia="STKaiti" w:hAnsi="STKaiti"/>
          <w:b w:val="0"/>
          <w:bCs/>
          <w:lang w:val="en-US" w:eastAsia="zh-CN"/>
        </w:rPr>
      </w:pPr>
      <w:r>
        <w:rPr>
          <w:b w:val="0"/>
          <w:bCs/>
          <w:lang w:val="en-US" w:eastAsia="zh-CN"/>
        </w:rPr>
        <w:t>2.3</w:t>
      </w:r>
      <w:r w:rsidR="00D3634D" w:rsidRPr="000059C2">
        <w:rPr>
          <w:b w:val="0"/>
          <w:bCs/>
          <w:lang w:val="en-US" w:eastAsia="zh-CN"/>
        </w:rPr>
        <w:tab/>
      </w:r>
      <w:r w:rsidR="00F040E1">
        <w:rPr>
          <w:rFonts w:ascii="STKaiti" w:eastAsia="STKaiti" w:hAnsi="STKaiti" w:hint="eastAsia"/>
          <w:b w:val="0"/>
          <w:bCs/>
          <w:lang w:val="en-US" w:eastAsia="zh-CN"/>
        </w:rPr>
        <w:t>天线波束和频率组的特性</w:t>
      </w:r>
      <w:r w:rsidRPr="000059C2">
        <w:rPr>
          <w:rFonts w:ascii="STKaiti" w:eastAsia="STKaiti" w:hAnsi="STKaiti" w:hint="eastAsia"/>
          <w:b w:val="0"/>
          <w:bCs/>
          <w:lang w:val="en-US" w:eastAsia="zh-CN"/>
        </w:rPr>
        <w:t>（附录4</w:t>
      </w:r>
      <w:r w:rsidR="00F040E1">
        <w:rPr>
          <w:rFonts w:ascii="STKaiti" w:eastAsia="STKaiti" w:hAnsi="STKaiti" w:hint="eastAsia"/>
          <w:b w:val="0"/>
          <w:bCs/>
          <w:lang w:val="en-US" w:eastAsia="zh-CN"/>
        </w:rPr>
        <w:t>的</w:t>
      </w:r>
      <w:r w:rsidRPr="000059C2">
        <w:rPr>
          <w:rFonts w:ascii="STKaiti" w:eastAsia="STKaiti" w:hAnsi="STKaiti" w:hint="eastAsia"/>
          <w:b w:val="0"/>
          <w:bCs/>
          <w:lang w:val="en-US" w:eastAsia="zh-CN"/>
        </w:rPr>
        <w:t>附件2</w:t>
      </w:r>
      <w:r w:rsidR="00D3634D" w:rsidRPr="000059C2">
        <w:rPr>
          <w:rFonts w:ascii="STKaiti" w:eastAsia="STKaiti" w:hAnsi="STKaiti"/>
          <w:b w:val="0"/>
          <w:bCs/>
          <w:lang w:val="en-US" w:eastAsia="zh-CN"/>
        </w:rPr>
        <w:t>B</w:t>
      </w:r>
      <w:r w:rsidRPr="000059C2">
        <w:rPr>
          <w:rFonts w:ascii="STKaiti" w:eastAsia="STKaiti" w:hAnsi="STKaiti" w:hint="eastAsia"/>
          <w:b w:val="0"/>
          <w:bCs/>
          <w:lang w:val="en-US" w:eastAsia="zh-CN"/>
        </w:rPr>
        <w:t>和</w:t>
      </w:r>
      <w:r w:rsidR="00D3634D" w:rsidRPr="000059C2">
        <w:rPr>
          <w:rFonts w:ascii="STKaiti" w:eastAsia="STKaiti" w:hAnsi="STKaiti"/>
          <w:b w:val="0"/>
          <w:bCs/>
          <w:lang w:val="en-US" w:eastAsia="zh-CN"/>
        </w:rPr>
        <w:t>C</w:t>
      </w:r>
      <w:r w:rsidRPr="000059C2">
        <w:rPr>
          <w:rFonts w:ascii="STKaiti" w:eastAsia="STKaiti" w:hAnsi="STKaiti" w:hint="eastAsia"/>
          <w:b w:val="0"/>
          <w:bCs/>
          <w:lang w:val="en-US" w:eastAsia="zh-CN"/>
        </w:rPr>
        <w:t>）</w:t>
      </w:r>
    </w:p>
    <w:p w:rsidR="000059C2" w:rsidRDefault="000059C2" w:rsidP="00C04637">
      <w:pPr>
        <w:ind w:firstLineChars="200" w:firstLine="480"/>
        <w:rPr>
          <w:lang w:val="en-US" w:eastAsia="zh-CN"/>
        </w:rPr>
      </w:pPr>
      <w:r>
        <w:rPr>
          <w:rFonts w:hint="eastAsia"/>
          <w:lang w:val="en-US" w:eastAsia="zh-CN"/>
        </w:rPr>
        <w:t>除</w:t>
      </w:r>
      <w:r w:rsidR="00C04637">
        <w:rPr>
          <w:rFonts w:hint="eastAsia"/>
          <w:lang w:val="en-US" w:eastAsia="zh-CN"/>
        </w:rPr>
        <w:t>非</w:t>
      </w:r>
      <w:r>
        <w:rPr>
          <w:rFonts w:hint="eastAsia"/>
          <w:lang w:val="en-US" w:eastAsia="zh-CN"/>
        </w:rPr>
        <w:t>发出通知的主管部门提出请求，</w:t>
      </w:r>
      <w:r w:rsidR="00C04637">
        <w:rPr>
          <w:rFonts w:hint="eastAsia"/>
          <w:lang w:val="en-US" w:eastAsia="zh-CN"/>
        </w:rPr>
        <w:t>否则在合并后的卫星网络的单一通知中，卫星天线波束的指定和相关单一</w:t>
      </w:r>
      <w:r>
        <w:rPr>
          <w:rFonts w:hint="eastAsia"/>
          <w:lang w:val="en-US" w:eastAsia="zh-CN"/>
        </w:rPr>
        <w:t>特性（</w:t>
      </w:r>
      <w:r w:rsidR="00C04637">
        <w:rPr>
          <w:rFonts w:hint="eastAsia"/>
          <w:lang w:val="en-US" w:eastAsia="zh-CN"/>
        </w:rPr>
        <w:t>增益和增益等值线图，在</w:t>
      </w:r>
      <w:r w:rsidR="00C04637">
        <w:rPr>
          <w:rFonts w:hint="eastAsia"/>
          <w:lang w:val="en-US" w:eastAsia="zh-CN"/>
        </w:rPr>
        <w:t>GSO</w:t>
      </w:r>
      <w:r>
        <w:rPr>
          <w:rFonts w:hint="eastAsia"/>
          <w:lang w:val="en-US" w:eastAsia="zh-CN"/>
        </w:rPr>
        <w:t>未</w:t>
      </w:r>
      <w:r w:rsidR="00C04637">
        <w:rPr>
          <w:rFonts w:hint="eastAsia"/>
          <w:lang w:val="en-US" w:eastAsia="zh-CN"/>
        </w:rPr>
        <w:t>受到地球和</w:t>
      </w:r>
      <w:r>
        <w:rPr>
          <w:rFonts w:hint="eastAsia"/>
          <w:lang w:val="en-US" w:eastAsia="zh-CN"/>
        </w:rPr>
        <w:t>服务区阻碍的</w:t>
      </w:r>
      <w:r w:rsidR="00C04637">
        <w:rPr>
          <w:rFonts w:hint="eastAsia"/>
          <w:lang w:val="en-US" w:eastAsia="zh-CN"/>
        </w:rPr>
        <w:t>一方的</w:t>
      </w:r>
      <w:r>
        <w:rPr>
          <w:rFonts w:hint="eastAsia"/>
          <w:lang w:val="en-US" w:eastAsia="zh-CN"/>
        </w:rPr>
        <w:t>天线辐射方向图和天线增益图）</w:t>
      </w:r>
      <w:r w:rsidR="00C04637">
        <w:rPr>
          <w:rFonts w:hint="eastAsia"/>
          <w:lang w:val="en-US" w:eastAsia="zh-CN"/>
        </w:rPr>
        <w:t>将作为不同的</w:t>
      </w:r>
      <w:r>
        <w:rPr>
          <w:rFonts w:hint="eastAsia"/>
          <w:lang w:val="en-US" w:eastAsia="zh-CN"/>
        </w:rPr>
        <w:t>波束</w:t>
      </w:r>
      <w:r w:rsidR="00C04637">
        <w:rPr>
          <w:rFonts w:hint="eastAsia"/>
          <w:lang w:val="en-US" w:eastAsia="zh-CN"/>
        </w:rPr>
        <w:t>而</w:t>
      </w:r>
      <w:r>
        <w:rPr>
          <w:rFonts w:hint="eastAsia"/>
          <w:lang w:val="en-US" w:eastAsia="zh-CN"/>
        </w:rPr>
        <w:t>保持不变。</w:t>
      </w:r>
    </w:p>
    <w:p w:rsidR="000059C2" w:rsidRDefault="00C04637" w:rsidP="00C04637">
      <w:pPr>
        <w:ind w:firstLineChars="200" w:firstLine="480"/>
        <w:rPr>
          <w:lang w:val="en-US" w:eastAsia="zh-CN"/>
        </w:rPr>
      </w:pPr>
      <w:r>
        <w:rPr>
          <w:rFonts w:hint="eastAsia"/>
          <w:lang w:val="en-US" w:eastAsia="zh-CN"/>
        </w:rPr>
        <w:t>无论其特性如何，</w:t>
      </w:r>
      <w:r w:rsidR="000059C2">
        <w:rPr>
          <w:rFonts w:hint="eastAsia"/>
          <w:lang w:val="en-US" w:eastAsia="zh-CN"/>
        </w:rPr>
        <w:t>一个卫星天线波束的每组频率指配（包括根据第</w:t>
      </w:r>
      <w:r w:rsidR="000059C2" w:rsidRPr="000059C2">
        <w:rPr>
          <w:rFonts w:hint="eastAsia"/>
          <w:b/>
          <w:bCs/>
          <w:lang w:val="en-US" w:eastAsia="zh-CN"/>
        </w:rPr>
        <w:t>9.34</w:t>
      </w:r>
      <w:r>
        <w:rPr>
          <w:rFonts w:hint="eastAsia"/>
          <w:lang w:val="en-US" w:eastAsia="zh-CN"/>
        </w:rPr>
        <w:t>款收到完整资料的日期）将保持不变和各自独立</w:t>
      </w:r>
      <w:r w:rsidR="000059C2">
        <w:rPr>
          <w:rFonts w:hint="eastAsia"/>
          <w:lang w:val="en-US" w:eastAsia="zh-CN"/>
        </w:rPr>
        <w:t>。</w:t>
      </w:r>
    </w:p>
    <w:p w:rsidR="000059C2" w:rsidRDefault="000059C2" w:rsidP="0003598B">
      <w:pPr>
        <w:ind w:firstLineChars="200" w:firstLine="480"/>
        <w:rPr>
          <w:lang w:val="en-US" w:eastAsia="zh-CN"/>
        </w:rPr>
      </w:pPr>
      <w:r>
        <w:rPr>
          <w:rFonts w:hint="eastAsia"/>
          <w:lang w:val="en-US" w:eastAsia="zh-CN"/>
        </w:rPr>
        <w:lastRenderedPageBreak/>
        <w:t>对于包含波束捆绑表的卫星网络通知的合并</w:t>
      </w:r>
      <w:r w:rsidR="00EE6D93">
        <w:rPr>
          <w:rFonts w:hint="eastAsia"/>
          <w:lang w:val="en-US" w:eastAsia="zh-CN"/>
        </w:rPr>
        <w:t>，将在个案</w:t>
      </w:r>
      <w:r w:rsidR="009A0D02">
        <w:rPr>
          <w:rFonts w:hint="eastAsia"/>
          <w:lang w:val="en-US" w:eastAsia="zh-CN"/>
        </w:rPr>
        <w:t>的基础上开展特定研究。</w:t>
      </w:r>
    </w:p>
    <w:p w:rsidR="009A0D02" w:rsidRPr="009A0D02" w:rsidRDefault="009A0D02" w:rsidP="0003598B">
      <w:pPr>
        <w:pStyle w:val="Heading2"/>
        <w:rPr>
          <w:b w:val="0"/>
          <w:bCs/>
          <w:lang w:val="en-US" w:eastAsia="zh-CN"/>
        </w:rPr>
      </w:pPr>
      <w:r w:rsidRPr="009A0D02">
        <w:rPr>
          <w:rFonts w:hint="eastAsia"/>
          <w:b w:val="0"/>
          <w:bCs/>
          <w:lang w:val="en-US" w:eastAsia="zh-CN"/>
        </w:rPr>
        <w:t>2.4</w:t>
      </w:r>
      <w:r w:rsidRPr="009A0D02">
        <w:rPr>
          <w:rFonts w:hint="eastAsia"/>
          <w:b w:val="0"/>
          <w:bCs/>
          <w:lang w:val="en-US" w:eastAsia="zh-CN"/>
        </w:rPr>
        <w:tab/>
      </w:r>
      <w:r w:rsidRPr="009A0D02">
        <w:rPr>
          <w:rFonts w:ascii="STKaiti" w:eastAsia="STKaiti" w:hAnsi="STKaiti" w:hint="eastAsia"/>
          <w:b w:val="0"/>
          <w:bCs/>
          <w:lang w:val="en-US" w:eastAsia="zh-CN"/>
        </w:rPr>
        <w:t>通知和组的标识符</w:t>
      </w:r>
    </w:p>
    <w:p w:rsidR="009A0D02" w:rsidRPr="009A0D02" w:rsidRDefault="00EE6D93" w:rsidP="00F451B9">
      <w:pPr>
        <w:ind w:firstLineChars="200" w:firstLine="480"/>
        <w:rPr>
          <w:lang w:val="en-US" w:eastAsia="zh-CN"/>
        </w:rPr>
      </w:pPr>
      <w:r>
        <w:rPr>
          <w:rFonts w:hint="eastAsia"/>
          <w:lang w:val="en-US" w:eastAsia="zh-CN"/>
        </w:rPr>
        <w:t>合并后的通知</w:t>
      </w:r>
      <w:r w:rsidR="009A0D02">
        <w:rPr>
          <w:rFonts w:hint="eastAsia"/>
          <w:lang w:val="en-US" w:eastAsia="zh-CN"/>
        </w:rPr>
        <w:t>将仅保留一个标识符（通知</w:t>
      </w:r>
      <w:r>
        <w:rPr>
          <w:rFonts w:hint="eastAsia"/>
          <w:lang w:val="en-US" w:eastAsia="zh-CN"/>
        </w:rPr>
        <w:t>标识</w:t>
      </w:r>
      <w:r w:rsidR="009A0D02">
        <w:rPr>
          <w:rFonts w:hint="eastAsia"/>
          <w:lang w:val="en-US" w:eastAsia="zh-CN"/>
        </w:rPr>
        <w:t>）；</w:t>
      </w:r>
      <w:r>
        <w:rPr>
          <w:rFonts w:hint="eastAsia"/>
          <w:lang w:val="en-US" w:eastAsia="zh-CN"/>
        </w:rPr>
        <w:t>已</w:t>
      </w:r>
      <w:r w:rsidR="009A0D02">
        <w:rPr>
          <w:rFonts w:hint="eastAsia"/>
          <w:lang w:val="en-US" w:eastAsia="zh-CN"/>
        </w:rPr>
        <w:t>在</w:t>
      </w:r>
      <w:r w:rsidR="009A0D02">
        <w:rPr>
          <w:rFonts w:hint="eastAsia"/>
          <w:lang w:val="en-US" w:eastAsia="zh-CN"/>
        </w:rPr>
        <w:t>MIFR</w:t>
      </w:r>
      <w:r w:rsidR="009A0D02">
        <w:rPr>
          <w:rFonts w:hint="eastAsia"/>
          <w:lang w:val="en-US" w:eastAsia="zh-CN"/>
        </w:rPr>
        <w:t>中登记的</w:t>
      </w:r>
      <w:r w:rsidR="00F451B9">
        <w:rPr>
          <w:rFonts w:hint="eastAsia"/>
          <w:lang w:val="en-US" w:eastAsia="zh-CN"/>
        </w:rPr>
        <w:t>其他</w:t>
      </w:r>
      <w:r>
        <w:rPr>
          <w:rFonts w:hint="eastAsia"/>
          <w:lang w:val="en-US" w:eastAsia="zh-CN"/>
        </w:rPr>
        <w:t>相关</w:t>
      </w:r>
      <w:r w:rsidR="009A0D02">
        <w:rPr>
          <w:rFonts w:hint="eastAsia"/>
          <w:lang w:val="en-US" w:eastAsia="zh-CN"/>
        </w:rPr>
        <w:t>网络的通知</w:t>
      </w:r>
      <w:r w:rsidR="00F451B9">
        <w:rPr>
          <w:rFonts w:hint="eastAsia"/>
          <w:lang w:val="en-US" w:eastAsia="zh-CN"/>
        </w:rPr>
        <w:t>标识在系统中</w:t>
      </w:r>
      <w:r w:rsidR="009A0D02">
        <w:rPr>
          <w:rFonts w:hint="eastAsia"/>
          <w:lang w:val="en-US" w:eastAsia="zh-CN"/>
        </w:rPr>
        <w:t>将</w:t>
      </w:r>
      <w:r w:rsidR="00F451B9">
        <w:rPr>
          <w:rFonts w:hint="eastAsia"/>
          <w:lang w:val="en-US" w:eastAsia="zh-CN"/>
        </w:rPr>
        <w:t>被取消。频率指配组独一</w:t>
      </w:r>
      <w:r w:rsidR="009A0D02">
        <w:rPr>
          <w:rFonts w:hint="eastAsia"/>
          <w:lang w:val="en-US" w:eastAsia="zh-CN"/>
        </w:rPr>
        <w:t>的原始标识符（组</w:t>
      </w:r>
      <w:r>
        <w:rPr>
          <w:rFonts w:hint="eastAsia"/>
          <w:lang w:val="en-US" w:eastAsia="zh-CN"/>
        </w:rPr>
        <w:t>标识</w:t>
      </w:r>
      <w:r w:rsidR="009A0D02">
        <w:rPr>
          <w:rFonts w:hint="eastAsia"/>
          <w:lang w:val="en-US" w:eastAsia="zh-CN"/>
        </w:rPr>
        <w:t>）将予以保留。</w:t>
      </w:r>
    </w:p>
    <w:p w:rsidR="00D3634D" w:rsidRPr="00C20325" w:rsidRDefault="009A0D02" w:rsidP="0003598B">
      <w:pPr>
        <w:pStyle w:val="Heading1"/>
        <w:rPr>
          <w:lang w:val="en-US" w:eastAsia="zh-CN"/>
        </w:rPr>
      </w:pPr>
      <w:r>
        <w:rPr>
          <w:lang w:val="en-US" w:eastAsia="zh-CN"/>
        </w:rPr>
        <w:t>3</w:t>
      </w:r>
      <w:r w:rsidR="00D3634D" w:rsidRPr="00C20325">
        <w:rPr>
          <w:lang w:val="en-US" w:eastAsia="zh-CN"/>
        </w:rPr>
        <w:tab/>
        <w:t>BR IFIC</w:t>
      </w:r>
      <w:r>
        <w:rPr>
          <w:rFonts w:hint="eastAsia"/>
          <w:lang w:val="en-US" w:eastAsia="zh-CN"/>
        </w:rPr>
        <w:t>（空间业务）和</w:t>
      </w:r>
      <w:r w:rsidR="00D3634D" w:rsidRPr="00C20325">
        <w:rPr>
          <w:lang w:val="en-US" w:eastAsia="zh-CN"/>
        </w:rPr>
        <w:t>BR IFIC</w:t>
      </w:r>
      <w:r>
        <w:rPr>
          <w:rFonts w:hint="eastAsia"/>
          <w:lang w:val="en-US" w:eastAsia="zh-CN"/>
        </w:rPr>
        <w:t>附件</w:t>
      </w:r>
    </w:p>
    <w:p w:rsidR="00D3634D" w:rsidRDefault="00D3634D" w:rsidP="0003598B">
      <w:pPr>
        <w:pStyle w:val="Heading2"/>
        <w:rPr>
          <w:rFonts w:ascii="STKaiti" w:eastAsia="STKaiti" w:hAnsi="STKaiti"/>
          <w:b w:val="0"/>
          <w:bCs/>
          <w:lang w:val="en-US" w:eastAsia="zh-CN"/>
        </w:rPr>
      </w:pPr>
      <w:r w:rsidRPr="009A0D02">
        <w:rPr>
          <w:b w:val="0"/>
          <w:bCs/>
          <w:lang w:val="en-US" w:eastAsia="zh-CN"/>
        </w:rPr>
        <w:t>3.1</w:t>
      </w:r>
      <w:r w:rsidRPr="009A0D02">
        <w:rPr>
          <w:b w:val="0"/>
          <w:bCs/>
          <w:lang w:val="en-US" w:eastAsia="zh-CN"/>
        </w:rPr>
        <w:tab/>
      </w:r>
      <w:r w:rsidRPr="00F451B9">
        <w:rPr>
          <w:rFonts w:ascii="STKaiti" w:eastAsia="STKaiti" w:hAnsi="STKaiti"/>
          <w:b w:val="0"/>
          <w:bCs/>
          <w:lang w:val="en-US" w:eastAsia="zh-CN"/>
        </w:rPr>
        <w:t>I-S</w:t>
      </w:r>
      <w:r w:rsidR="009A0D02" w:rsidRPr="00F451B9">
        <w:rPr>
          <w:rFonts w:ascii="STKaiti" w:eastAsia="STKaiti" w:hAnsi="STKaiti" w:hint="eastAsia"/>
          <w:b w:val="0"/>
          <w:bCs/>
          <w:lang w:val="en-US" w:eastAsia="zh-CN"/>
        </w:rPr>
        <w:t>部分</w:t>
      </w:r>
    </w:p>
    <w:p w:rsidR="00D3634D" w:rsidRPr="00C20325" w:rsidRDefault="00F451B9" w:rsidP="00DC068F">
      <w:pPr>
        <w:ind w:firstLineChars="200" w:firstLine="480"/>
        <w:rPr>
          <w:szCs w:val="24"/>
          <w:lang w:val="en-US" w:eastAsia="zh-CN"/>
        </w:rPr>
      </w:pPr>
      <w:r>
        <w:rPr>
          <w:rFonts w:hint="eastAsia"/>
          <w:lang w:val="en-US" w:eastAsia="zh-CN"/>
        </w:rPr>
        <w:t>有关合并网络的资料（包括对相关</w:t>
      </w:r>
      <w:r w:rsidR="009A0D02">
        <w:rPr>
          <w:rFonts w:hint="eastAsia"/>
          <w:lang w:val="en-US" w:eastAsia="zh-CN"/>
        </w:rPr>
        <w:t>卫星网络的参考引证）将发表在</w:t>
      </w:r>
      <w:r w:rsidR="00D3634D" w:rsidRPr="00C20325">
        <w:rPr>
          <w:szCs w:val="24"/>
          <w:lang w:val="en-US" w:eastAsia="zh-CN"/>
        </w:rPr>
        <w:t>BR IFIC</w:t>
      </w:r>
      <w:r w:rsidR="009A0D02">
        <w:rPr>
          <w:rFonts w:hint="eastAsia"/>
          <w:szCs w:val="24"/>
          <w:lang w:val="en-US" w:eastAsia="zh-CN"/>
        </w:rPr>
        <w:t>（空间业务）</w:t>
      </w:r>
      <w:r w:rsidR="009A0D02">
        <w:rPr>
          <w:rFonts w:hint="eastAsia"/>
          <w:szCs w:val="24"/>
          <w:lang w:val="en-US" w:eastAsia="zh-CN"/>
        </w:rPr>
        <w:t>I-S</w:t>
      </w:r>
      <w:r w:rsidR="009A0D02">
        <w:rPr>
          <w:rFonts w:hint="eastAsia"/>
          <w:szCs w:val="24"/>
          <w:lang w:val="en-US" w:eastAsia="zh-CN"/>
        </w:rPr>
        <w:t>部分，并</w:t>
      </w:r>
      <w:r>
        <w:rPr>
          <w:rFonts w:hint="eastAsia"/>
          <w:szCs w:val="24"/>
          <w:lang w:val="en-US" w:eastAsia="zh-CN"/>
        </w:rPr>
        <w:t>通过空间</w:t>
      </w:r>
      <w:r>
        <w:rPr>
          <w:szCs w:val="24"/>
          <w:lang w:val="en-US" w:eastAsia="zh-CN"/>
        </w:rPr>
        <w:t>BR IFIC</w:t>
      </w:r>
      <w:r>
        <w:rPr>
          <w:rFonts w:hint="eastAsia"/>
          <w:szCs w:val="24"/>
          <w:lang w:val="en-US" w:eastAsia="zh-CN"/>
        </w:rPr>
        <w:t xml:space="preserve"> </w:t>
      </w:r>
      <w:r>
        <w:rPr>
          <w:rFonts w:hint="eastAsia"/>
          <w:szCs w:val="24"/>
          <w:lang w:val="en-US" w:eastAsia="zh-CN"/>
        </w:rPr>
        <w:t>的</w:t>
      </w:r>
      <w:r w:rsidRPr="00C20325">
        <w:rPr>
          <w:szCs w:val="24"/>
          <w:lang w:val="en-US" w:eastAsia="zh-CN"/>
        </w:rPr>
        <w:t>DVD</w:t>
      </w:r>
      <w:r>
        <w:rPr>
          <w:rFonts w:hint="eastAsia"/>
          <w:szCs w:val="24"/>
          <w:lang w:val="en-US" w:eastAsia="zh-CN"/>
        </w:rPr>
        <w:t>光盘分发至</w:t>
      </w:r>
      <w:r w:rsidR="00050B04">
        <w:rPr>
          <w:rFonts w:hint="eastAsia"/>
          <w:szCs w:val="24"/>
          <w:lang w:val="en-US" w:eastAsia="zh-CN"/>
        </w:rPr>
        <w:t>相应数据库（</w:t>
      </w:r>
      <w:r w:rsidR="00D3634D" w:rsidRPr="00C20325">
        <w:rPr>
          <w:szCs w:val="24"/>
          <w:lang w:val="en-US" w:eastAsia="zh-CN"/>
        </w:rPr>
        <w:t>SRS</w:t>
      </w:r>
      <w:r w:rsidR="00050B04">
        <w:rPr>
          <w:szCs w:val="24"/>
          <w:lang w:val="en-US" w:eastAsia="zh-CN"/>
        </w:rPr>
        <w:t>、</w:t>
      </w:r>
      <w:r w:rsidR="00D3634D" w:rsidRPr="00C20325">
        <w:rPr>
          <w:szCs w:val="24"/>
          <w:lang w:val="en-US" w:eastAsia="zh-CN"/>
        </w:rPr>
        <w:t>SPS</w:t>
      </w:r>
      <w:r w:rsidR="00050B04">
        <w:rPr>
          <w:szCs w:val="24"/>
          <w:lang w:val="en-US" w:eastAsia="zh-CN"/>
        </w:rPr>
        <w:t>、</w:t>
      </w:r>
      <w:r w:rsidR="00D3634D" w:rsidRPr="00C20325">
        <w:rPr>
          <w:szCs w:val="24"/>
          <w:lang w:val="en-US" w:eastAsia="zh-CN"/>
        </w:rPr>
        <w:t>AP30B</w:t>
      </w:r>
      <w:r w:rsidR="00050B04">
        <w:rPr>
          <w:szCs w:val="24"/>
          <w:lang w:val="en-US" w:eastAsia="zh-CN"/>
        </w:rPr>
        <w:t>、</w:t>
      </w:r>
      <w:r w:rsidR="00D3634D" w:rsidRPr="00C20325">
        <w:rPr>
          <w:szCs w:val="24"/>
          <w:lang w:val="en-US" w:eastAsia="zh-CN"/>
        </w:rPr>
        <w:t>GIMS</w:t>
      </w:r>
      <w:r w:rsidR="00050B04">
        <w:rPr>
          <w:szCs w:val="24"/>
          <w:lang w:val="en-US" w:eastAsia="zh-CN"/>
        </w:rPr>
        <w:t>、</w:t>
      </w:r>
      <w:r w:rsidR="00D3634D" w:rsidRPr="00C20325">
        <w:rPr>
          <w:szCs w:val="24"/>
          <w:lang w:val="en-US" w:eastAsia="zh-CN"/>
        </w:rPr>
        <w:t>SNL</w:t>
      </w:r>
      <w:r>
        <w:rPr>
          <w:rFonts w:hint="eastAsia"/>
          <w:szCs w:val="24"/>
          <w:lang w:val="en-US" w:eastAsia="zh-CN"/>
        </w:rPr>
        <w:t>）</w:t>
      </w:r>
      <w:r w:rsidR="00050B04">
        <w:rPr>
          <w:rFonts w:hint="eastAsia"/>
          <w:szCs w:val="24"/>
          <w:lang w:val="en-US" w:eastAsia="zh-CN"/>
        </w:rPr>
        <w:t>。</w:t>
      </w:r>
    </w:p>
    <w:p w:rsidR="00D3634D" w:rsidRPr="009A0D02" w:rsidRDefault="00D3634D" w:rsidP="0003598B">
      <w:pPr>
        <w:pStyle w:val="Heading2"/>
        <w:rPr>
          <w:b w:val="0"/>
          <w:bCs/>
          <w:lang w:val="en-US" w:eastAsia="zh-CN"/>
        </w:rPr>
      </w:pPr>
      <w:r w:rsidRPr="009A0D02">
        <w:rPr>
          <w:b w:val="0"/>
          <w:bCs/>
          <w:lang w:val="en-US" w:eastAsia="zh-CN"/>
        </w:rPr>
        <w:t>3.2</w:t>
      </w:r>
      <w:r w:rsidRPr="009A0D02">
        <w:rPr>
          <w:b w:val="0"/>
          <w:bCs/>
          <w:lang w:val="en-US" w:eastAsia="zh-CN"/>
        </w:rPr>
        <w:tab/>
      </w:r>
      <w:r w:rsidR="00C76CB2" w:rsidRPr="00C76CB2">
        <w:rPr>
          <w:rFonts w:ascii="STKaiti" w:eastAsia="STKaiti" w:hAnsi="STKaiti" w:hint="eastAsia"/>
          <w:b w:val="0"/>
          <w:bCs/>
          <w:lang w:val="en-US" w:eastAsia="zh-CN"/>
        </w:rPr>
        <w:t>特节</w:t>
      </w:r>
    </w:p>
    <w:p w:rsidR="00D3634D" w:rsidRPr="00C20325" w:rsidRDefault="00F451B9" w:rsidP="00304AA4">
      <w:pPr>
        <w:ind w:firstLineChars="200" w:firstLine="480"/>
        <w:rPr>
          <w:szCs w:val="24"/>
          <w:lang w:val="en-US" w:eastAsia="zh-CN"/>
        </w:rPr>
      </w:pPr>
      <w:r>
        <w:rPr>
          <w:rFonts w:hint="eastAsia"/>
          <w:szCs w:val="24"/>
          <w:lang w:val="en-US" w:eastAsia="zh-CN"/>
        </w:rPr>
        <w:t>在</w:t>
      </w:r>
      <w:r>
        <w:rPr>
          <w:rFonts w:hint="eastAsia"/>
          <w:szCs w:val="24"/>
          <w:lang w:val="en-US" w:eastAsia="zh-CN"/>
        </w:rPr>
        <w:t>MIFR</w:t>
      </w:r>
      <w:r>
        <w:rPr>
          <w:rFonts w:hint="eastAsia"/>
          <w:szCs w:val="24"/>
          <w:lang w:val="en-US" w:eastAsia="zh-CN"/>
        </w:rPr>
        <w:t>登记的</w:t>
      </w:r>
      <w:r w:rsidR="00C76CB2">
        <w:rPr>
          <w:rFonts w:hint="eastAsia"/>
          <w:szCs w:val="24"/>
          <w:lang w:val="en-US" w:eastAsia="zh-CN"/>
        </w:rPr>
        <w:t>合并</w:t>
      </w:r>
      <w:r>
        <w:rPr>
          <w:rFonts w:hint="eastAsia"/>
          <w:szCs w:val="24"/>
          <w:lang w:val="en-US" w:eastAsia="zh-CN"/>
        </w:rPr>
        <w:t>后卫星网络中述及的不同卫星网络的特节</w:t>
      </w:r>
      <w:r w:rsidR="00C76CB2">
        <w:rPr>
          <w:rFonts w:hint="eastAsia"/>
          <w:szCs w:val="24"/>
          <w:lang w:val="en-US" w:eastAsia="zh-CN"/>
        </w:rPr>
        <w:t>（</w:t>
      </w:r>
      <w:r w:rsidR="00C76CB2" w:rsidRPr="00C20325">
        <w:rPr>
          <w:szCs w:val="24"/>
          <w:lang w:val="en-US" w:eastAsia="zh-CN"/>
        </w:rPr>
        <w:t>API/A</w:t>
      </w:r>
      <w:r w:rsidR="00C76CB2">
        <w:rPr>
          <w:szCs w:val="24"/>
          <w:lang w:val="en-US" w:eastAsia="zh-CN"/>
        </w:rPr>
        <w:t>、</w:t>
      </w:r>
      <w:r w:rsidR="00C76CB2" w:rsidRPr="00C20325">
        <w:rPr>
          <w:szCs w:val="24"/>
          <w:lang w:val="en-US" w:eastAsia="zh-CN"/>
        </w:rPr>
        <w:t>CR/C</w:t>
      </w:r>
      <w:r w:rsidR="00C76CB2">
        <w:rPr>
          <w:szCs w:val="24"/>
          <w:lang w:val="en-US" w:eastAsia="zh-CN"/>
        </w:rPr>
        <w:t>、</w:t>
      </w:r>
      <w:r w:rsidR="00C76CB2" w:rsidRPr="00C20325">
        <w:rPr>
          <w:szCs w:val="24"/>
          <w:lang w:val="en-US" w:eastAsia="zh-CN"/>
        </w:rPr>
        <w:t>CR/D</w:t>
      </w:r>
      <w:r w:rsidR="00C76CB2">
        <w:rPr>
          <w:szCs w:val="24"/>
          <w:lang w:val="en-US" w:eastAsia="zh-CN"/>
        </w:rPr>
        <w:t>、</w:t>
      </w:r>
      <w:r w:rsidR="00C76CB2" w:rsidRPr="00C20325">
        <w:rPr>
          <w:szCs w:val="24"/>
          <w:lang w:val="en-US" w:eastAsia="zh-CN"/>
        </w:rPr>
        <w:t>AP30/E</w:t>
      </w:r>
      <w:r w:rsidR="00C76CB2">
        <w:rPr>
          <w:szCs w:val="24"/>
          <w:lang w:val="en-US" w:eastAsia="zh-CN"/>
        </w:rPr>
        <w:t>、</w:t>
      </w:r>
      <w:r w:rsidR="00C76CB2" w:rsidRPr="00C20325">
        <w:rPr>
          <w:szCs w:val="24"/>
          <w:lang w:val="en-US" w:eastAsia="zh-CN"/>
        </w:rPr>
        <w:t>AP30A/E</w:t>
      </w:r>
      <w:r w:rsidR="00C76CB2">
        <w:rPr>
          <w:szCs w:val="24"/>
          <w:lang w:val="en-US" w:eastAsia="zh-CN"/>
        </w:rPr>
        <w:t>、</w:t>
      </w:r>
      <w:r w:rsidR="00C76CB2" w:rsidRPr="00C20325">
        <w:rPr>
          <w:szCs w:val="24"/>
          <w:lang w:val="en-US" w:eastAsia="zh-CN"/>
        </w:rPr>
        <w:t>AP30-30A/E/</w:t>
      </w:r>
      <w:r w:rsidR="00C76CB2">
        <w:rPr>
          <w:szCs w:val="24"/>
          <w:lang w:val="en-US" w:eastAsia="zh-CN"/>
        </w:rPr>
        <w:t>、</w:t>
      </w:r>
      <w:r w:rsidR="00C76CB2" w:rsidRPr="00C20325">
        <w:rPr>
          <w:szCs w:val="24"/>
          <w:lang w:val="en-US" w:eastAsia="zh-CN"/>
        </w:rPr>
        <w:t>AP30B/A6B…</w:t>
      </w:r>
      <w:r>
        <w:rPr>
          <w:rFonts w:hint="eastAsia"/>
          <w:szCs w:val="24"/>
          <w:lang w:val="en-US" w:eastAsia="zh-CN"/>
        </w:rPr>
        <w:t>）无需进行新的发布。</w:t>
      </w:r>
      <w:r w:rsidR="00304AA4">
        <w:rPr>
          <w:rFonts w:hint="eastAsia"/>
          <w:szCs w:val="24"/>
          <w:lang w:val="en-US" w:eastAsia="zh-CN"/>
        </w:rPr>
        <w:t>将在附录</w:t>
      </w:r>
      <w:r w:rsidR="00304AA4">
        <w:rPr>
          <w:rFonts w:hint="eastAsia"/>
          <w:szCs w:val="24"/>
          <w:lang w:val="en-US" w:eastAsia="zh-CN"/>
        </w:rPr>
        <w:t>4</w:t>
      </w:r>
      <w:r w:rsidR="00304AA4">
        <w:rPr>
          <w:rFonts w:hint="eastAsia"/>
          <w:szCs w:val="24"/>
          <w:lang w:val="en-US" w:eastAsia="zh-CN"/>
        </w:rPr>
        <w:t>第</w:t>
      </w:r>
      <w:r w:rsidR="00304AA4">
        <w:rPr>
          <w:rFonts w:hint="eastAsia"/>
          <w:szCs w:val="24"/>
          <w:lang w:val="en-US" w:eastAsia="zh-CN"/>
        </w:rPr>
        <w:t>A.13</w:t>
      </w:r>
      <w:r w:rsidR="00304AA4">
        <w:rPr>
          <w:rFonts w:hint="eastAsia"/>
          <w:szCs w:val="24"/>
          <w:lang w:val="en-US" w:eastAsia="zh-CN"/>
        </w:rPr>
        <w:t>项下对</w:t>
      </w:r>
      <w:r>
        <w:rPr>
          <w:rFonts w:hint="eastAsia"/>
          <w:szCs w:val="24"/>
          <w:lang w:val="en-US" w:eastAsia="zh-CN"/>
        </w:rPr>
        <w:t>相关</w:t>
      </w:r>
      <w:r w:rsidR="00304AA4">
        <w:rPr>
          <w:rFonts w:hint="eastAsia"/>
          <w:szCs w:val="24"/>
          <w:lang w:val="en-US" w:eastAsia="zh-CN"/>
        </w:rPr>
        <w:t>的</w:t>
      </w:r>
      <w:r>
        <w:rPr>
          <w:rFonts w:hint="eastAsia"/>
          <w:szCs w:val="24"/>
          <w:lang w:val="en-US" w:eastAsia="zh-CN"/>
        </w:rPr>
        <w:t>特节</w:t>
      </w:r>
      <w:r w:rsidR="00C76CB2">
        <w:rPr>
          <w:rFonts w:hint="eastAsia"/>
          <w:szCs w:val="24"/>
          <w:lang w:val="en-US" w:eastAsia="zh-CN"/>
        </w:rPr>
        <w:t>信息以及合并</w:t>
      </w:r>
      <w:r>
        <w:rPr>
          <w:rFonts w:hint="eastAsia"/>
          <w:szCs w:val="24"/>
          <w:lang w:val="en-US" w:eastAsia="zh-CN"/>
        </w:rPr>
        <w:t>后</w:t>
      </w:r>
      <w:r w:rsidR="00C76CB2">
        <w:rPr>
          <w:rFonts w:hint="eastAsia"/>
          <w:szCs w:val="24"/>
          <w:lang w:val="en-US" w:eastAsia="zh-CN"/>
        </w:rPr>
        <w:t>卫星网络的</w:t>
      </w:r>
      <w:r w:rsidR="00C76CB2">
        <w:rPr>
          <w:rFonts w:hint="eastAsia"/>
          <w:szCs w:val="24"/>
          <w:lang w:val="en-US" w:eastAsia="zh-CN"/>
        </w:rPr>
        <w:t>I-S</w:t>
      </w:r>
      <w:r w:rsidR="00304AA4">
        <w:rPr>
          <w:rFonts w:hint="eastAsia"/>
          <w:szCs w:val="24"/>
          <w:lang w:val="en-US" w:eastAsia="zh-CN"/>
        </w:rPr>
        <w:t>部分做出说明</w:t>
      </w:r>
      <w:r w:rsidR="00C76CB2">
        <w:rPr>
          <w:rFonts w:hint="eastAsia"/>
          <w:szCs w:val="24"/>
          <w:lang w:val="en-US" w:eastAsia="zh-CN"/>
        </w:rPr>
        <w:t>（对</w:t>
      </w:r>
      <w:r w:rsidR="00304AA4">
        <w:rPr>
          <w:rFonts w:hint="eastAsia"/>
          <w:szCs w:val="24"/>
          <w:lang w:val="en-US" w:eastAsia="zh-CN"/>
        </w:rPr>
        <w:t>已公布</w:t>
      </w:r>
      <w:r w:rsidR="00C76CB2">
        <w:rPr>
          <w:rFonts w:hint="eastAsia"/>
          <w:szCs w:val="24"/>
          <w:lang w:val="en-US" w:eastAsia="zh-CN"/>
        </w:rPr>
        <w:t>的</w:t>
      </w:r>
      <w:r w:rsidR="00D3634D" w:rsidRPr="00C20325">
        <w:rPr>
          <w:szCs w:val="24"/>
          <w:lang w:val="en-US" w:eastAsia="zh-CN"/>
        </w:rPr>
        <w:t>BR IFIC</w:t>
      </w:r>
      <w:r w:rsidR="00304AA4">
        <w:rPr>
          <w:rFonts w:hint="eastAsia"/>
          <w:szCs w:val="24"/>
          <w:lang w:val="en-US" w:eastAsia="zh-CN"/>
        </w:rPr>
        <w:t>特节的参考引证</w:t>
      </w:r>
      <w:r w:rsidR="00C76CB2">
        <w:rPr>
          <w:rFonts w:hint="eastAsia"/>
          <w:szCs w:val="24"/>
          <w:lang w:val="en-US" w:eastAsia="zh-CN"/>
        </w:rPr>
        <w:t>）。</w:t>
      </w:r>
    </w:p>
    <w:p w:rsidR="00D3634D" w:rsidRDefault="00C76CB2" w:rsidP="0003598B">
      <w:pPr>
        <w:pStyle w:val="Heading1"/>
        <w:rPr>
          <w:lang w:val="en-US" w:eastAsia="zh-CN"/>
        </w:rPr>
      </w:pPr>
      <w:r>
        <w:rPr>
          <w:lang w:val="en-US" w:eastAsia="zh-CN"/>
        </w:rPr>
        <w:t>4</w:t>
      </w:r>
      <w:r w:rsidR="00D3634D" w:rsidRPr="00C20325">
        <w:rPr>
          <w:lang w:val="en-US" w:eastAsia="zh-CN"/>
        </w:rPr>
        <w:tab/>
      </w:r>
      <w:r>
        <w:rPr>
          <w:rFonts w:hint="eastAsia"/>
          <w:lang w:val="en-US" w:eastAsia="zh-CN"/>
        </w:rPr>
        <w:t>成本回收</w:t>
      </w:r>
    </w:p>
    <w:p w:rsidR="00C76CB2" w:rsidRDefault="00304AA4" w:rsidP="0003598B">
      <w:pPr>
        <w:ind w:firstLineChars="200" w:firstLine="480"/>
        <w:rPr>
          <w:lang w:val="en-US" w:eastAsia="zh-CN"/>
        </w:rPr>
      </w:pPr>
      <w:r>
        <w:rPr>
          <w:rFonts w:hint="eastAsia"/>
          <w:lang w:val="en-US" w:eastAsia="zh-CN"/>
        </w:rPr>
        <w:t>将</w:t>
      </w:r>
      <w:r w:rsidR="00C76CB2">
        <w:rPr>
          <w:rFonts w:hint="eastAsia"/>
          <w:lang w:val="en-US" w:eastAsia="zh-CN"/>
        </w:rPr>
        <w:t>已登记</w:t>
      </w:r>
      <w:r>
        <w:rPr>
          <w:rFonts w:hint="eastAsia"/>
          <w:lang w:val="en-US" w:eastAsia="zh-CN"/>
        </w:rPr>
        <w:t>的</w:t>
      </w:r>
      <w:r w:rsidR="00C76CB2">
        <w:rPr>
          <w:rFonts w:hint="eastAsia"/>
          <w:lang w:val="en-US" w:eastAsia="zh-CN"/>
        </w:rPr>
        <w:t>频率</w:t>
      </w:r>
      <w:r>
        <w:rPr>
          <w:rFonts w:hint="eastAsia"/>
          <w:lang w:val="en-US" w:eastAsia="zh-CN"/>
        </w:rPr>
        <w:t>指配从不同的卫星网络通知合并为一项通知，要求</w:t>
      </w:r>
      <w:r w:rsidR="00C76CB2">
        <w:rPr>
          <w:rFonts w:hint="eastAsia"/>
          <w:lang w:val="en-US" w:eastAsia="zh-CN"/>
        </w:rPr>
        <w:t>无线电通信局</w:t>
      </w:r>
      <w:r>
        <w:rPr>
          <w:rFonts w:hint="eastAsia"/>
          <w:lang w:val="en-US" w:eastAsia="zh-CN"/>
        </w:rPr>
        <w:t>开展大量的数据处理和公布工作，因而将产生</w:t>
      </w:r>
      <w:r w:rsidR="00C76CB2">
        <w:rPr>
          <w:rFonts w:hint="eastAsia"/>
          <w:lang w:val="en-US" w:eastAsia="zh-CN"/>
        </w:rPr>
        <w:t>理事会第</w:t>
      </w:r>
      <w:r w:rsidR="00C76CB2">
        <w:rPr>
          <w:rFonts w:hint="eastAsia"/>
          <w:lang w:val="en-US" w:eastAsia="zh-CN"/>
        </w:rPr>
        <w:t>482</w:t>
      </w:r>
      <w:r w:rsidR="00C76CB2">
        <w:rPr>
          <w:rFonts w:hint="eastAsia"/>
          <w:lang w:val="en-US" w:eastAsia="zh-CN"/>
        </w:rPr>
        <w:t>号决定</w:t>
      </w:r>
      <w:r>
        <w:rPr>
          <w:rFonts w:hint="eastAsia"/>
          <w:lang w:val="en-US" w:eastAsia="zh-CN"/>
        </w:rPr>
        <w:t>所</w:t>
      </w:r>
      <w:r w:rsidR="00C76CB2">
        <w:rPr>
          <w:rFonts w:hint="eastAsia"/>
          <w:lang w:val="en-US" w:eastAsia="zh-CN"/>
        </w:rPr>
        <w:t>确定的成本回收费用。</w:t>
      </w:r>
    </w:p>
    <w:p w:rsidR="00C76CB2" w:rsidRDefault="00C76CB2" w:rsidP="00304AA4">
      <w:pPr>
        <w:rPr>
          <w:rFonts w:ascii="STKaiti" w:eastAsia="STKaiti" w:hAnsi="STKaiti"/>
          <w:lang w:val="en-US" w:eastAsia="zh-CN"/>
        </w:rPr>
      </w:pPr>
      <w:r w:rsidRPr="00C76CB2">
        <w:rPr>
          <w:rFonts w:ascii="STKaiti" w:eastAsia="STKaiti" w:hAnsi="STKaiti" w:hint="eastAsia"/>
          <w:b/>
          <w:bCs/>
          <w:lang w:val="en-US" w:eastAsia="zh-CN"/>
        </w:rPr>
        <w:t>理由：</w:t>
      </w:r>
      <w:r w:rsidR="00304AA4">
        <w:rPr>
          <w:rFonts w:ascii="STKaiti" w:eastAsia="STKaiti" w:hAnsi="STKaiti" w:hint="eastAsia"/>
          <w:lang w:val="en-US" w:eastAsia="zh-CN"/>
        </w:rPr>
        <w:t>对</w:t>
      </w:r>
      <w:r w:rsidRPr="00C76CB2">
        <w:rPr>
          <w:rFonts w:ascii="STKaiti" w:eastAsia="STKaiti" w:hAnsi="STKaiti" w:hint="eastAsia"/>
          <w:lang w:val="en-US" w:eastAsia="zh-CN"/>
        </w:rPr>
        <w:t>WRC-12在第13次全体会议</w:t>
      </w:r>
      <w:r w:rsidR="00304AA4">
        <w:rPr>
          <w:rFonts w:ascii="STKaiti" w:eastAsia="STKaiti" w:hAnsi="STKaiti" w:hint="eastAsia"/>
          <w:lang w:val="en-US" w:eastAsia="zh-CN"/>
        </w:rPr>
        <w:t>上</w:t>
      </w:r>
      <w:r w:rsidRPr="00C76CB2">
        <w:rPr>
          <w:rFonts w:ascii="STKaiti" w:eastAsia="STKaiti" w:hAnsi="STKaiti" w:hint="eastAsia"/>
          <w:lang w:val="en-US" w:eastAsia="zh-CN"/>
        </w:rPr>
        <w:t>所作决定（554号文件第3.16</w:t>
      </w:r>
      <w:r w:rsidR="00304AA4">
        <w:rPr>
          <w:rFonts w:ascii="STKaiti" w:eastAsia="STKaiti" w:hAnsi="STKaiti" w:hint="eastAsia"/>
          <w:lang w:val="en-US" w:eastAsia="zh-CN"/>
        </w:rPr>
        <w:t>和</w:t>
      </w:r>
      <w:r w:rsidRPr="00C76CB2">
        <w:rPr>
          <w:rFonts w:ascii="STKaiti" w:eastAsia="STKaiti" w:hAnsi="STKaiti" w:hint="eastAsia"/>
          <w:lang w:val="en-US" w:eastAsia="zh-CN"/>
        </w:rPr>
        <w:t>3.17段）</w:t>
      </w:r>
      <w:r w:rsidR="00304AA4">
        <w:rPr>
          <w:rFonts w:ascii="STKaiti" w:eastAsia="STKaiti" w:hAnsi="STKaiti" w:hint="eastAsia"/>
          <w:lang w:val="en-US" w:eastAsia="zh-CN"/>
        </w:rPr>
        <w:t>的后续跟进</w:t>
      </w:r>
    </w:p>
    <w:p w:rsidR="00CA1F2B" w:rsidRPr="00CA1F2B" w:rsidRDefault="00CA1F2B" w:rsidP="0003598B">
      <w:pPr>
        <w:ind w:firstLineChars="200" w:firstLine="480"/>
        <w:rPr>
          <w:rFonts w:ascii="STKaiti" w:eastAsia="STKaiti" w:hAnsi="STKaiti"/>
          <w:lang w:val="en-US" w:eastAsia="zh-CN"/>
        </w:rPr>
      </w:pPr>
      <w:r w:rsidRPr="00CA1F2B">
        <w:rPr>
          <w:rFonts w:ascii="STKaiti" w:eastAsia="STKaiti" w:hAnsi="STKaiti" w:hint="eastAsia"/>
          <w:lang w:eastAsia="zh-CN"/>
        </w:rPr>
        <w:t>“在审议了6号文件的补遗1至补遗28之后，相关方面提请大会注意，对于一主管部门将提交的同一轨道位置的不同GSO网络的频率指配并入一个单一卫星网络的频率指配的情况，无线电通信局在做法和行动方面没有现成文件可提供给各主管部门。故会议在此做出结论：</w:t>
      </w:r>
    </w:p>
    <w:p w:rsidR="00CA1F2B" w:rsidRPr="00114947" w:rsidRDefault="00114947" w:rsidP="00114947">
      <w:pPr>
        <w:pStyle w:val="enumlev1"/>
        <w:rPr>
          <w:rFonts w:ascii="STKaiti" w:eastAsia="STKaiti" w:hAnsi="STKaiti"/>
          <w:lang w:eastAsia="zh-CN"/>
        </w:rPr>
      </w:pPr>
      <w:r>
        <w:rPr>
          <w:rFonts w:ascii="STKaiti" w:eastAsia="STKaiti" w:hAnsi="STKaiti" w:hint="eastAsia"/>
          <w:lang w:val="en-US" w:eastAsia="zh-CN"/>
        </w:rPr>
        <w:tab/>
      </w:r>
      <w:r w:rsidR="00CA1F2B" w:rsidRPr="00114947">
        <w:rPr>
          <w:rFonts w:ascii="STKaiti" w:eastAsia="STKaiti" w:hAnsi="STKaiti"/>
          <w:lang w:val="en-US" w:eastAsia="zh-CN"/>
        </w:rPr>
        <w:t>a)</w:t>
      </w:r>
      <w:r w:rsidR="00CA1F2B" w:rsidRPr="00114947">
        <w:rPr>
          <w:rFonts w:ascii="STKaiti" w:eastAsia="STKaiti" w:hAnsi="STKaiti"/>
          <w:lang w:val="en-US" w:eastAsia="zh-CN"/>
        </w:rPr>
        <w:tab/>
      </w:r>
      <w:r w:rsidR="00CA1F2B" w:rsidRPr="00114947">
        <w:rPr>
          <w:rFonts w:ascii="STKaiti" w:eastAsia="STKaiti" w:hAnsi="STKaiti" w:hint="eastAsia"/>
          <w:lang w:eastAsia="zh-CN"/>
        </w:rPr>
        <w:t>由无线电通信局起草并提交无线电规则委员会无线电通信局做法和行动的详细描述，尤其涉及一主管部门将提交的同一轨道位置的不同GSO网络的频率指配并入一个单一卫星网络的频率指配的情况；</w:t>
      </w:r>
    </w:p>
    <w:p w:rsidR="00CA1F2B" w:rsidRPr="00114947" w:rsidRDefault="00114947" w:rsidP="00114947">
      <w:pPr>
        <w:pStyle w:val="enumlev1"/>
        <w:rPr>
          <w:rFonts w:ascii="STKaiti" w:eastAsia="STKaiti" w:hAnsi="STKaiti"/>
          <w:lang w:eastAsia="zh-CN"/>
        </w:rPr>
      </w:pPr>
      <w:r>
        <w:rPr>
          <w:rFonts w:ascii="STKaiti" w:eastAsia="STKaiti" w:hAnsi="STKaiti" w:hint="eastAsia"/>
          <w:lang w:val="en-US" w:eastAsia="zh-CN"/>
        </w:rPr>
        <w:tab/>
      </w:r>
      <w:r w:rsidR="00CA1F2B" w:rsidRPr="00114947">
        <w:rPr>
          <w:rFonts w:ascii="STKaiti" w:eastAsia="STKaiti" w:hAnsi="STKaiti"/>
          <w:lang w:val="en-US" w:eastAsia="zh-CN"/>
        </w:rPr>
        <w:t>b)</w:t>
      </w:r>
      <w:r w:rsidR="00CA1F2B" w:rsidRPr="00114947">
        <w:rPr>
          <w:rFonts w:ascii="STKaiti" w:eastAsia="STKaiti" w:hAnsi="STKaiti"/>
          <w:lang w:val="en-US" w:eastAsia="zh-CN"/>
        </w:rPr>
        <w:tab/>
      </w:r>
      <w:r w:rsidR="00CA1F2B" w:rsidRPr="00114947">
        <w:rPr>
          <w:rFonts w:ascii="STKaiti" w:eastAsia="STKaiti" w:hAnsi="STKaiti" w:hint="eastAsia"/>
          <w:lang w:val="en-US" w:eastAsia="zh-CN"/>
        </w:rPr>
        <w:t>由</w:t>
      </w:r>
      <w:r w:rsidR="00CA1F2B" w:rsidRPr="00114947">
        <w:rPr>
          <w:rFonts w:ascii="STKaiti" w:eastAsia="STKaiti" w:hAnsi="STKaiti" w:hint="eastAsia"/>
          <w:lang w:eastAsia="zh-CN"/>
        </w:rPr>
        <w:t>无线电规则委员会制定相关的程序规则。”</w:t>
      </w:r>
    </w:p>
    <w:p w:rsidR="00CA1F2B" w:rsidRDefault="00304AA4" w:rsidP="009A0501">
      <w:pPr>
        <w:ind w:firstLineChars="200" w:firstLine="480"/>
        <w:rPr>
          <w:rFonts w:ascii="STKaiti" w:eastAsia="STKaiti" w:hAnsi="STKaiti"/>
          <w:lang w:eastAsia="zh-CN"/>
        </w:rPr>
      </w:pPr>
      <w:r w:rsidRPr="00304AA4">
        <w:rPr>
          <w:rFonts w:ascii="STKaiti" w:eastAsia="STKaiti" w:hAnsi="STKaiti" w:hint="eastAsia"/>
          <w:lang w:eastAsia="zh-CN"/>
        </w:rPr>
        <w:t>将已登记的频率指配从不同的卫星网络通知合并为一项通知</w:t>
      </w:r>
      <w:r>
        <w:rPr>
          <w:rFonts w:ascii="STKaiti" w:eastAsia="STKaiti" w:hAnsi="STKaiti" w:hint="eastAsia"/>
          <w:lang w:eastAsia="zh-CN"/>
        </w:rPr>
        <w:t>，此举将要求</w:t>
      </w:r>
      <w:r w:rsidR="00CA1F2B">
        <w:rPr>
          <w:rFonts w:ascii="STKaiti" w:eastAsia="STKaiti" w:hAnsi="STKaiti" w:hint="eastAsia"/>
          <w:lang w:eastAsia="zh-CN"/>
        </w:rPr>
        <w:t>无线电通信局</w:t>
      </w:r>
      <w:r>
        <w:rPr>
          <w:rFonts w:ascii="STKaiti" w:eastAsia="STKaiti" w:hAnsi="STKaiti" w:hint="eastAsia"/>
          <w:lang w:eastAsia="zh-CN"/>
        </w:rPr>
        <w:t>开展</w:t>
      </w:r>
      <w:r w:rsidRPr="00304AA4">
        <w:rPr>
          <w:rFonts w:ascii="STKaiti" w:eastAsia="STKaiti" w:hAnsi="STKaiti" w:hint="eastAsia"/>
          <w:lang w:eastAsia="zh-CN"/>
        </w:rPr>
        <w:t>大量的数据处理和公布工作</w:t>
      </w:r>
      <w:r>
        <w:rPr>
          <w:rFonts w:ascii="STKaiti" w:eastAsia="STKaiti" w:hAnsi="STKaiti" w:hint="eastAsia"/>
          <w:lang w:eastAsia="zh-CN"/>
        </w:rPr>
        <w:t>，</w:t>
      </w:r>
      <w:r w:rsidR="009A0501">
        <w:rPr>
          <w:rFonts w:ascii="STKaiti" w:eastAsia="STKaiti" w:hAnsi="STKaiti" w:hint="eastAsia"/>
          <w:lang w:eastAsia="zh-CN"/>
        </w:rPr>
        <w:t>因而应由理事会在下一届会议上按照第482号决定为这项工作确定</w:t>
      </w:r>
      <w:r w:rsidR="00CA1F2B">
        <w:rPr>
          <w:rFonts w:ascii="STKaiti" w:eastAsia="STKaiti" w:hAnsi="STKaiti" w:hint="eastAsia"/>
          <w:lang w:eastAsia="zh-CN"/>
        </w:rPr>
        <w:t>成本回收费用</w:t>
      </w:r>
      <w:r w:rsidR="009A0501">
        <w:rPr>
          <w:rFonts w:ascii="STKaiti" w:eastAsia="STKaiti" w:hAnsi="STKaiti" w:hint="eastAsia"/>
          <w:lang w:eastAsia="zh-CN"/>
        </w:rPr>
        <w:t>。</w:t>
      </w:r>
    </w:p>
    <w:p w:rsidR="00CA1F2B" w:rsidRPr="00CA1F2B" w:rsidRDefault="00CB5B71" w:rsidP="0003598B">
      <w:pPr>
        <w:rPr>
          <w:rFonts w:ascii="STKaiti" w:eastAsia="STKaiti" w:hAnsi="STKaiti"/>
          <w:lang w:eastAsia="zh-CN"/>
        </w:rPr>
      </w:pPr>
      <w:r>
        <w:rPr>
          <w:rFonts w:ascii="STKaiti" w:eastAsia="STKaiti" w:hAnsi="STKaiti" w:hint="eastAsia"/>
          <w:lang w:eastAsia="zh-CN"/>
        </w:rPr>
        <w:t>新</w:t>
      </w:r>
      <w:r w:rsidR="009A0501">
        <w:rPr>
          <w:rFonts w:ascii="STKaiti" w:eastAsia="STKaiti" w:hAnsi="STKaiti" w:hint="eastAsia"/>
          <w:lang w:eastAsia="zh-CN"/>
        </w:rPr>
        <w:t>规则</w:t>
      </w:r>
      <w:r>
        <w:rPr>
          <w:rFonts w:ascii="STKaiti" w:eastAsia="STKaiti" w:hAnsi="STKaiti" w:hint="eastAsia"/>
          <w:lang w:eastAsia="zh-CN"/>
        </w:rPr>
        <w:t>的生效日期：</w:t>
      </w:r>
      <w:r w:rsidR="009A0501">
        <w:rPr>
          <w:rFonts w:ascii="STKaiti" w:eastAsia="STKaiti" w:hAnsi="STKaiti" w:hint="eastAsia"/>
          <w:lang w:eastAsia="zh-CN"/>
        </w:rPr>
        <w:t>规则</w:t>
      </w:r>
      <w:r>
        <w:rPr>
          <w:rFonts w:ascii="STKaiti" w:eastAsia="STKaiti" w:hAnsi="STKaiti" w:hint="eastAsia"/>
          <w:lang w:eastAsia="zh-CN"/>
        </w:rPr>
        <w:t>批准后</w:t>
      </w:r>
      <w:r w:rsidR="00CA1F2B">
        <w:rPr>
          <w:rFonts w:ascii="STKaiti" w:eastAsia="STKaiti" w:hAnsi="STKaiti" w:hint="eastAsia"/>
          <w:lang w:eastAsia="zh-CN"/>
        </w:rPr>
        <w:t>即</w:t>
      </w:r>
      <w:r>
        <w:rPr>
          <w:rFonts w:ascii="STKaiti" w:eastAsia="STKaiti" w:hAnsi="STKaiti" w:hint="eastAsia"/>
          <w:lang w:eastAsia="zh-CN"/>
        </w:rPr>
        <w:t>刻</w:t>
      </w:r>
      <w:r w:rsidR="00CA1F2B">
        <w:rPr>
          <w:rFonts w:ascii="STKaiti" w:eastAsia="STKaiti" w:hAnsi="STKaiti" w:hint="eastAsia"/>
          <w:lang w:eastAsia="zh-CN"/>
        </w:rPr>
        <w:t>生效。</w:t>
      </w:r>
    </w:p>
    <w:p w:rsidR="00715444" w:rsidRPr="00C4089F" w:rsidRDefault="00715444" w:rsidP="00715444">
      <w:pPr>
        <w:pStyle w:val="Headingb"/>
        <w:rPr>
          <w:lang w:eastAsia="zh-CN"/>
        </w:rPr>
      </w:pPr>
      <w:r w:rsidRPr="00D9091E">
        <w:rPr>
          <w:lang w:eastAsia="zh-CN"/>
        </w:rPr>
        <w:lastRenderedPageBreak/>
        <w:t>MOD</w:t>
      </w:r>
    </w:p>
    <w:p w:rsidR="00715444" w:rsidRPr="00D9091E" w:rsidRDefault="00715444" w:rsidP="00715444">
      <w:pPr>
        <w:spacing w:before="0"/>
        <w:rPr>
          <w:lang w:eastAsia="zh-CN"/>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639"/>
      </w:tblGrid>
      <w:tr w:rsidR="00715444" w:rsidRPr="00C4089F" w:rsidTr="00D9091E">
        <w:trPr>
          <w:trHeight w:val="253"/>
        </w:trPr>
        <w:tc>
          <w:tcPr>
            <w:tcW w:w="1639" w:type="dxa"/>
          </w:tcPr>
          <w:p w:rsidR="00715444" w:rsidRPr="00D9091E" w:rsidRDefault="00715444" w:rsidP="00F636CA">
            <w:pPr>
              <w:pStyle w:val="Heading8"/>
              <w:spacing w:before="0"/>
              <w:ind w:left="0" w:firstLine="0"/>
            </w:pPr>
            <w:r w:rsidRPr="00D9091E">
              <w:t>11.31</w:t>
            </w:r>
          </w:p>
        </w:tc>
      </w:tr>
    </w:tbl>
    <w:p w:rsidR="00AA4FA8" w:rsidRDefault="00AA4FA8" w:rsidP="00AA4FA8">
      <w:pPr>
        <w:rPr>
          <w:lang w:eastAsia="zh-CN"/>
        </w:rPr>
      </w:pPr>
      <w:r>
        <w:rPr>
          <w:rFonts w:hint="eastAsia"/>
          <w:lang w:eastAsia="zh-CN"/>
        </w:rPr>
        <w:t>2.4</w:t>
      </w:r>
      <w:r>
        <w:rPr>
          <w:rFonts w:hint="eastAsia"/>
          <w:lang w:eastAsia="zh-CN"/>
        </w:rPr>
        <w:tab/>
      </w:r>
      <w:r w:rsidRPr="001341EA">
        <w:rPr>
          <w:rFonts w:ascii="STKaiti" w:eastAsia="STKaiti" w:hAnsi="STKaiti"/>
          <w:lang w:eastAsia="zh-CN"/>
        </w:rPr>
        <w:t>水上移动业务：</w:t>
      </w:r>
      <w:r>
        <w:rPr>
          <w:lang w:eastAsia="zh-CN"/>
        </w:rPr>
        <w:t>绝大多数</w:t>
      </w:r>
      <w:r>
        <w:rPr>
          <w:rFonts w:hint="eastAsia"/>
          <w:lang w:eastAsia="zh-CN"/>
        </w:rPr>
        <w:t>强制性条款均与专门</w:t>
      </w:r>
      <w:r>
        <w:rPr>
          <w:lang w:eastAsia="zh-CN"/>
        </w:rPr>
        <w:t>划分给水上移动业务使用频段相关，包括</w:t>
      </w:r>
      <w:r>
        <w:rPr>
          <w:rFonts w:hint="eastAsia"/>
          <w:lang w:eastAsia="zh-CN"/>
        </w:rPr>
        <w:t>关于</w:t>
      </w:r>
      <w:r>
        <w:rPr>
          <w:lang w:eastAsia="zh-CN"/>
        </w:rPr>
        <w:t>必要信道分配、允许</w:t>
      </w:r>
      <w:r>
        <w:rPr>
          <w:rFonts w:hint="eastAsia"/>
          <w:lang w:eastAsia="zh-CN"/>
        </w:rPr>
        <w:t>发</w:t>
      </w:r>
      <w:r>
        <w:rPr>
          <w:lang w:eastAsia="zh-CN"/>
        </w:rPr>
        <w:t>射</w:t>
      </w:r>
      <w:r>
        <w:rPr>
          <w:rFonts w:hint="eastAsia"/>
          <w:lang w:eastAsia="zh-CN"/>
        </w:rPr>
        <w:t>类别</w:t>
      </w:r>
      <w:r>
        <w:rPr>
          <w:lang w:eastAsia="zh-CN"/>
        </w:rPr>
        <w:t>、功率限制等规定。但是也有许多</w:t>
      </w:r>
      <w:r>
        <w:rPr>
          <w:rFonts w:hint="eastAsia"/>
          <w:lang w:eastAsia="zh-CN"/>
        </w:rPr>
        <w:t>条款</w:t>
      </w:r>
      <w:r>
        <w:rPr>
          <w:lang w:eastAsia="zh-CN"/>
        </w:rPr>
        <w:t>适用于水上移动业务</w:t>
      </w:r>
      <w:r>
        <w:rPr>
          <w:rFonts w:hint="eastAsia"/>
          <w:lang w:eastAsia="zh-CN"/>
        </w:rPr>
        <w:t>的非专用划分</w:t>
      </w:r>
      <w:r>
        <w:rPr>
          <w:lang w:eastAsia="zh-CN"/>
        </w:rPr>
        <w:t>频段。</w:t>
      </w:r>
      <w:r>
        <w:rPr>
          <w:rFonts w:hint="eastAsia"/>
          <w:lang w:eastAsia="zh-CN"/>
        </w:rPr>
        <w:t>适用于需进行</w:t>
      </w:r>
      <w:r>
        <w:rPr>
          <w:lang w:eastAsia="zh-CN"/>
        </w:rPr>
        <w:t>通知</w:t>
      </w:r>
      <w:r>
        <w:rPr>
          <w:rFonts w:hint="eastAsia"/>
          <w:lang w:eastAsia="zh-CN"/>
        </w:rPr>
        <w:t>的频率指配</w:t>
      </w:r>
      <w:r>
        <w:rPr>
          <w:lang w:eastAsia="zh-CN"/>
        </w:rPr>
        <w:t>的</w:t>
      </w:r>
      <w:r>
        <w:rPr>
          <w:rFonts w:hint="eastAsia"/>
          <w:lang w:eastAsia="zh-CN"/>
        </w:rPr>
        <w:t>相关条款</w:t>
      </w:r>
      <w:r>
        <w:rPr>
          <w:lang w:eastAsia="zh-CN"/>
        </w:rPr>
        <w:t>如下表所示：</w:t>
      </w:r>
    </w:p>
    <w:p w:rsidR="00AA4FA8" w:rsidRDefault="00AA4FA8" w:rsidP="00AA4FA8">
      <w:pPr>
        <w:rPr>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5867"/>
      </w:tblGrid>
      <w:tr w:rsidR="00AA4FA8" w:rsidRPr="00B51E89" w:rsidTr="00AA4FA8">
        <w:trPr>
          <w:cantSplit/>
        </w:trPr>
        <w:tc>
          <w:tcPr>
            <w:tcW w:w="2835" w:type="dxa"/>
            <w:tcBorders>
              <w:top w:val="nil"/>
              <w:left w:val="nil"/>
            </w:tcBorders>
          </w:tcPr>
          <w:p w:rsidR="00AA4FA8" w:rsidRPr="00B51E89" w:rsidRDefault="00AA4FA8" w:rsidP="00AA4FA8">
            <w:pPr>
              <w:pStyle w:val="TableText0"/>
              <w:framePr w:hSpace="181" w:wrap="notBeside" w:vAnchor="text" w:hAnchor="text" w:xAlign="center" w:y="1"/>
              <w:spacing w:before="120" w:after="120"/>
              <w:rPr>
                <w:color w:val="000000"/>
                <w:lang w:eastAsia="zh-CN"/>
              </w:rPr>
            </w:pPr>
          </w:p>
        </w:tc>
        <w:tc>
          <w:tcPr>
            <w:tcW w:w="5867" w:type="dxa"/>
            <w:tcBorders>
              <w:left w:val="nil"/>
              <w:right w:val="single" w:sz="6" w:space="0" w:color="auto"/>
            </w:tcBorders>
          </w:tcPr>
          <w:p w:rsidR="00AA4FA8" w:rsidRPr="00391106" w:rsidRDefault="00AA4FA8" w:rsidP="00AA4FA8">
            <w:pPr>
              <w:pStyle w:val="TableHead0"/>
              <w:framePr w:hSpace="181" w:wrap="notBeside" w:vAnchor="text" w:hAnchor="text" w:xAlign="center" w:y="1"/>
              <w:spacing w:before="120" w:after="120"/>
              <w:rPr>
                <w:color w:val="000000"/>
              </w:rPr>
            </w:pPr>
            <w:proofErr w:type="spellStart"/>
            <w:r w:rsidRPr="00391106">
              <w:rPr>
                <w:rFonts w:hint="eastAsia"/>
                <w:lang w:eastAsia="zh-CN"/>
              </w:rPr>
              <w:t>条款编号</w:t>
            </w:r>
            <w:proofErr w:type="spellEnd"/>
          </w:p>
        </w:tc>
      </w:tr>
      <w:tr w:rsidR="00AA4FA8" w:rsidRPr="00B51E89" w:rsidTr="00AA4FA8">
        <w:trPr>
          <w:cantSplit/>
        </w:trPr>
        <w:tc>
          <w:tcPr>
            <w:tcW w:w="2835" w:type="dxa"/>
          </w:tcPr>
          <w:p w:rsidR="00AA4FA8" w:rsidRPr="00391106" w:rsidRDefault="00AA4FA8" w:rsidP="00AA4FA8">
            <w:pPr>
              <w:pStyle w:val="TableText0"/>
              <w:framePr w:hSpace="181" w:wrap="notBeside" w:vAnchor="text" w:hAnchor="text" w:xAlign="center" w:y="1"/>
              <w:spacing w:before="80" w:after="80"/>
              <w:rPr>
                <w:color w:val="000000"/>
              </w:rPr>
            </w:pPr>
            <w:proofErr w:type="spellStart"/>
            <w:r w:rsidRPr="00391106">
              <w:rPr>
                <w:lang w:eastAsia="zh-CN"/>
              </w:rPr>
              <w:t>功率限值</w:t>
            </w:r>
            <w:proofErr w:type="spellEnd"/>
          </w:p>
        </w:tc>
        <w:tc>
          <w:tcPr>
            <w:tcW w:w="5867" w:type="dxa"/>
            <w:tcBorders>
              <w:right w:val="single" w:sz="6" w:space="0" w:color="auto"/>
            </w:tcBorders>
          </w:tcPr>
          <w:p w:rsidR="00AA4FA8" w:rsidRPr="00391106" w:rsidRDefault="00AA4FA8" w:rsidP="00AA4FA8">
            <w:pPr>
              <w:pStyle w:val="TableText0"/>
              <w:framePr w:hSpace="181" w:wrap="notBeside" w:vAnchor="text" w:hAnchor="text" w:xAlign="center" w:y="1"/>
              <w:spacing w:before="80" w:after="0"/>
              <w:rPr>
                <w:color w:val="000000"/>
                <w:lang w:eastAsia="zh-CN"/>
              </w:rPr>
            </w:pPr>
            <w:r w:rsidRPr="00391106">
              <w:rPr>
                <w:rStyle w:val="Artref"/>
                <w:b/>
                <w:color w:val="000000"/>
                <w:lang w:eastAsia="zh-CN"/>
              </w:rPr>
              <w:t>52.104</w:t>
            </w:r>
          </w:p>
          <w:p w:rsidR="00AA4FA8" w:rsidRPr="00391106" w:rsidRDefault="00AA4FA8" w:rsidP="00AA4FA8">
            <w:pPr>
              <w:pStyle w:val="TableText0"/>
              <w:framePr w:hSpace="181" w:wrap="notBeside" w:vAnchor="text" w:hAnchor="text" w:xAlign="center" w:y="1"/>
              <w:spacing w:after="0"/>
              <w:rPr>
                <w:color w:val="000000"/>
                <w:lang w:eastAsia="zh-CN"/>
              </w:rPr>
            </w:pPr>
            <w:r w:rsidRPr="00391106">
              <w:rPr>
                <w:rStyle w:val="Artref"/>
                <w:b/>
                <w:color w:val="000000"/>
                <w:lang w:eastAsia="zh-CN"/>
              </w:rPr>
              <w:t>52.117</w:t>
            </w:r>
            <w:r w:rsidRPr="00391106">
              <w:rPr>
                <w:color w:val="000000"/>
                <w:lang w:eastAsia="zh-CN"/>
              </w:rPr>
              <w:t xml:space="preserve">, </w:t>
            </w:r>
            <w:r w:rsidRPr="00391106">
              <w:rPr>
                <w:rStyle w:val="Artref"/>
                <w:b/>
                <w:color w:val="000000"/>
                <w:lang w:eastAsia="zh-CN"/>
              </w:rPr>
              <w:t>52.127</w:t>
            </w:r>
            <w:r w:rsidRPr="00391106">
              <w:rPr>
                <w:rFonts w:hint="eastAsia"/>
                <w:lang w:eastAsia="zh-CN"/>
              </w:rPr>
              <w:t>（仅限1区）</w:t>
            </w:r>
            <w:r w:rsidRPr="00391106">
              <w:rPr>
                <w:color w:val="000000"/>
                <w:lang w:eastAsia="zh-CN"/>
              </w:rPr>
              <w:t xml:space="preserve">, </w:t>
            </w:r>
            <w:r w:rsidRPr="00391106">
              <w:rPr>
                <w:rStyle w:val="Artref"/>
                <w:b/>
                <w:color w:val="000000"/>
                <w:lang w:eastAsia="zh-CN"/>
              </w:rPr>
              <w:t>52.143</w:t>
            </w:r>
            <w:r w:rsidRPr="00391106">
              <w:rPr>
                <w:color w:val="000000"/>
                <w:lang w:eastAsia="zh-CN"/>
              </w:rPr>
              <w:t xml:space="preserve">, </w:t>
            </w:r>
            <w:r w:rsidRPr="00391106">
              <w:rPr>
                <w:rStyle w:val="Artref"/>
                <w:b/>
                <w:color w:val="000000"/>
                <w:lang w:eastAsia="zh-CN"/>
              </w:rPr>
              <w:t>52.144</w:t>
            </w:r>
            <w:r w:rsidRPr="00391106">
              <w:rPr>
                <w:color w:val="000000"/>
                <w:lang w:eastAsia="zh-CN"/>
              </w:rPr>
              <w:t xml:space="preserve">, </w:t>
            </w:r>
            <w:r w:rsidRPr="00391106">
              <w:rPr>
                <w:rStyle w:val="Artref"/>
                <w:b/>
                <w:color w:val="000000"/>
                <w:lang w:eastAsia="zh-CN"/>
              </w:rPr>
              <w:t>52.172</w:t>
            </w:r>
            <w:r w:rsidRPr="00391106">
              <w:rPr>
                <w:color w:val="000000"/>
                <w:lang w:eastAsia="zh-CN"/>
              </w:rPr>
              <w:t xml:space="preserve"> </w:t>
            </w:r>
          </w:p>
          <w:p w:rsidR="00AA4FA8" w:rsidRPr="00391106" w:rsidRDefault="00AA4FA8" w:rsidP="00AA4FA8">
            <w:pPr>
              <w:pStyle w:val="TableText0"/>
              <w:framePr w:hSpace="181" w:wrap="notBeside" w:vAnchor="text" w:hAnchor="text" w:xAlign="center" w:y="1"/>
              <w:spacing w:after="0"/>
              <w:rPr>
                <w:color w:val="000000"/>
                <w:lang w:eastAsia="zh-CN"/>
              </w:rPr>
            </w:pPr>
            <w:r w:rsidRPr="00391106">
              <w:rPr>
                <w:rStyle w:val="Artref"/>
                <w:b/>
                <w:color w:val="000000"/>
                <w:lang w:eastAsia="zh-CN"/>
              </w:rPr>
              <w:t>52.184</w:t>
            </w:r>
            <w:r w:rsidRPr="00391106">
              <w:rPr>
                <w:color w:val="000000"/>
                <w:lang w:eastAsia="zh-CN"/>
              </w:rPr>
              <w:t>-</w:t>
            </w:r>
            <w:r w:rsidRPr="00391106">
              <w:rPr>
                <w:rStyle w:val="Artref"/>
                <w:b/>
                <w:color w:val="000000"/>
                <w:lang w:eastAsia="zh-CN"/>
              </w:rPr>
              <w:t>52.186</w:t>
            </w:r>
            <w:r w:rsidRPr="00391106">
              <w:rPr>
                <w:color w:val="000000"/>
                <w:lang w:eastAsia="zh-CN"/>
              </w:rPr>
              <w:t xml:space="preserve">, </w:t>
            </w:r>
            <w:r w:rsidRPr="00391106">
              <w:rPr>
                <w:rStyle w:val="Artref"/>
                <w:b/>
                <w:color w:val="000000"/>
                <w:lang w:eastAsia="zh-CN"/>
              </w:rPr>
              <w:t>52.188</w:t>
            </w:r>
            <w:r w:rsidRPr="00391106">
              <w:rPr>
                <w:color w:val="000000"/>
                <w:lang w:eastAsia="zh-CN"/>
              </w:rPr>
              <w:t xml:space="preserve">, </w:t>
            </w:r>
            <w:r w:rsidRPr="00391106">
              <w:rPr>
                <w:rStyle w:val="Artref"/>
                <w:b/>
                <w:color w:val="000000"/>
                <w:lang w:eastAsia="zh-CN"/>
              </w:rPr>
              <w:t>52.202</w:t>
            </w:r>
            <w:r w:rsidRPr="00391106">
              <w:rPr>
                <w:rFonts w:hint="eastAsia"/>
                <w:lang w:eastAsia="zh-CN"/>
              </w:rPr>
              <w:t>（仅限1区）</w:t>
            </w:r>
          </w:p>
          <w:p w:rsidR="00AA4FA8" w:rsidRPr="00AA4FA8" w:rsidRDefault="00AA4FA8" w:rsidP="00715444">
            <w:pPr>
              <w:pStyle w:val="TableText0"/>
              <w:framePr w:hSpace="181" w:wrap="notBeside" w:vAnchor="text" w:hAnchor="text" w:xAlign="center" w:y="1"/>
              <w:spacing w:after="80"/>
              <w:rPr>
                <w:rFonts w:eastAsiaTheme="minorEastAsia"/>
                <w:color w:val="000000"/>
                <w:lang w:eastAsia="zh-CN"/>
              </w:rPr>
            </w:pPr>
            <w:r w:rsidRPr="00391106">
              <w:rPr>
                <w:rStyle w:val="Artref"/>
                <w:b/>
                <w:color w:val="000000"/>
                <w:lang w:eastAsia="zh-CN"/>
              </w:rPr>
              <w:t>52.219</w:t>
            </w:r>
            <w:r w:rsidRPr="00391106">
              <w:rPr>
                <w:color w:val="000000"/>
                <w:lang w:eastAsia="zh-CN"/>
              </w:rPr>
              <w:t xml:space="preserve">, </w:t>
            </w:r>
            <w:r w:rsidRPr="00391106">
              <w:rPr>
                <w:rStyle w:val="Artref"/>
                <w:b/>
                <w:color w:val="000000"/>
                <w:lang w:eastAsia="zh-CN"/>
              </w:rPr>
              <w:t>52.220</w:t>
            </w:r>
            <w:r w:rsidRPr="00391106">
              <w:rPr>
                <w:color w:val="000000"/>
                <w:lang w:eastAsia="zh-CN"/>
              </w:rPr>
              <w:t xml:space="preserve">, </w:t>
            </w:r>
            <w:r w:rsidRPr="00391106">
              <w:rPr>
                <w:rStyle w:val="Artref"/>
                <w:b/>
                <w:color w:val="000000"/>
                <w:lang w:eastAsia="zh-CN"/>
              </w:rPr>
              <w:t>52.227</w:t>
            </w:r>
            <w:r>
              <w:rPr>
                <w:rStyle w:val="Artref"/>
                <w:rFonts w:eastAsiaTheme="minorEastAsia" w:hint="eastAsia"/>
                <w:b/>
                <w:color w:val="000000"/>
                <w:lang w:eastAsia="zh-CN"/>
              </w:rPr>
              <w:t>,</w:t>
            </w:r>
            <w:r w:rsidR="00715444" w:rsidRPr="00D9091E">
              <w:rPr>
                <w:rStyle w:val="Artref"/>
                <w:b/>
                <w:lang w:eastAsia="zh-CN"/>
              </w:rPr>
              <w:t xml:space="preserve"> </w:t>
            </w:r>
            <w:r w:rsidR="00715444" w:rsidRPr="00D9091E">
              <w:rPr>
                <w:rStyle w:val="Artref"/>
                <w:b/>
                <w:color w:val="FF0000"/>
                <w:u w:val="single"/>
                <w:lang w:eastAsia="zh-CN"/>
              </w:rPr>
              <w:t>52.265</w:t>
            </w:r>
            <w:r w:rsidR="00715444" w:rsidRPr="00D9091E">
              <w:rPr>
                <w:rStyle w:val="Artref"/>
                <w:b/>
                <w:lang w:eastAsia="zh-CN"/>
              </w:rPr>
              <w:t xml:space="preserve">, </w:t>
            </w:r>
            <w:r w:rsidR="00715444" w:rsidRPr="00D9091E">
              <w:rPr>
                <w:rStyle w:val="Artref"/>
                <w:b/>
                <w:color w:val="FF0000"/>
                <w:u w:val="single"/>
                <w:lang w:eastAsia="zh-CN"/>
              </w:rPr>
              <w:t>52.266</w:t>
            </w:r>
          </w:p>
        </w:tc>
      </w:tr>
      <w:tr w:rsidR="00AA4FA8" w:rsidRPr="00B51E89" w:rsidTr="00AA4FA8">
        <w:trPr>
          <w:cantSplit/>
        </w:trPr>
        <w:tc>
          <w:tcPr>
            <w:tcW w:w="2835" w:type="dxa"/>
            <w:tcBorders>
              <w:bottom w:val="single" w:sz="6" w:space="0" w:color="auto"/>
            </w:tcBorders>
          </w:tcPr>
          <w:p w:rsidR="00AA4FA8" w:rsidRPr="00391106" w:rsidRDefault="00AA4FA8" w:rsidP="00AA4FA8">
            <w:pPr>
              <w:pStyle w:val="TableText0"/>
              <w:framePr w:hSpace="181" w:wrap="notBeside" w:vAnchor="text" w:hAnchor="text" w:xAlign="center" w:y="1"/>
              <w:spacing w:before="80" w:after="80"/>
              <w:rPr>
                <w:color w:val="000000"/>
              </w:rPr>
            </w:pPr>
            <w:proofErr w:type="spellStart"/>
            <w:r w:rsidRPr="00391106">
              <w:rPr>
                <w:lang w:eastAsia="zh-CN"/>
              </w:rPr>
              <w:t>发射类别</w:t>
            </w:r>
            <w:proofErr w:type="spellEnd"/>
          </w:p>
        </w:tc>
        <w:tc>
          <w:tcPr>
            <w:tcW w:w="5867" w:type="dxa"/>
            <w:tcBorders>
              <w:bottom w:val="single" w:sz="6" w:space="0" w:color="auto"/>
              <w:right w:val="single" w:sz="6" w:space="0" w:color="auto"/>
            </w:tcBorders>
          </w:tcPr>
          <w:p w:rsidR="00AA4FA8" w:rsidRPr="00391106" w:rsidRDefault="00AA4FA8" w:rsidP="00AA4FA8">
            <w:pPr>
              <w:pStyle w:val="TableText0"/>
              <w:framePr w:hSpace="181" w:wrap="notBeside" w:vAnchor="text" w:hAnchor="text" w:xAlign="center" w:y="1"/>
              <w:spacing w:before="80" w:after="0"/>
              <w:rPr>
                <w:color w:val="000000"/>
              </w:rPr>
            </w:pPr>
            <w:r w:rsidRPr="00391106">
              <w:rPr>
                <w:rStyle w:val="Artref"/>
                <w:b/>
                <w:color w:val="000000"/>
              </w:rPr>
              <w:t>52.2</w:t>
            </w:r>
            <w:r w:rsidRPr="00391106">
              <w:rPr>
                <w:color w:val="000000"/>
              </w:rPr>
              <w:t xml:space="preserve">, </w:t>
            </w:r>
            <w:r w:rsidRPr="00391106">
              <w:rPr>
                <w:rStyle w:val="Artref"/>
                <w:b/>
                <w:color w:val="000000"/>
              </w:rPr>
              <w:t>52.3</w:t>
            </w:r>
            <w:r w:rsidRPr="00391106">
              <w:rPr>
                <w:color w:val="000000"/>
              </w:rPr>
              <w:t xml:space="preserve">, </w:t>
            </w:r>
          </w:p>
          <w:p w:rsidR="00AA4FA8" w:rsidRPr="00AA4FA8" w:rsidRDefault="00AA4FA8" w:rsidP="00AA4FA8">
            <w:pPr>
              <w:pStyle w:val="TableText0"/>
              <w:framePr w:hSpace="181" w:wrap="notBeside" w:vAnchor="text" w:hAnchor="text" w:xAlign="center" w:y="1"/>
              <w:spacing w:after="80"/>
              <w:rPr>
                <w:rFonts w:eastAsiaTheme="minorEastAsia"/>
                <w:color w:val="000000"/>
                <w:lang w:eastAsia="zh-CN"/>
              </w:rPr>
            </w:pPr>
            <w:r w:rsidRPr="00391106">
              <w:rPr>
                <w:rStyle w:val="Artref"/>
                <w:b/>
                <w:color w:val="000000"/>
              </w:rPr>
              <w:t>52.101</w:t>
            </w:r>
            <w:r w:rsidRPr="00391106">
              <w:rPr>
                <w:color w:val="000000"/>
              </w:rPr>
              <w:t xml:space="preserve">, </w:t>
            </w:r>
            <w:r w:rsidRPr="00391106">
              <w:rPr>
                <w:rStyle w:val="Artref"/>
                <w:b/>
                <w:color w:val="000000"/>
              </w:rPr>
              <w:t>52.177</w:t>
            </w:r>
            <w:r w:rsidRPr="00391106">
              <w:rPr>
                <w:color w:val="000000"/>
              </w:rPr>
              <w:t xml:space="preserve">, </w:t>
            </w:r>
            <w:r w:rsidRPr="00391106">
              <w:rPr>
                <w:rStyle w:val="Artref"/>
                <w:b/>
                <w:color w:val="000000"/>
              </w:rPr>
              <w:t>52.183</w:t>
            </w:r>
            <w:r w:rsidRPr="00391106">
              <w:rPr>
                <w:color w:val="000000"/>
              </w:rPr>
              <w:t xml:space="preserve">, </w:t>
            </w:r>
            <w:r w:rsidRPr="00391106">
              <w:rPr>
                <w:rStyle w:val="Artref"/>
                <w:b/>
                <w:color w:val="000000"/>
              </w:rPr>
              <w:t>52.188</w:t>
            </w:r>
            <w:r w:rsidRPr="00391106">
              <w:rPr>
                <w:color w:val="000000"/>
              </w:rPr>
              <w:t xml:space="preserve">, </w:t>
            </w:r>
            <w:r w:rsidRPr="00391106">
              <w:rPr>
                <w:rStyle w:val="Artref"/>
                <w:b/>
                <w:color w:val="000000"/>
              </w:rPr>
              <w:t>52.198</w:t>
            </w:r>
            <w:r w:rsidRPr="00391106">
              <w:rPr>
                <w:color w:val="000000"/>
              </w:rPr>
              <w:t xml:space="preserve">, </w:t>
            </w:r>
            <w:r w:rsidRPr="00391106">
              <w:rPr>
                <w:rStyle w:val="Artref"/>
                <w:b/>
                <w:color w:val="000000"/>
              </w:rPr>
              <w:t>52.217</w:t>
            </w:r>
            <w:r w:rsidR="00715444" w:rsidRPr="00D9091E">
              <w:rPr>
                <w:rStyle w:val="Artref"/>
                <w:b/>
              </w:rPr>
              <w:t xml:space="preserve">, </w:t>
            </w:r>
            <w:r w:rsidR="00715444" w:rsidRPr="00D9091E">
              <w:rPr>
                <w:rStyle w:val="Artref"/>
                <w:b/>
                <w:color w:val="FF0000"/>
                <w:u w:val="single"/>
              </w:rPr>
              <w:t>52.264</w:t>
            </w:r>
          </w:p>
        </w:tc>
      </w:tr>
      <w:tr w:rsidR="00AA4FA8" w:rsidRPr="00B51E89" w:rsidTr="00AA4FA8">
        <w:trPr>
          <w:cantSplit/>
        </w:trPr>
        <w:tc>
          <w:tcPr>
            <w:tcW w:w="2835" w:type="dxa"/>
          </w:tcPr>
          <w:p w:rsidR="00AA4FA8" w:rsidRPr="00391106" w:rsidRDefault="00AA4FA8" w:rsidP="00AA4FA8">
            <w:pPr>
              <w:pStyle w:val="TableText0"/>
              <w:framePr w:hSpace="181" w:wrap="notBeside" w:vAnchor="text" w:hAnchor="text" w:xAlign="center" w:y="1"/>
              <w:spacing w:before="80" w:after="80"/>
              <w:rPr>
                <w:color w:val="000000"/>
              </w:rPr>
            </w:pPr>
            <w:proofErr w:type="spellStart"/>
            <w:r w:rsidRPr="00391106">
              <w:rPr>
                <w:rFonts w:hint="eastAsia"/>
                <w:lang w:eastAsia="zh-CN"/>
              </w:rPr>
              <w:t>强制性分区</w:t>
            </w:r>
            <w:proofErr w:type="spellEnd"/>
          </w:p>
        </w:tc>
        <w:tc>
          <w:tcPr>
            <w:tcW w:w="5867" w:type="dxa"/>
            <w:tcBorders>
              <w:right w:val="single" w:sz="6" w:space="0" w:color="auto"/>
            </w:tcBorders>
          </w:tcPr>
          <w:p w:rsidR="00AA4FA8" w:rsidRPr="00391106" w:rsidRDefault="00AA4FA8" w:rsidP="00AA4FA8">
            <w:pPr>
              <w:pStyle w:val="TableText0"/>
              <w:framePr w:hSpace="181" w:wrap="notBeside" w:vAnchor="text" w:hAnchor="text" w:xAlign="center" w:y="1"/>
              <w:spacing w:before="80" w:after="0"/>
              <w:rPr>
                <w:color w:val="000000"/>
                <w:lang w:eastAsia="zh-CN"/>
              </w:rPr>
            </w:pPr>
            <w:r w:rsidRPr="00391106">
              <w:rPr>
                <w:rStyle w:val="Artref"/>
                <w:b/>
                <w:color w:val="000000"/>
                <w:lang w:eastAsia="zh-CN"/>
              </w:rPr>
              <w:t>52.10</w:t>
            </w:r>
            <w:r w:rsidRPr="00391106">
              <w:rPr>
                <w:rFonts w:hint="eastAsia"/>
                <w:lang w:eastAsia="zh-CN"/>
              </w:rPr>
              <w:t>（仅限1区）</w:t>
            </w:r>
            <w:r w:rsidRPr="00391106">
              <w:rPr>
                <w:color w:val="000000"/>
                <w:lang w:eastAsia="zh-CN"/>
              </w:rPr>
              <w:t xml:space="preserve">, </w:t>
            </w:r>
            <w:r w:rsidRPr="00391106">
              <w:rPr>
                <w:rStyle w:val="Artref"/>
                <w:b/>
                <w:color w:val="000000"/>
                <w:lang w:eastAsia="zh-CN"/>
              </w:rPr>
              <w:t>52.13</w:t>
            </w:r>
          </w:p>
          <w:p w:rsidR="00AA4FA8" w:rsidRPr="00391106" w:rsidRDefault="00AA4FA8" w:rsidP="00AA4FA8">
            <w:pPr>
              <w:pStyle w:val="TableText0"/>
              <w:framePr w:hSpace="181" w:wrap="notBeside" w:vAnchor="text" w:hAnchor="text" w:xAlign="center" w:y="1"/>
              <w:spacing w:after="80"/>
              <w:rPr>
                <w:color w:val="000000"/>
                <w:lang w:eastAsia="zh-CN"/>
              </w:rPr>
            </w:pPr>
            <w:proofErr w:type="spellStart"/>
            <w:r w:rsidRPr="00391106">
              <w:rPr>
                <w:rFonts w:hint="eastAsia"/>
                <w:lang w:eastAsia="zh-CN"/>
              </w:rPr>
              <w:t>附录</w:t>
            </w:r>
            <w:proofErr w:type="spellEnd"/>
            <w:r w:rsidRPr="00391106">
              <w:rPr>
                <w:color w:val="000000"/>
                <w:lang w:eastAsia="zh-CN"/>
              </w:rPr>
              <w:t> </w:t>
            </w:r>
            <w:r w:rsidRPr="00391106">
              <w:rPr>
                <w:rStyle w:val="Appref"/>
                <w:b/>
                <w:color w:val="000000"/>
                <w:lang w:eastAsia="zh-CN"/>
              </w:rPr>
              <w:t>17</w:t>
            </w:r>
          </w:p>
        </w:tc>
      </w:tr>
    </w:tbl>
    <w:p w:rsidR="00AA4FA8" w:rsidRDefault="00AA4FA8" w:rsidP="00AA4FA8">
      <w:pPr>
        <w:rPr>
          <w:lang w:eastAsia="zh-CN"/>
        </w:rPr>
      </w:pPr>
    </w:p>
    <w:p w:rsidR="00AA4FA8" w:rsidRPr="003154DF" w:rsidRDefault="0051377B" w:rsidP="00A8165B">
      <w:pPr>
        <w:pStyle w:val="TableText0"/>
        <w:rPr>
          <w:i/>
          <w:iCs/>
          <w:sz w:val="24"/>
          <w:szCs w:val="24"/>
          <w:highlight w:val="yellow"/>
          <w:lang w:eastAsia="zh-CN"/>
        </w:rPr>
      </w:pPr>
      <w:r w:rsidRPr="00715444">
        <w:rPr>
          <w:rFonts w:ascii="STKaiti" w:eastAsia="STKaiti" w:hAnsi="STKaiti" w:hint="eastAsia"/>
          <w:sz w:val="24"/>
          <w:szCs w:val="24"/>
          <w:lang w:eastAsia="zh-CN"/>
        </w:rPr>
        <w:t>理由：</w:t>
      </w:r>
      <w:r w:rsidR="00A8165B" w:rsidRPr="00715444">
        <w:rPr>
          <w:rFonts w:ascii="STKaiti" w:eastAsia="STKaiti" w:hAnsi="STKaiti"/>
          <w:sz w:val="24"/>
          <w:szCs w:val="24"/>
          <w:lang w:eastAsia="zh-CN"/>
        </w:rPr>
        <w:t xml:space="preserve">WRC-12 </w:t>
      </w:r>
      <w:r w:rsidR="00A8165B" w:rsidRPr="00715444">
        <w:rPr>
          <w:rFonts w:ascii="STKaiti" w:eastAsia="STKaiti" w:hAnsi="STKaiti" w:hint="eastAsia"/>
          <w:sz w:val="24"/>
          <w:szCs w:val="24"/>
          <w:lang w:eastAsia="zh-CN"/>
        </w:rPr>
        <w:t>引入了第</w:t>
      </w:r>
      <w:r w:rsidR="00AA4FA8" w:rsidRPr="00715444">
        <w:rPr>
          <w:rFonts w:ascii="STKaiti" w:eastAsia="STKaiti" w:hAnsi="STKaiti"/>
          <w:sz w:val="24"/>
          <w:szCs w:val="24"/>
          <w:lang w:eastAsia="zh-CN"/>
        </w:rPr>
        <w:t xml:space="preserve"> 52.264 – 52.266 </w:t>
      </w:r>
      <w:r w:rsidR="00A8165B" w:rsidRPr="00715444">
        <w:rPr>
          <w:rFonts w:ascii="STKaiti" w:eastAsia="STKaiti" w:hAnsi="STKaiti" w:hint="eastAsia"/>
          <w:sz w:val="24"/>
          <w:szCs w:val="24"/>
          <w:lang w:eastAsia="zh-CN"/>
        </w:rPr>
        <w:t>款的新规定并包含了水上数据传输的功率限值和发射类别要求。这些要求应包括在《无线电规则》的“其他条款”清单中，以便在根据第</w:t>
      </w:r>
      <w:r w:rsidR="00AA4FA8" w:rsidRPr="00715444">
        <w:rPr>
          <w:rFonts w:ascii="STKaiti" w:eastAsia="STKaiti" w:hAnsi="STKaiti"/>
          <w:sz w:val="24"/>
          <w:szCs w:val="24"/>
          <w:lang w:eastAsia="zh-CN"/>
        </w:rPr>
        <w:t>11.31</w:t>
      </w:r>
      <w:r w:rsidR="00A8165B" w:rsidRPr="00715444">
        <w:rPr>
          <w:rFonts w:ascii="STKaiti" w:eastAsia="STKaiti" w:hAnsi="STKaiti" w:hint="eastAsia"/>
          <w:sz w:val="24"/>
          <w:szCs w:val="24"/>
          <w:lang w:eastAsia="zh-CN"/>
        </w:rPr>
        <w:t>款进行审查时核实这些要求。</w:t>
      </w:r>
    </w:p>
    <w:p w:rsidR="00AA4FA8" w:rsidRPr="003154DF" w:rsidRDefault="00AA4FA8" w:rsidP="00AA4FA8">
      <w:pPr>
        <w:pStyle w:val="TableText0"/>
        <w:rPr>
          <w:i/>
          <w:iCs/>
          <w:sz w:val="24"/>
          <w:szCs w:val="24"/>
          <w:highlight w:val="yellow"/>
          <w:lang w:eastAsia="zh-CN"/>
        </w:rPr>
      </w:pPr>
    </w:p>
    <w:p w:rsidR="00AA4FA8" w:rsidRPr="003154DF" w:rsidRDefault="00A8165B" w:rsidP="00AA4FA8">
      <w:pPr>
        <w:keepNext/>
        <w:tabs>
          <w:tab w:val="clear" w:pos="794"/>
          <w:tab w:val="clear" w:pos="1191"/>
          <w:tab w:val="clear" w:pos="1588"/>
          <w:tab w:val="clear" w:pos="1985"/>
          <w:tab w:val="left" w:pos="1134"/>
          <w:tab w:val="left" w:pos="1871"/>
          <w:tab w:val="left" w:pos="2268"/>
        </w:tabs>
        <w:spacing w:before="0" w:after="240"/>
        <w:rPr>
          <w:rFonts w:hAnsi="Times New Roman Bold"/>
          <w:i/>
          <w:iCs/>
          <w:lang w:eastAsia="zh-CN"/>
        </w:rPr>
      </w:pPr>
      <w:r>
        <w:rPr>
          <w:rFonts w:ascii="STKaiti" w:eastAsia="STKaiti" w:hAnsi="STKaiti" w:hint="eastAsia"/>
          <w:szCs w:val="24"/>
          <w:lang w:eastAsia="zh-CN"/>
        </w:rPr>
        <w:t>经修订</w:t>
      </w:r>
      <w:r w:rsidR="00AA4FA8">
        <w:rPr>
          <w:rFonts w:ascii="STKaiti" w:eastAsia="STKaiti" w:hAnsi="STKaiti" w:hint="eastAsia"/>
          <w:szCs w:val="24"/>
          <w:lang w:eastAsia="zh-CN"/>
        </w:rPr>
        <w:t>规则的生效日期：批准后</w:t>
      </w:r>
      <w:r w:rsidR="00AA4FA8" w:rsidRPr="00954408">
        <w:rPr>
          <w:rFonts w:ascii="STKaiti" w:eastAsia="STKaiti" w:hAnsi="STKaiti" w:hint="eastAsia"/>
          <w:szCs w:val="24"/>
          <w:lang w:eastAsia="zh-CN"/>
        </w:rPr>
        <w:t>即</w:t>
      </w:r>
      <w:r w:rsidR="00AA4FA8">
        <w:rPr>
          <w:rFonts w:ascii="STKaiti" w:eastAsia="STKaiti" w:hAnsi="STKaiti" w:hint="eastAsia"/>
          <w:szCs w:val="24"/>
          <w:lang w:eastAsia="zh-CN"/>
        </w:rPr>
        <w:t>刻</w:t>
      </w:r>
      <w:r w:rsidR="00AA4FA8" w:rsidRPr="00954408">
        <w:rPr>
          <w:rFonts w:ascii="STKaiti" w:eastAsia="STKaiti" w:hAnsi="STKaiti" w:hint="eastAsia"/>
          <w:szCs w:val="24"/>
          <w:lang w:eastAsia="zh-CN"/>
        </w:rPr>
        <w:t>生效</w:t>
      </w:r>
    </w:p>
    <w:p w:rsidR="00AA4FA8" w:rsidRDefault="00AA4FA8" w:rsidP="0003598B">
      <w:pPr>
        <w:tabs>
          <w:tab w:val="clear" w:pos="794"/>
          <w:tab w:val="clear" w:pos="1191"/>
          <w:tab w:val="clear" w:pos="1588"/>
          <w:tab w:val="clear" w:pos="1985"/>
        </w:tabs>
        <w:overflowPunct/>
        <w:autoSpaceDE/>
        <w:autoSpaceDN/>
        <w:adjustRightInd/>
        <w:spacing w:before="0"/>
        <w:textAlignment w:val="auto"/>
        <w:rPr>
          <w:rFonts w:ascii="STKaiti" w:eastAsia="STKaiti" w:hAnsi="STKaiti"/>
          <w:lang w:eastAsia="zh-CN"/>
        </w:rPr>
      </w:pPr>
    </w:p>
    <w:p w:rsidR="00CA1F2B" w:rsidRPr="00F9073A" w:rsidRDefault="009A0501" w:rsidP="004D42A7">
      <w:pPr>
        <w:pStyle w:val="AnnexTitle"/>
        <w:rPr>
          <w:kern w:val="32"/>
          <w:lang w:val="en-US" w:eastAsia="zh-CN"/>
        </w:rPr>
      </w:pPr>
      <w:r>
        <w:rPr>
          <w:rFonts w:hint="eastAsia"/>
          <w:lang w:val="en-US" w:eastAsia="zh-CN"/>
        </w:rPr>
        <w:t>关于</w:t>
      </w:r>
      <w:r w:rsidR="00CA1F2B">
        <w:rPr>
          <w:rFonts w:hint="eastAsia"/>
          <w:lang w:val="en-US" w:eastAsia="zh-CN"/>
        </w:rPr>
        <w:t>第</w:t>
      </w:r>
      <w:r w:rsidR="00CA1F2B" w:rsidRPr="004008A5">
        <w:rPr>
          <w:lang w:val="en-US" w:eastAsia="zh-CN"/>
        </w:rPr>
        <w:t>51</w:t>
      </w:r>
      <w:r w:rsidR="00CA1F2B">
        <w:rPr>
          <w:rFonts w:hint="eastAsia"/>
          <w:lang w:val="en-US" w:eastAsia="zh-CN"/>
        </w:rPr>
        <w:t>号决议</w:t>
      </w:r>
      <w:r w:rsidR="00954408">
        <w:rPr>
          <w:rFonts w:hint="eastAsia"/>
          <w:lang w:val="en-US" w:eastAsia="zh-CN"/>
        </w:rPr>
        <w:t>（</w:t>
      </w:r>
      <w:r w:rsidR="00CA1F2B" w:rsidRPr="004008A5">
        <w:rPr>
          <w:lang w:val="en-US" w:eastAsia="zh-CN"/>
        </w:rPr>
        <w:t>WRC-2000</w:t>
      </w:r>
      <w:r w:rsidR="00954408">
        <w:rPr>
          <w:rFonts w:hint="eastAsia"/>
          <w:lang w:val="en-US" w:eastAsia="zh-CN"/>
        </w:rPr>
        <w:t>，修订版）的</w:t>
      </w:r>
      <w:r>
        <w:rPr>
          <w:rFonts w:hint="eastAsia"/>
          <w:lang w:val="en-US" w:eastAsia="zh-CN"/>
        </w:rPr>
        <w:t>程序</w:t>
      </w:r>
      <w:r w:rsidR="00954408">
        <w:rPr>
          <w:rFonts w:hint="eastAsia"/>
          <w:lang w:val="en-US" w:eastAsia="zh-CN"/>
        </w:rPr>
        <w:t>规则</w:t>
      </w:r>
    </w:p>
    <w:p w:rsidR="00CA1F2B" w:rsidRPr="004008A5" w:rsidRDefault="00CA1F2B" w:rsidP="0003598B">
      <w:pPr>
        <w:keepNext/>
        <w:tabs>
          <w:tab w:val="clear" w:pos="794"/>
          <w:tab w:val="clear" w:pos="1191"/>
          <w:tab w:val="clear" w:pos="1588"/>
          <w:tab w:val="clear" w:pos="1985"/>
        </w:tabs>
        <w:overflowPunct/>
        <w:autoSpaceDE/>
        <w:autoSpaceDN/>
        <w:adjustRightInd/>
        <w:spacing w:before="240" w:after="60"/>
        <w:jc w:val="center"/>
        <w:textAlignment w:val="auto"/>
        <w:outlineLvl w:val="0"/>
        <w:rPr>
          <w:b/>
          <w:bCs/>
          <w:kern w:val="32"/>
          <w:szCs w:val="24"/>
          <w:lang w:val="en-US" w:eastAsia="zh-CN"/>
        </w:rPr>
      </w:pPr>
    </w:p>
    <w:p w:rsidR="00CA1F2B" w:rsidRPr="004008A5" w:rsidRDefault="00CA1F2B" w:rsidP="000359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extAlignment w:val="auto"/>
        <w:rPr>
          <w:b/>
          <w:bCs/>
          <w:szCs w:val="24"/>
          <w:lang w:eastAsia="zh-CN"/>
        </w:rPr>
      </w:pPr>
      <w:r w:rsidRPr="004008A5">
        <w:rPr>
          <w:b/>
          <w:bCs/>
          <w:szCs w:val="24"/>
          <w:lang w:eastAsia="zh-CN"/>
        </w:rPr>
        <w:t>SUP</w:t>
      </w:r>
    </w:p>
    <w:p w:rsidR="00CA1F2B" w:rsidRPr="004D42A7" w:rsidRDefault="00954408" w:rsidP="0003598B">
      <w:pPr>
        <w:pStyle w:val="ResNo"/>
        <w:jc w:val="center"/>
        <w:rPr>
          <w:sz w:val="24"/>
          <w:szCs w:val="24"/>
          <w:lang w:val="en-US" w:eastAsia="zh-CN"/>
        </w:rPr>
      </w:pPr>
      <w:r w:rsidRPr="004D42A7">
        <w:rPr>
          <w:rFonts w:hint="eastAsia"/>
          <w:sz w:val="24"/>
          <w:szCs w:val="24"/>
          <w:lang w:val="en-US" w:eastAsia="zh-CN"/>
        </w:rPr>
        <w:t>第</w:t>
      </w:r>
      <w:r w:rsidRPr="004D42A7">
        <w:rPr>
          <w:sz w:val="24"/>
          <w:szCs w:val="24"/>
          <w:lang w:val="en-US" w:eastAsia="zh-CN"/>
        </w:rPr>
        <w:t>51</w:t>
      </w:r>
      <w:r w:rsidRPr="004D42A7">
        <w:rPr>
          <w:rFonts w:hint="eastAsia"/>
          <w:sz w:val="24"/>
          <w:szCs w:val="24"/>
          <w:lang w:val="en-US" w:eastAsia="zh-CN"/>
        </w:rPr>
        <w:t>号决议（</w:t>
      </w:r>
      <w:r w:rsidRPr="004D42A7">
        <w:rPr>
          <w:sz w:val="24"/>
          <w:szCs w:val="24"/>
          <w:lang w:val="en-US" w:eastAsia="zh-CN"/>
        </w:rPr>
        <w:t>WRC-2000</w:t>
      </w:r>
      <w:r w:rsidRPr="004D42A7">
        <w:rPr>
          <w:rFonts w:hint="eastAsia"/>
          <w:sz w:val="24"/>
          <w:szCs w:val="24"/>
          <w:lang w:val="en-US" w:eastAsia="zh-CN"/>
        </w:rPr>
        <w:t>，修订版）</w:t>
      </w:r>
    </w:p>
    <w:p w:rsidR="00CA1F2B" w:rsidRPr="004D42A7" w:rsidRDefault="009A0501" w:rsidP="004D42A7">
      <w:pPr>
        <w:pStyle w:val="Restitle"/>
        <w:rPr>
          <w:bCs/>
          <w:sz w:val="24"/>
          <w:szCs w:val="24"/>
          <w:lang w:val="en-US" w:eastAsia="zh-CN"/>
        </w:rPr>
      </w:pPr>
      <w:r w:rsidRPr="004D42A7">
        <w:rPr>
          <w:sz w:val="24"/>
          <w:szCs w:val="24"/>
          <w:lang w:eastAsia="zh-CN"/>
        </w:rPr>
        <w:t>有关卫星网络提前公布和协调的过渡</w:t>
      </w:r>
      <w:r w:rsidRPr="004D42A7">
        <w:rPr>
          <w:rFonts w:hint="eastAsia"/>
          <w:sz w:val="24"/>
          <w:szCs w:val="24"/>
          <w:lang w:eastAsia="zh-CN"/>
        </w:rPr>
        <w:t>性</w:t>
      </w:r>
      <w:r w:rsidRPr="004D42A7">
        <w:rPr>
          <w:sz w:val="24"/>
          <w:szCs w:val="24"/>
          <w:lang w:eastAsia="zh-CN"/>
        </w:rPr>
        <w:t>安排</w:t>
      </w:r>
    </w:p>
    <w:p w:rsidR="00CA1F2B" w:rsidRPr="003D01D1" w:rsidRDefault="00CA1F2B" w:rsidP="0003598B">
      <w:pPr>
        <w:tabs>
          <w:tab w:val="clear" w:pos="794"/>
          <w:tab w:val="clear" w:pos="1191"/>
          <w:tab w:val="clear" w:pos="1588"/>
          <w:tab w:val="clear" w:pos="1985"/>
        </w:tabs>
        <w:overflowPunct/>
        <w:autoSpaceDE/>
        <w:autoSpaceDN/>
        <w:adjustRightInd/>
        <w:spacing w:before="0"/>
        <w:textAlignment w:val="auto"/>
        <w:rPr>
          <w:rFonts w:ascii="Calibri" w:hAnsi="Calibri" w:cs="Calibri"/>
          <w:sz w:val="22"/>
          <w:szCs w:val="22"/>
          <w:lang w:val="en-US" w:eastAsia="zh-CN"/>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CA1F2B" w:rsidRPr="003D01D1" w:rsidTr="00AA4FA8">
        <w:tc>
          <w:tcPr>
            <w:tcW w:w="1134" w:type="dxa"/>
            <w:tcBorders>
              <w:top w:val="double" w:sz="4" w:space="0" w:color="auto"/>
              <w:left w:val="double" w:sz="4" w:space="0" w:color="auto"/>
              <w:bottom w:val="double" w:sz="4" w:space="0" w:color="auto"/>
              <w:right w:val="double" w:sz="4" w:space="0" w:color="auto"/>
            </w:tcBorders>
            <w:hideMark/>
          </w:tcPr>
          <w:p w:rsidR="00CA1F2B" w:rsidRPr="00954408" w:rsidRDefault="00954408" w:rsidP="0003598B">
            <w:pPr>
              <w:keepNext/>
              <w:keepLines/>
              <w:tabs>
                <w:tab w:val="clear" w:pos="794"/>
                <w:tab w:val="clear" w:pos="1191"/>
                <w:tab w:val="clear" w:pos="1588"/>
                <w:tab w:val="clear" w:pos="1985"/>
              </w:tabs>
              <w:overflowPunct/>
              <w:autoSpaceDE/>
              <w:autoSpaceDN/>
              <w:adjustRightInd/>
              <w:spacing w:before="0"/>
              <w:textAlignment w:val="auto"/>
              <w:outlineLvl w:val="7"/>
              <w:rPr>
                <w:rFonts w:ascii="STKaiti" w:eastAsia="STKaiti" w:hAnsi="STKaiti"/>
                <w:color w:val="404040"/>
                <w:sz w:val="20"/>
              </w:rPr>
            </w:pPr>
            <w:r w:rsidRPr="00954408">
              <w:rPr>
                <w:rFonts w:ascii="STKaiti" w:eastAsia="STKaiti" w:hAnsi="STKaiti" w:hint="eastAsia"/>
                <w:color w:val="404040"/>
                <w:sz w:val="20"/>
                <w:lang w:val="en-US" w:eastAsia="zh-CN"/>
              </w:rPr>
              <w:t>做出决议</w:t>
            </w:r>
          </w:p>
        </w:tc>
      </w:tr>
    </w:tbl>
    <w:p w:rsidR="00CA1F2B" w:rsidRPr="003D01D1" w:rsidRDefault="00CA1F2B" w:rsidP="000359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extAlignment w:val="auto"/>
        <w:rPr>
          <w:b/>
          <w:bCs/>
          <w:sz w:val="28"/>
          <w:szCs w:val="28"/>
        </w:rPr>
      </w:pPr>
      <w:r w:rsidRPr="003D01D1">
        <w:rPr>
          <w:b/>
          <w:bCs/>
          <w:sz w:val="28"/>
          <w:szCs w:val="28"/>
        </w:rPr>
        <w:t xml:space="preserve">1 </w:t>
      </w:r>
      <w:r w:rsidR="00954408">
        <w:rPr>
          <w:rFonts w:hint="eastAsia"/>
          <w:b/>
          <w:bCs/>
          <w:sz w:val="28"/>
          <w:szCs w:val="28"/>
          <w:lang w:eastAsia="zh-CN"/>
        </w:rPr>
        <w:t>至</w:t>
      </w:r>
      <w:r w:rsidRPr="003D01D1">
        <w:rPr>
          <w:b/>
          <w:bCs/>
          <w:sz w:val="28"/>
          <w:szCs w:val="28"/>
        </w:rPr>
        <w:t xml:space="preserve"> 2.2.2</w:t>
      </w:r>
    </w:p>
    <w:p w:rsidR="00954408" w:rsidRPr="00954408" w:rsidRDefault="00954408" w:rsidP="00435C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extAlignment w:val="auto"/>
        <w:rPr>
          <w:rFonts w:ascii="STKaiti" w:eastAsia="STKaiti" w:hAnsi="STKaiti"/>
          <w:szCs w:val="24"/>
          <w:lang w:eastAsia="zh-CN"/>
        </w:rPr>
      </w:pPr>
      <w:r w:rsidRPr="00954408">
        <w:rPr>
          <w:rFonts w:ascii="STKaiti" w:eastAsia="STKaiti" w:hAnsi="STKaiti" w:hint="eastAsia"/>
          <w:b/>
          <w:bCs/>
          <w:szCs w:val="24"/>
          <w:lang w:eastAsia="zh-CN"/>
        </w:rPr>
        <w:t>理由：</w:t>
      </w:r>
      <w:r w:rsidRPr="00954408">
        <w:rPr>
          <w:rFonts w:ascii="STKaiti" w:eastAsia="STKaiti" w:hAnsi="STKaiti" w:hint="eastAsia"/>
          <w:szCs w:val="24"/>
          <w:lang w:eastAsia="zh-CN"/>
        </w:rPr>
        <w:t>WRC-07</w:t>
      </w:r>
      <w:r w:rsidR="009A0501">
        <w:rPr>
          <w:rFonts w:ascii="STKaiti" w:eastAsia="STKaiti" w:hAnsi="STKaiti" w:hint="eastAsia"/>
          <w:szCs w:val="24"/>
          <w:lang w:eastAsia="zh-CN"/>
        </w:rPr>
        <w:t>自</w:t>
      </w:r>
      <w:r w:rsidRPr="00954408">
        <w:rPr>
          <w:rFonts w:ascii="STKaiti" w:eastAsia="STKaiti" w:hAnsi="STKaiti" w:hint="eastAsia"/>
          <w:szCs w:val="24"/>
          <w:lang w:eastAsia="zh-CN"/>
        </w:rPr>
        <w:t>2010年1月1日</w:t>
      </w:r>
      <w:r w:rsidR="009A0501">
        <w:rPr>
          <w:rFonts w:ascii="STKaiti" w:eastAsia="STKaiti" w:hAnsi="STKaiti" w:hint="eastAsia"/>
          <w:szCs w:val="24"/>
          <w:lang w:eastAsia="zh-CN"/>
        </w:rPr>
        <w:t>起废除了</w:t>
      </w:r>
      <w:r w:rsidR="00435C5B">
        <w:rPr>
          <w:rFonts w:ascii="STKaiti" w:eastAsia="STKaiti" w:hAnsi="STKaiti" w:hint="eastAsia"/>
          <w:szCs w:val="24"/>
          <w:lang w:eastAsia="zh-CN"/>
        </w:rPr>
        <w:t>本</w:t>
      </w:r>
      <w:r w:rsidR="009A0501">
        <w:rPr>
          <w:rFonts w:ascii="STKaiti" w:eastAsia="STKaiti" w:hAnsi="STKaiti" w:hint="eastAsia"/>
          <w:szCs w:val="24"/>
          <w:lang w:eastAsia="zh-CN"/>
        </w:rPr>
        <w:t>决议。</w:t>
      </w:r>
      <w:r w:rsidR="00435C5B">
        <w:rPr>
          <w:rFonts w:ascii="STKaiti" w:eastAsia="STKaiti" w:hAnsi="STKaiti" w:hint="eastAsia"/>
          <w:szCs w:val="24"/>
          <w:lang w:eastAsia="zh-CN"/>
        </w:rPr>
        <w:t>涉及</w:t>
      </w:r>
      <w:r w:rsidRPr="00954408">
        <w:rPr>
          <w:rFonts w:ascii="STKaiti" w:eastAsia="STKaiti" w:hAnsi="STKaiti" w:hint="eastAsia"/>
          <w:szCs w:val="24"/>
          <w:lang w:eastAsia="zh-CN"/>
        </w:rPr>
        <w:t>1997年11月22日之前收到的卫星网络提前公布</w:t>
      </w:r>
      <w:r w:rsidR="009A0501" w:rsidRPr="00954408">
        <w:rPr>
          <w:rFonts w:ascii="STKaiti" w:eastAsia="STKaiti" w:hAnsi="STKaiti" w:hint="eastAsia"/>
          <w:szCs w:val="24"/>
          <w:lang w:eastAsia="zh-CN"/>
        </w:rPr>
        <w:t>资料</w:t>
      </w:r>
      <w:r w:rsidRPr="00954408">
        <w:rPr>
          <w:rFonts w:ascii="STKaiti" w:eastAsia="STKaiti" w:hAnsi="STKaiti" w:hint="eastAsia"/>
          <w:szCs w:val="24"/>
          <w:lang w:eastAsia="zh-CN"/>
        </w:rPr>
        <w:t>的过渡性安排以及所有</w:t>
      </w:r>
      <w:r w:rsidR="00435C5B">
        <w:rPr>
          <w:rFonts w:ascii="STKaiti" w:eastAsia="STKaiti" w:hAnsi="STKaiti" w:hint="eastAsia"/>
          <w:szCs w:val="24"/>
          <w:lang w:eastAsia="zh-CN"/>
        </w:rPr>
        <w:t>相关</w:t>
      </w:r>
      <w:r w:rsidRPr="00954408">
        <w:rPr>
          <w:rFonts w:ascii="STKaiti" w:eastAsia="STKaiti" w:hAnsi="STKaiti" w:hint="eastAsia"/>
          <w:szCs w:val="24"/>
          <w:lang w:eastAsia="zh-CN"/>
        </w:rPr>
        <w:t>案例均已处理完毕，因此，</w:t>
      </w:r>
      <w:r w:rsidR="009A0501">
        <w:rPr>
          <w:rFonts w:ascii="STKaiti" w:eastAsia="STKaiti" w:hAnsi="STKaiti" w:hint="eastAsia"/>
          <w:szCs w:val="24"/>
          <w:lang w:eastAsia="zh-CN"/>
        </w:rPr>
        <w:t>这些</w:t>
      </w:r>
      <w:r w:rsidRPr="00954408">
        <w:rPr>
          <w:rFonts w:ascii="STKaiti" w:eastAsia="STKaiti" w:hAnsi="STKaiti" w:hint="eastAsia"/>
          <w:szCs w:val="24"/>
          <w:lang w:eastAsia="zh-CN"/>
        </w:rPr>
        <w:t>过渡性规则</w:t>
      </w:r>
      <w:r w:rsidR="009A0501">
        <w:rPr>
          <w:rFonts w:ascii="STKaiti" w:eastAsia="STKaiti" w:hAnsi="STKaiti" w:hint="eastAsia"/>
          <w:szCs w:val="24"/>
          <w:lang w:eastAsia="zh-CN"/>
        </w:rPr>
        <w:t>失去了存在的</w:t>
      </w:r>
      <w:r w:rsidRPr="00954408">
        <w:rPr>
          <w:rFonts w:ascii="STKaiti" w:eastAsia="STKaiti" w:hAnsi="STKaiti" w:hint="eastAsia"/>
          <w:szCs w:val="24"/>
          <w:lang w:eastAsia="zh-CN"/>
        </w:rPr>
        <w:t>必要</w:t>
      </w:r>
      <w:r w:rsidR="009A0501">
        <w:rPr>
          <w:rFonts w:ascii="STKaiti" w:eastAsia="STKaiti" w:hAnsi="STKaiti" w:hint="eastAsia"/>
          <w:szCs w:val="24"/>
          <w:lang w:eastAsia="zh-CN"/>
        </w:rPr>
        <w:t>性</w:t>
      </w:r>
      <w:r w:rsidRPr="00954408">
        <w:rPr>
          <w:rFonts w:ascii="STKaiti" w:eastAsia="STKaiti" w:hAnsi="STKaiti" w:hint="eastAsia"/>
          <w:szCs w:val="24"/>
          <w:lang w:eastAsia="zh-CN"/>
        </w:rPr>
        <w:t>。</w:t>
      </w:r>
    </w:p>
    <w:p w:rsidR="00954408" w:rsidRPr="00954408" w:rsidRDefault="009A0501" w:rsidP="000359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textAlignment w:val="auto"/>
        <w:rPr>
          <w:rFonts w:ascii="STKaiti" w:eastAsia="STKaiti" w:hAnsi="STKaiti"/>
          <w:b/>
          <w:bCs/>
          <w:i/>
          <w:iCs/>
          <w:szCs w:val="24"/>
          <w:lang w:eastAsia="zh-CN"/>
        </w:rPr>
      </w:pPr>
      <w:r>
        <w:rPr>
          <w:rFonts w:ascii="STKaiti" w:eastAsia="STKaiti" w:hAnsi="STKaiti" w:hint="eastAsia"/>
          <w:szCs w:val="24"/>
          <w:lang w:eastAsia="zh-CN"/>
        </w:rPr>
        <w:lastRenderedPageBreak/>
        <w:t>删除本规则的生效日期：批准后</w:t>
      </w:r>
      <w:r w:rsidR="00954408" w:rsidRPr="00954408">
        <w:rPr>
          <w:rFonts w:ascii="STKaiti" w:eastAsia="STKaiti" w:hAnsi="STKaiti" w:hint="eastAsia"/>
          <w:szCs w:val="24"/>
          <w:lang w:eastAsia="zh-CN"/>
        </w:rPr>
        <w:t>即</w:t>
      </w:r>
      <w:r>
        <w:rPr>
          <w:rFonts w:ascii="STKaiti" w:eastAsia="STKaiti" w:hAnsi="STKaiti" w:hint="eastAsia"/>
          <w:szCs w:val="24"/>
          <w:lang w:eastAsia="zh-CN"/>
        </w:rPr>
        <w:t>刻</w:t>
      </w:r>
      <w:r w:rsidR="00954408" w:rsidRPr="00954408">
        <w:rPr>
          <w:rFonts w:ascii="STKaiti" w:eastAsia="STKaiti" w:hAnsi="STKaiti" w:hint="eastAsia"/>
          <w:szCs w:val="24"/>
          <w:lang w:eastAsia="zh-CN"/>
        </w:rPr>
        <w:t>生效</w:t>
      </w:r>
    </w:p>
    <w:p w:rsidR="0051377B" w:rsidRDefault="00A8165B" w:rsidP="0051377B">
      <w:pPr>
        <w:pStyle w:val="Heading1"/>
        <w:tabs>
          <w:tab w:val="left" w:pos="0"/>
        </w:tabs>
        <w:spacing w:before="480"/>
        <w:jc w:val="center"/>
        <w:rPr>
          <w:lang w:eastAsia="zh-CN"/>
        </w:rPr>
      </w:pPr>
      <w:r>
        <w:rPr>
          <w:rFonts w:hint="eastAsia"/>
          <w:lang w:eastAsia="zh-CN"/>
        </w:rPr>
        <w:t>有关</w:t>
      </w:r>
      <w:r w:rsidR="0051377B">
        <w:rPr>
          <w:rFonts w:hint="eastAsia"/>
          <w:lang w:eastAsia="zh-CN"/>
        </w:rPr>
        <w:t>A6</w:t>
      </w:r>
      <w:r w:rsidR="0051377B">
        <w:rPr>
          <w:rFonts w:hint="eastAsia"/>
          <w:lang w:eastAsia="zh-CN"/>
        </w:rPr>
        <w:t>部分</w:t>
      </w:r>
      <w:r>
        <w:rPr>
          <w:rFonts w:hint="eastAsia"/>
          <w:lang w:eastAsia="zh-CN"/>
        </w:rPr>
        <w:t>的规则</w:t>
      </w:r>
    </w:p>
    <w:p w:rsidR="0051377B" w:rsidRDefault="0051377B" w:rsidP="0051377B">
      <w:pPr>
        <w:pStyle w:val="Heading1"/>
        <w:spacing w:before="240"/>
        <w:jc w:val="center"/>
        <w:rPr>
          <w:lang w:eastAsia="zh-CN"/>
        </w:rPr>
      </w:pPr>
      <w:r>
        <w:rPr>
          <w:rFonts w:hint="eastAsia"/>
          <w:noProof/>
          <w:lang w:eastAsia="zh-CN"/>
        </w:rPr>
        <w:t>关于非洲广播区及周边国家</w:t>
      </w:r>
      <w:r>
        <w:rPr>
          <w:rFonts w:hint="eastAsia"/>
          <w:noProof/>
          <w:lang w:eastAsia="zh-CN"/>
        </w:rPr>
        <w:t>VHF/UHF</w:t>
      </w:r>
      <w:r>
        <w:rPr>
          <w:rFonts w:hint="eastAsia"/>
          <w:noProof/>
          <w:lang w:eastAsia="zh-CN"/>
        </w:rPr>
        <w:t>电视广播</w:t>
      </w:r>
      <w:r>
        <w:rPr>
          <w:noProof/>
          <w:lang w:eastAsia="zh-CN"/>
        </w:rPr>
        <w:br/>
      </w:r>
      <w:r>
        <w:rPr>
          <w:rFonts w:hint="eastAsia"/>
          <w:noProof/>
          <w:lang w:eastAsia="zh-CN"/>
        </w:rPr>
        <w:t>规划的区域性协议（</w:t>
      </w:r>
      <w:r>
        <w:rPr>
          <w:rFonts w:hint="eastAsia"/>
          <w:noProof/>
          <w:lang w:eastAsia="zh-CN"/>
        </w:rPr>
        <w:t>1989</w:t>
      </w:r>
      <w:r>
        <w:rPr>
          <w:rFonts w:hint="eastAsia"/>
          <w:noProof/>
          <w:lang w:eastAsia="zh-CN"/>
        </w:rPr>
        <w:t>年，日内瓦）</w:t>
      </w:r>
      <w:r>
        <w:rPr>
          <w:noProof/>
          <w:lang w:eastAsia="zh-CN"/>
        </w:rPr>
        <w:br/>
      </w:r>
      <w:r>
        <w:rPr>
          <w:rFonts w:hint="eastAsia"/>
          <w:noProof/>
          <w:lang w:eastAsia="zh-CN"/>
        </w:rPr>
        <w:t>（</w:t>
      </w:r>
      <w:r>
        <w:rPr>
          <w:rFonts w:hint="eastAsia"/>
          <w:noProof/>
          <w:lang w:eastAsia="zh-CN"/>
        </w:rPr>
        <w:t>GE89</w:t>
      </w:r>
      <w:r>
        <w:rPr>
          <w:rFonts w:hint="eastAsia"/>
          <w:noProof/>
          <w:lang w:eastAsia="zh-CN"/>
        </w:rPr>
        <w:t>）的程序规则</w:t>
      </w:r>
    </w:p>
    <w:p w:rsidR="0051377B" w:rsidRDefault="0051377B" w:rsidP="0051377B">
      <w:pPr>
        <w:pStyle w:val="Heading1"/>
        <w:ind w:left="1134" w:hanging="1134"/>
        <w:rPr>
          <w:sz w:val="16"/>
          <w:szCs w:val="16"/>
          <w:lang w:eastAsia="zh-CN"/>
        </w:rPr>
      </w:pPr>
      <w:r>
        <w:rPr>
          <w:rFonts w:hint="eastAsia"/>
          <w:lang w:eastAsia="zh-CN"/>
        </w:rPr>
        <w:t>4</w:t>
      </w:r>
      <w:r>
        <w:rPr>
          <w:rFonts w:hint="eastAsia"/>
          <w:lang w:eastAsia="zh-CN"/>
        </w:rPr>
        <w:tab/>
        <w:t>GE89</w:t>
      </w:r>
      <w:r>
        <w:rPr>
          <w:rFonts w:hint="eastAsia"/>
          <w:lang w:eastAsia="zh-CN"/>
        </w:rPr>
        <w:t>区域性协议制约的频段中非规划业务的通知的审查</w:t>
      </w:r>
    </w:p>
    <w:p w:rsidR="0051377B" w:rsidRDefault="0051377B" w:rsidP="0051377B">
      <w:pPr>
        <w:rPr>
          <w:lang w:eastAsia="zh-CN"/>
        </w:rPr>
      </w:pPr>
      <w:r>
        <w:rPr>
          <w:rFonts w:hint="eastAsia"/>
          <w:lang w:eastAsia="zh-CN"/>
        </w:rPr>
        <w:t>4.1</w:t>
      </w:r>
      <w:r>
        <w:rPr>
          <w:rFonts w:hint="eastAsia"/>
          <w:lang w:eastAsia="zh-CN"/>
        </w:rPr>
        <w:tab/>
        <w:t>GE89</w:t>
      </w:r>
      <w:r>
        <w:rPr>
          <w:rFonts w:hint="eastAsia"/>
          <w:lang w:eastAsia="zh-CN"/>
        </w:rPr>
        <w:t>协议第</w:t>
      </w:r>
      <w:r>
        <w:rPr>
          <w:rFonts w:hint="eastAsia"/>
          <w:lang w:eastAsia="zh-CN"/>
        </w:rPr>
        <w:t>5</w:t>
      </w:r>
      <w:r>
        <w:rPr>
          <w:rFonts w:hint="eastAsia"/>
          <w:lang w:eastAsia="zh-CN"/>
        </w:rPr>
        <w:t>条第</w:t>
      </w:r>
      <w:r>
        <w:rPr>
          <w:rFonts w:hint="eastAsia"/>
          <w:lang w:eastAsia="zh-CN"/>
        </w:rPr>
        <w:t>5.2</w:t>
      </w:r>
      <w:r>
        <w:rPr>
          <w:rFonts w:hint="eastAsia"/>
          <w:lang w:eastAsia="zh-CN"/>
        </w:rPr>
        <w:t>节具体规定了审查协议规定的频段中非规划主要业务的通知需采用的程序。相关的频段和业务在下表中予以综述。</w:t>
      </w:r>
    </w:p>
    <w:p w:rsidR="0051377B" w:rsidRDefault="0051377B" w:rsidP="0051377B">
      <w:pPr>
        <w:pStyle w:val="Table"/>
      </w:pPr>
      <w:r>
        <w:rPr>
          <w:rFonts w:hint="eastAsia"/>
        </w:rPr>
        <w:t>表</w:t>
      </w:r>
    </w:p>
    <w:tbl>
      <w:tblPr>
        <w:tblW w:w="0" w:type="auto"/>
        <w:tblLayout w:type="fixed"/>
        <w:tblCellMar>
          <w:left w:w="0" w:type="dxa"/>
          <w:right w:w="0" w:type="dxa"/>
        </w:tblCellMar>
        <w:tblLook w:val="0000" w:firstRow="0" w:lastRow="0" w:firstColumn="0" w:lastColumn="0" w:noHBand="0" w:noVBand="0"/>
      </w:tblPr>
      <w:tblGrid>
        <w:gridCol w:w="932"/>
        <w:gridCol w:w="2195"/>
        <w:gridCol w:w="4104"/>
        <w:gridCol w:w="1078"/>
        <w:gridCol w:w="763"/>
      </w:tblGrid>
      <w:tr w:rsidR="0051377B" w:rsidTr="003154DF">
        <w:trPr>
          <w:cantSplit/>
        </w:trPr>
        <w:tc>
          <w:tcPr>
            <w:tcW w:w="932" w:type="dxa"/>
            <w:tcBorders>
              <w:top w:val="single" w:sz="6" w:space="0" w:color="auto"/>
              <w:left w:val="single" w:sz="6" w:space="0" w:color="auto"/>
              <w:right w:val="single" w:sz="6" w:space="0" w:color="auto"/>
            </w:tcBorders>
          </w:tcPr>
          <w:p w:rsidR="0051377B" w:rsidRDefault="0051377B" w:rsidP="003154DF">
            <w:pPr>
              <w:pStyle w:val="TableHead0"/>
              <w:framePr w:hSpace="180" w:wrap="around" w:vAnchor="text" w:hAnchor="text" w:y="1"/>
              <w:ind w:left="-99" w:right="-53"/>
              <w:rPr>
                <w:rFonts w:eastAsia="SimHei"/>
                <w:lang w:eastAsia="zh-CN"/>
              </w:rPr>
            </w:pPr>
            <w:proofErr w:type="spellStart"/>
            <w:r w:rsidRPr="000873EB">
              <w:rPr>
                <w:rFonts w:hint="eastAsia"/>
                <w:lang w:eastAsia="zh-CN"/>
              </w:rPr>
              <w:t>频</w:t>
            </w:r>
            <w:r>
              <w:rPr>
                <w:rFonts w:hint="eastAsia"/>
                <w:lang w:eastAsia="zh-CN"/>
              </w:rPr>
              <w:t>段</w:t>
            </w:r>
            <w:proofErr w:type="spellEnd"/>
            <w:r>
              <w:rPr>
                <w:lang w:val="en-US" w:eastAsia="zh-CN"/>
              </w:rPr>
              <w:br/>
            </w:r>
            <w:r>
              <w:rPr>
                <w:rFonts w:eastAsia="SimHei" w:hint="eastAsia"/>
                <w:lang w:eastAsia="zh-CN"/>
              </w:rPr>
              <w:t>（</w:t>
            </w:r>
            <w:r>
              <w:rPr>
                <w:rFonts w:eastAsia="SimHei" w:hint="eastAsia"/>
                <w:lang w:eastAsia="zh-CN"/>
              </w:rPr>
              <w:t>MHz</w:t>
            </w:r>
            <w:r>
              <w:rPr>
                <w:rFonts w:eastAsia="SimHei" w:hint="eastAsia"/>
                <w:lang w:eastAsia="zh-CN"/>
              </w:rPr>
              <w:t>）</w:t>
            </w:r>
          </w:p>
        </w:tc>
        <w:tc>
          <w:tcPr>
            <w:tcW w:w="6299" w:type="dxa"/>
            <w:gridSpan w:val="2"/>
            <w:tcBorders>
              <w:top w:val="single" w:sz="6" w:space="0" w:color="auto"/>
              <w:left w:val="single" w:sz="6" w:space="0" w:color="auto"/>
              <w:bottom w:val="single" w:sz="6" w:space="0" w:color="auto"/>
              <w:right w:val="single" w:sz="6" w:space="0" w:color="auto"/>
            </w:tcBorders>
            <w:vAlign w:val="center"/>
          </w:tcPr>
          <w:p w:rsidR="0051377B" w:rsidRPr="00A00C51" w:rsidRDefault="0051377B" w:rsidP="003154DF">
            <w:pPr>
              <w:pStyle w:val="TableHead0"/>
              <w:framePr w:hSpace="180" w:wrap="around" w:vAnchor="text" w:hAnchor="text" w:y="1"/>
              <w:rPr>
                <w:rFonts w:cs="Times New Roman Bold"/>
                <w:spacing w:val="12"/>
                <w:lang w:eastAsia="zh-CN"/>
              </w:rPr>
            </w:pPr>
            <w:proofErr w:type="spellStart"/>
            <w:r>
              <w:rPr>
                <w:rFonts w:cs="Times New Roman Bold" w:hint="eastAsia"/>
                <w:spacing w:val="12"/>
                <w:lang w:eastAsia="zh-CN"/>
              </w:rPr>
              <w:t>各种</w:t>
            </w:r>
            <w:r w:rsidRPr="00A00C51">
              <w:rPr>
                <w:rFonts w:cs="Times New Roman Bold" w:hint="eastAsia"/>
                <w:spacing w:val="12"/>
                <w:lang w:eastAsia="zh-CN"/>
              </w:rPr>
              <w:t>业务和规划区内的国家</w:t>
            </w:r>
            <w:proofErr w:type="spellEnd"/>
          </w:p>
        </w:tc>
        <w:tc>
          <w:tcPr>
            <w:tcW w:w="1078" w:type="dxa"/>
            <w:tcBorders>
              <w:top w:val="single" w:sz="6" w:space="0" w:color="auto"/>
              <w:left w:val="single" w:sz="6" w:space="0" w:color="auto"/>
              <w:bottom w:val="single" w:sz="6" w:space="0" w:color="auto"/>
              <w:right w:val="single" w:sz="6" w:space="0" w:color="auto"/>
            </w:tcBorders>
            <w:vAlign w:val="center"/>
          </w:tcPr>
          <w:p w:rsidR="0051377B" w:rsidRPr="000873EB" w:rsidRDefault="0051377B" w:rsidP="003154DF">
            <w:pPr>
              <w:pStyle w:val="TableHead0"/>
              <w:framePr w:hSpace="180" w:wrap="around" w:vAnchor="text" w:hAnchor="text" w:y="1"/>
            </w:pPr>
            <w:proofErr w:type="spellStart"/>
            <w:r>
              <w:rPr>
                <w:rFonts w:hint="eastAsia"/>
                <w:lang w:eastAsia="zh-CN"/>
              </w:rPr>
              <w:t>条款</w:t>
            </w:r>
            <w:proofErr w:type="spellEnd"/>
          </w:p>
        </w:tc>
        <w:tc>
          <w:tcPr>
            <w:tcW w:w="763" w:type="dxa"/>
            <w:tcBorders>
              <w:top w:val="single" w:sz="6" w:space="0" w:color="auto"/>
              <w:right w:val="single" w:sz="6" w:space="0" w:color="auto"/>
            </w:tcBorders>
            <w:vAlign w:val="center"/>
          </w:tcPr>
          <w:p w:rsidR="0051377B" w:rsidRPr="000873EB" w:rsidRDefault="0051377B" w:rsidP="003154DF">
            <w:pPr>
              <w:pStyle w:val="TableHead0"/>
              <w:framePr w:hSpace="180" w:wrap="around" w:vAnchor="text" w:hAnchor="text" w:y="1"/>
            </w:pPr>
            <w:proofErr w:type="spellStart"/>
            <w:r w:rsidRPr="000873EB">
              <w:rPr>
                <w:rFonts w:hint="eastAsia"/>
                <w:lang w:eastAsia="zh-CN"/>
              </w:rPr>
              <w:t>注释</w:t>
            </w:r>
            <w:proofErr w:type="spellEnd"/>
          </w:p>
        </w:tc>
      </w:tr>
      <w:tr w:rsidR="00715444" w:rsidTr="003154DF">
        <w:trPr>
          <w:cantSplit/>
        </w:trPr>
        <w:tc>
          <w:tcPr>
            <w:tcW w:w="932" w:type="dxa"/>
            <w:tcBorders>
              <w:top w:val="single" w:sz="6" w:space="0" w:color="auto"/>
              <w:left w:val="single" w:sz="6" w:space="0" w:color="auto"/>
              <w:right w:val="single" w:sz="6" w:space="0" w:color="auto"/>
            </w:tcBorders>
          </w:tcPr>
          <w:p w:rsidR="00715444" w:rsidRDefault="00715444" w:rsidP="00715444">
            <w:pPr>
              <w:pStyle w:val="TableText0"/>
              <w:framePr w:hSpace="180" w:wrap="around" w:vAnchor="text" w:hAnchor="text" w:y="1"/>
              <w:ind w:left="57" w:right="57"/>
              <w:jc w:val="center"/>
            </w:pPr>
            <w:r>
              <w:t>47-68</w:t>
            </w:r>
          </w:p>
        </w:tc>
        <w:tc>
          <w:tcPr>
            <w:tcW w:w="2195" w:type="dxa"/>
            <w:tcBorders>
              <w:top w:val="single" w:sz="6" w:space="0" w:color="auto"/>
              <w:left w:val="single" w:sz="6" w:space="0" w:color="auto"/>
              <w:bottom w:val="single" w:sz="6" w:space="0" w:color="auto"/>
            </w:tcBorders>
          </w:tcPr>
          <w:p w:rsidR="00715444" w:rsidRDefault="00715444" w:rsidP="00715444">
            <w:pPr>
              <w:pStyle w:val="TableText0"/>
              <w:framePr w:hSpace="180" w:wrap="around" w:vAnchor="text" w:hAnchor="text" w:y="1"/>
              <w:tabs>
                <w:tab w:val="left" w:pos="1316"/>
              </w:tabs>
              <w:ind w:left="1316" w:right="57" w:hanging="1259"/>
            </w:pPr>
            <w:proofErr w:type="spellStart"/>
            <w:r w:rsidRPr="0057329B">
              <w:rPr>
                <w:rFonts w:ascii="SimSun" w:hAnsi="SimSun"/>
                <w:b/>
                <w:lang w:eastAsia="zh-CN"/>
              </w:rPr>
              <w:t>固定业务</w:t>
            </w:r>
            <w:proofErr w:type="spellEnd"/>
            <w:r w:rsidRPr="0057329B">
              <w:rPr>
                <w:rFonts w:ascii="SimSun" w:hAnsi="SimSun"/>
                <w:b/>
                <w:lang w:eastAsia="zh-CN"/>
              </w:rPr>
              <w:t>：</w:t>
            </w:r>
          </w:p>
        </w:tc>
        <w:tc>
          <w:tcPr>
            <w:tcW w:w="4104" w:type="dxa"/>
            <w:tcBorders>
              <w:top w:val="single" w:sz="6" w:space="0" w:color="auto"/>
              <w:left w:val="nil"/>
              <w:bottom w:val="single" w:sz="6" w:space="0" w:color="auto"/>
              <w:right w:val="single" w:sz="6" w:space="0" w:color="auto"/>
            </w:tcBorders>
          </w:tcPr>
          <w:p w:rsidR="00715444" w:rsidRPr="00C4089F" w:rsidRDefault="00715444" w:rsidP="00715444">
            <w:pPr>
              <w:pStyle w:val="TableText0"/>
              <w:framePr w:hSpace="180" w:wrap="around" w:vAnchor="text" w:hAnchor="text" w:y="1"/>
              <w:spacing w:before="80" w:after="80"/>
              <w:ind w:left="61" w:right="57" w:hanging="4"/>
            </w:pPr>
            <w:r w:rsidRPr="00C4089F">
              <w:t xml:space="preserve">AFS, AGL, BOT, </w:t>
            </w:r>
            <w:bookmarkStart w:id="6" w:name="_GoBack"/>
            <w:r w:rsidR="00D9091E" w:rsidRPr="00D9091E">
              <w:rPr>
                <w:strike/>
                <w:color w:val="FF0000"/>
              </w:rPr>
              <w:t>BDI</w:t>
            </w:r>
            <w:bookmarkEnd w:id="6"/>
            <w:r w:rsidR="00D9091E">
              <w:t xml:space="preserve">, </w:t>
            </w:r>
            <w:r w:rsidRPr="00C4089F">
              <w:t xml:space="preserve">CME, COD, COG, IRN, LSO, MDG, MLI, MOZ, MWI, </w:t>
            </w:r>
            <w:r w:rsidRPr="00D9091E">
              <w:rPr>
                <w:color w:val="FF0000"/>
                <w:u w:val="single"/>
              </w:rPr>
              <w:t>NGR</w:t>
            </w:r>
            <w:r w:rsidRPr="00C4089F">
              <w:t xml:space="preserve">, NMB, RRW, SOM, SDN, </w:t>
            </w:r>
            <w:r w:rsidRPr="00D9091E">
              <w:rPr>
                <w:color w:val="FF0000"/>
                <w:u w:val="single"/>
              </w:rPr>
              <w:t>SSD</w:t>
            </w:r>
            <w:r w:rsidRPr="00D9091E">
              <w:t>,</w:t>
            </w:r>
            <w:r w:rsidRPr="00C4089F">
              <w:t xml:space="preserve"> SWZ, TCD, TZA, </w:t>
            </w:r>
            <w:r w:rsidRPr="00D9091E">
              <w:rPr>
                <w:color w:val="FF0000"/>
                <w:u w:val="single"/>
              </w:rPr>
              <w:t>ZMB</w:t>
            </w:r>
            <w:r w:rsidRPr="00D9091E">
              <w:t>,</w:t>
            </w:r>
            <w:r w:rsidRPr="00C4089F">
              <w:t xml:space="preserve"> ZWE</w:t>
            </w:r>
          </w:p>
        </w:tc>
        <w:tc>
          <w:tcPr>
            <w:tcW w:w="1078" w:type="dxa"/>
            <w:tcBorders>
              <w:top w:val="single" w:sz="6" w:space="0" w:color="auto"/>
              <w:left w:val="single" w:sz="6" w:space="0" w:color="auto"/>
              <w:bottom w:val="single" w:sz="6" w:space="0" w:color="auto"/>
              <w:right w:val="single" w:sz="6" w:space="0" w:color="auto"/>
            </w:tcBorders>
          </w:tcPr>
          <w:p w:rsidR="00715444" w:rsidRDefault="00715444" w:rsidP="00715444">
            <w:pPr>
              <w:pStyle w:val="TableText0"/>
              <w:framePr w:hSpace="180" w:wrap="around" w:vAnchor="text" w:hAnchor="text" w:y="1"/>
              <w:ind w:left="57" w:right="57"/>
              <w:jc w:val="center"/>
            </w:pPr>
            <w:r>
              <w:rPr>
                <w:rStyle w:val="Artref"/>
                <w:b/>
                <w:color w:val="000000"/>
              </w:rPr>
              <w:t>5.165</w:t>
            </w:r>
            <w:r>
              <w:rPr>
                <w:rStyle w:val="Artref0"/>
                <w:b/>
              </w:rPr>
              <w:br/>
            </w:r>
            <w:r>
              <w:rPr>
                <w:rStyle w:val="Artref"/>
                <w:b/>
                <w:color w:val="000000"/>
              </w:rPr>
              <w:t>5.167</w:t>
            </w:r>
            <w:r>
              <w:br/>
            </w:r>
            <w:r>
              <w:rPr>
                <w:rStyle w:val="Artref"/>
                <w:b/>
                <w:color w:val="000000"/>
              </w:rPr>
              <w:t>5.171</w:t>
            </w:r>
          </w:p>
        </w:tc>
        <w:tc>
          <w:tcPr>
            <w:tcW w:w="763" w:type="dxa"/>
            <w:tcBorders>
              <w:top w:val="single" w:sz="6" w:space="0" w:color="auto"/>
              <w:right w:val="single" w:sz="6" w:space="0" w:color="auto"/>
            </w:tcBorders>
          </w:tcPr>
          <w:p w:rsidR="00715444" w:rsidRDefault="00715444" w:rsidP="00715444">
            <w:pPr>
              <w:pStyle w:val="TableText0"/>
              <w:framePr w:hSpace="180" w:wrap="around" w:vAnchor="text" w:hAnchor="text" w:y="1"/>
              <w:ind w:left="57" w:right="57"/>
              <w:jc w:val="center"/>
            </w:pPr>
            <w:r>
              <w:br/>
              <w:t>1</w:t>
            </w:r>
            <w:r>
              <w:br/>
            </w:r>
          </w:p>
        </w:tc>
      </w:tr>
      <w:tr w:rsidR="00715444" w:rsidTr="003154DF">
        <w:trPr>
          <w:cantSplit/>
        </w:trPr>
        <w:tc>
          <w:tcPr>
            <w:tcW w:w="932" w:type="dxa"/>
            <w:tcBorders>
              <w:left w:val="single" w:sz="6" w:space="0" w:color="auto"/>
              <w:right w:val="single" w:sz="6" w:space="0" w:color="auto"/>
            </w:tcBorders>
          </w:tcPr>
          <w:p w:rsidR="00715444" w:rsidRDefault="00715444" w:rsidP="00715444">
            <w:pPr>
              <w:pStyle w:val="TableText0"/>
              <w:framePr w:hSpace="180" w:wrap="around" w:vAnchor="text" w:hAnchor="text" w:y="1"/>
              <w:ind w:left="57" w:right="57"/>
              <w:jc w:val="center"/>
            </w:pPr>
          </w:p>
        </w:tc>
        <w:tc>
          <w:tcPr>
            <w:tcW w:w="2195" w:type="dxa"/>
            <w:tcBorders>
              <w:top w:val="single" w:sz="6" w:space="0" w:color="auto"/>
              <w:left w:val="single" w:sz="6" w:space="0" w:color="auto"/>
              <w:bottom w:val="single" w:sz="6" w:space="0" w:color="auto"/>
            </w:tcBorders>
          </w:tcPr>
          <w:p w:rsidR="00715444" w:rsidRDefault="00715444" w:rsidP="00715444">
            <w:pPr>
              <w:pStyle w:val="TableText0"/>
              <w:framePr w:hSpace="180" w:wrap="around" w:vAnchor="text" w:hAnchor="text" w:y="1"/>
              <w:tabs>
                <w:tab w:val="left" w:pos="1316"/>
              </w:tabs>
              <w:ind w:left="57" w:right="57"/>
            </w:pPr>
            <w:proofErr w:type="spellStart"/>
            <w:r w:rsidRPr="000873EB">
              <w:rPr>
                <w:rFonts w:ascii="SimSun" w:hAnsi="SimSun" w:hint="eastAsia"/>
                <w:b/>
                <w:lang w:eastAsia="zh-CN"/>
              </w:rPr>
              <w:t>移动（航空</w:t>
            </w:r>
            <w:proofErr w:type="spellEnd"/>
            <w:r w:rsidRPr="000873EB">
              <w:rPr>
                <w:rFonts w:ascii="SimSun" w:hAnsi="SimSun" w:hint="eastAsia"/>
                <w:b/>
                <w:lang w:eastAsia="zh-CN"/>
              </w:rPr>
              <w:t>）</w:t>
            </w:r>
            <w:r>
              <w:rPr>
                <w:rFonts w:hint="eastAsia"/>
                <w:szCs w:val="21"/>
              </w:rPr>
              <w:t>：</w:t>
            </w:r>
          </w:p>
        </w:tc>
        <w:tc>
          <w:tcPr>
            <w:tcW w:w="4104" w:type="dxa"/>
            <w:tcBorders>
              <w:top w:val="single" w:sz="6" w:space="0" w:color="auto"/>
              <w:left w:val="nil"/>
              <w:bottom w:val="single" w:sz="6" w:space="0" w:color="auto"/>
              <w:right w:val="single" w:sz="6" w:space="0" w:color="auto"/>
            </w:tcBorders>
          </w:tcPr>
          <w:p w:rsidR="00715444" w:rsidRPr="00C4089F" w:rsidRDefault="00715444" w:rsidP="00715444">
            <w:pPr>
              <w:pStyle w:val="TableText0"/>
              <w:framePr w:hSpace="180" w:wrap="around" w:vAnchor="text" w:hAnchor="text" w:y="1"/>
              <w:spacing w:before="80" w:after="80"/>
              <w:ind w:left="61" w:right="57" w:hanging="4"/>
            </w:pPr>
            <w:r w:rsidRPr="00C4089F">
              <w:t>AFS, AGL, BOT</w:t>
            </w:r>
            <w:r w:rsidRPr="00D9091E">
              <w:t>,</w:t>
            </w:r>
            <w:r w:rsidR="00D9091E">
              <w:t xml:space="preserve"> </w:t>
            </w:r>
            <w:r w:rsidR="00D9091E" w:rsidRPr="00D9091E">
              <w:rPr>
                <w:strike/>
                <w:color w:val="FF0000"/>
              </w:rPr>
              <w:t>BDI</w:t>
            </w:r>
            <w:r w:rsidR="00D9091E">
              <w:t>,</w:t>
            </w:r>
            <w:r w:rsidRPr="00D9091E">
              <w:t xml:space="preserve"> </w:t>
            </w:r>
            <w:r w:rsidRPr="00C4089F">
              <w:t xml:space="preserve">CME, COD, COG, LSO, MDG, MLI, MOZ, MWI, </w:t>
            </w:r>
            <w:r w:rsidRPr="00D9091E">
              <w:rPr>
                <w:color w:val="FF0000"/>
                <w:u w:val="single"/>
              </w:rPr>
              <w:t>NGR</w:t>
            </w:r>
            <w:r w:rsidRPr="00C4089F">
              <w:t xml:space="preserve">, NMB, RRW, SOM, SDN, </w:t>
            </w:r>
            <w:r w:rsidRPr="00D9091E">
              <w:rPr>
                <w:color w:val="FF0000"/>
                <w:u w:val="single"/>
              </w:rPr>
              <w:t>SSD</w:t>
            </w:r>
            <w:r w:rsidRPr="00D9091E">
              <w:t>,</w:t>
            </w:r>
            <w:r w:rsidRPr="00C4089F">
              <w:t xml:space="preserve"> SWZ, TCD, TZA, </w:t>
            </w:r>
            <w:r w:rsidRPr="00D9091E">
              <w:rPr>
                <w:color w:val="FF0000"/>
                <w:u w:val="single"/>
              </w:rPr>
              <w:t>ZMB</w:t>
            </w:r>
            <w:r w:rsidRPr="00D9091E">
              <w:rPr>
                <w:color w:val="FF0000"/>
              </w:rPr>
              <w:t xml:space="preserve">, </w:t>
            </w:r>
            <w:r w:rsidRPr="00C4089F">
              <w:t>ZWE</w:t>
            </w:r>
          </w:p>
        </w:tc>
        <w:tc>
          <w:tcPr>
            <w:tcW w:w="1078" w:type="dxa"/>
            <w:tcBorders>
              <w:top w:val="single" w:sz="6" w:space="0" w:color="auto"/>
              <w:left w:val="single" w:sz="6" w:space="0" w:color="auto"/>
              <w:bottom w:val="single" w:sz="6" w:space="0" w:color="auto"/>
              <w:right w:val="single" w:sz="6" w:space="0" w:color="auto"/>
            </w:tcBorders>
          </w:tcPr>
          <w:p w:rsidR="00715444" w:rsidRDefault="00715444" w:rsidP="00715444">
            <w:pPr>
              <w:pStyle w:val="TableText0"/>
              <w:framePr w:hSpace="180" w:wrap="around" w:vAnchor="text" w:hAnchor="text" w:y="1"/>
              <w:ind w:left="57" w:right="57"/>
              <w:jc w:val="center"/>
            </w:pPr>
            <w:r>
              <w:rPr>
                <w:rStyle w:val="Artref"/>
                <w:b/>
                <w:color w:val="000000"/>
              </w:rPr>
              <w:t>5.165</w:t>
            </w:r>
            <w:r>
              <w:br/>
            </w:r>
            <w:r>
              <w:rPr>
                <w:rStyle w:val="Artref"/>
                <w:b/>
                <w:color w:val="000000"/>
              </w:rPr>
              <w:t>5.171</w:t>
            </w:r>
          </w:p>
        </w:tc>
        <w:tc>
          <w:tcPr>
            <w:tcW w:w="763" w:type="dxa"/>
            <w:tcBorders>
              <w:right w:val="single" w:sz="6" w:space="0" w:color="auto"/>
            </w:tcBorders>
          </w:tcPr>
          <w:p w:rsidR="00715444" w:rsidRDefault="00715444" w:rsidP="00715444">
            <w:pPr>
              <w:pStyle w:val="TableText0"/>
              <w:framePr w:hSpace="180" w:wrap="around" w:vAnchor="text" w:hAnchor="text" w:y="1"/>
              <w:ind w:left="57" w:right="57"/>
              <w:jc w:val="center"/>
            </w:pPr>
            <w:r>
              <w:t>1</w:t>
            </w:r>
          </w:p>
        </w:tc>
      </w:tr>
      <w:tr w:rsidR="0051377B" w:rsidTr="003154DF">
        <w:trPr>
          <w:cantSplit/>
        </w:trPr>
        <w:tc>
          <w:tcPr>
            <w:tcW w:w="932" w:type="dxa"/>
            <w:tcBorders>
              <w:left w:val="single" w:sz="6" w:space="0" w:color="auto"/>
              <w:bottom w:val="single" w:sz="6" w:space="0" w:color="auto"/>
              <w:right w:val="single" w:sz="6" w:space="0" w:color="auto"/>
            </w:tcBorders>
          </w:tcPr>
          <w:p w:rsidR="0051377B" w:rsidRDefault="0051377B" w:rsidP="003154DF">
            <w:pPr>
              <w:pStyle w:val="TableText0"/>
              <w:framePr w:hSpace="180" w:wrap="around" w:vAnchor="text" w:hAnchor="text" w:y="1"/>
              <w:ind w:left="57" w:right="57"/>
              <w:jc w:val="center"/>
            </w:pPr>
          </w:p>
        </w:tc>
        <w:tc>
          <w:tcPr>
            <w:tcW w:w="2195" w:type="dxa"/>
            <w:tcBorders>
              <w:top w:val="single" w:sz="6" w:space="0" w:color="auto"/>
              <w:left w:val="single" w:sz="6" w:space="0" w:color="auto"/>
              <w:bottom w:val="single" w:sz="6" w:space="0" w:color="auto"/>
            </w:tcBorders>
          </w:tcPr>
          <w:p w:rsidR="0051377B" w:rsidRDefault="0051377B" w:rsidP="003154DF">
            <w:pPr>
              <w:pStyle w:val="TableText0"/>
              <w:framePr w:hSpace="180" w:wrap="around" w:vAnchor="text" w:hAnchor="text" w:y="1"/>
              <w:tabs>
                <w:tab w:val="left" w:pos="1316"/>
              </w:tabs>
              <w:ind w:left="1316" w:right="57" w:hanging="1259"/>
              <w:rPr>
                <w:b/>
              </w:rPr>
            </w:pPr>
            <w:proofErr w:type="spellStart"/>
            <w:r w:rsidRPr="000873EB">
              <w:rPr>
                <w:rFonts w:ascii="SimSun" w:hAnsi="SimSun" w:hint="eastAsia"/>
                <w:b/>
                <w:lang w:eastAsia="zh-CN"/>
              </w:rPr>
              <w:t>移动</w:t>
            </w:r>
            <w:proofErr w:type="spellEnd"/>
            <w:r w:rsidRPr="000873EB">
              <w:rPr>
                <w:rFonts w:ascii="SimSun" w:hAnsi="SimSun" w:hint="eastAsia"/>
                <w:szCs w:val="21"/>
                <w:lang w:eastAsia="zh-CN"/>
              </w:rPr>
              <w:t>：</w:t>
            </w:r>
          </w:p>
        </w:tc>
        <w:tc>
          <w:tcPr>
            <w:tcW w:w="4104" w:type="dxa"/>
            <w:tcBorders>
              <w:top w:val="single" w:sz="6" w:space="0" w:color="auto"/>
              <w:left w:val="nil"/>
              <w:bottom w:val="single" w:sz="6" w:space="0" w:color="auto"/>
              <w:right w:val="single" w:sz="6" w:space="0" w:color="auto"/>
            </w:tcBorders>
          </w:tcPr>
          <w:p w:rsidR="0051377B" w:rsidRDefault="0051377B" w:rsidP="003154DF">
            <w:pPr>
              <w:pStyle w:val="TableText0"/>
              <w:framePr w:hSpace="180" w:wrap="around" w:vAnchor="text" w:hAnchor="text" w:y="1"/>
              <w:tabs>
                <w:tab w:val="left" w:pos="1316"/>
              </w:tabs>
              <w:ind w:left="1316" w:right="57" w:hanging="1259"/>
            </w:pPr>
            <w:r>
              <w:t>IRN</w:t>
            </w:r>
          </w:p>
        </w:tc>
        <w:tc>
          <w:tcPr>
            <w:tcW w:w="1078" w:type="dxa"/>
            <w:tcBorders>
              <w:top w:val="single" w:sz="6" w:space="0" w:color="auto"/>
              <w:left w:val="single" w:sz="6" w:space="0" w:color="auto"/>
              <w:bottom w:val="single" w:sz="6" w:space="0" w:color="auto"/>
              <w:right w:val="single" w:sz="6" w:space="0" w:color="auto"/>
            </w:tcBorders>
          </w:tcPr>
          <w:p w:rsidR="0051377B" w:rsidRDefault="0051377B" w:rsidP="003154DF">
            <w:pPr>
              <w:pStyle w:val="TableText0"/>
              <w:framePr w:hSpace="180" w:wrap="around" w:vAnchor="text" w:hAnchor="text" w:y="1"/>
              <w:ind w:left="57" w:right="57"/>
              <w:jc w:val="center"/>
              <w:rPr>
                <w:rStyle w:val="Artref"/>
                <w:b/>
                <w:color w:val="000000"/>
              </w:rPr>
            </w:pPr>
            <w:r>
              <w:rPr>
                <w:rStyle w:val="Artref"/>
                <w:b/>
                <w:color w:val="000000"/>
              </w:rPr>
              <w:t>5.167</w:t>
            </w:r>
          </w:p>
        </w:tc>
        <w:tc>
          <w:tcPr>
            <w:tcW w:w="763" w:type="dxa"/>
            <w:tcBorders>
              <w:bottom w:val="single" w:sz="6" w:space="0" w:color="auto"/>
              <w:right w:val="single" w:sz="6" w:space="0" w:color="auto"/>
            </w:tcBorders>
          </w:tcPr>
          <w:p w:rsidR="0051377B" w:rsidRDefault="0051377B" w:rsidP="003154DF">
            <w:pPr>
              <w:pStyle w:val="TableText0"/>
              <w:framePr w:hSpace="180" w:wrap="around" w:vAnchor="text" w:hAnchor="text" w:y="1"/>
              <w:ind w:left="57" w:right="57"/>
              <w:jc w:val="center"/>
            </w:pPr>
          </w:p>
        </w:tc>
      </w:tr>
      <w:tr w:rsidR="0051377B" w:rsidTr="003154DF">
        <w:trPr>
          <w:cantSplit/>
        </w:trPr>
        <w:tc>
          <w:tcPr>
            <w:tcW w:w="932" w:type="dxa"/>
            <w:tcBorders>
              <w:top w:val="single" w:sz="6" w:space="0" w:color="auto"/>
              <w:left w:val="single" w:sz="6" w:space="0" w:color="auto"/>
              <w:right w:val="single" w:sz="6" w:space="0" w:color="auto"/>
            </w:tcBorders>
          </w:tcPr>
          <w:p w:rsidR="0051377B" w:rsidRDefault="0051377B" w:rsidP="003154DF">
            <w:pPr>
              <w:pStyle w:val="TableText0"/>
              <w:framePr w:hSpace="180" w:wrap="around" w:vAnchor="text" w:hAnchor="text" w:y="1"/>
              <w:ind w:left="57" w:right="57"/>
              <w:jc w:val="center"/>
            </w:pPr>
            <w:r>
              <w:t>230-238</w:t>
            </w:r>
          </w:p>
        </w:tc>
        <w:tc>
          <w:tcPr>
            <w:tcW w:w="2195" w:type="dxa"/>
            <w:tcBorders>
              <w:top w:val="single" w:sz="6" w:space="0" w:color="auto"/>
              <w:left w:val="single" w:sz="6" w:space="0" w:color="auto"/>
            </w:tcBorders>
          </w:tcPr>
          <w:p w:rsidR="0051377B" w:rsidRDefault="0051377B" w:rsidP="003154DF">
            <w:pPr>
              <w:pStyle w:val="TableText0"/>
              <w:framePr w:hSpace="180" w:wrap="around" w:vAnchor="text" w:hAnchor="text" w:y="1"/>
              <w:tabs>
                <w:tab w:val="left" w:pos="1316"/>
              </w:tabs>
              <w:ind w:left="1316" w:right="57" w:hanging="1259"/>
              <w:rPr>
                <w:b/>
              </w:rPr>
            </w:pPr>
            <w:proofErr w:type="spellStart"/>
            <w:r w:rsidRPr="000873EB">
              <w:rPr>
                <w:rFonts w:ascii="SimSun" w:hAnsi="SimSun" w:hint="eastAsia"/>
                <w:b/>
                <w:lang w:eastAsia="zh-CN"/>
              </w:rPr>
              <w:t>固定</w:t>
            </w:r>
            <w:proofErr w:type="spellEnd"/>
            <w:r w:rsidRPr="000873EB">
              <w:rPr>
                <w:rFonts w:ascii="SimSun" w:hAnsi="SimSun" w:hint="eastAsia"/>
                <w:szCs w:val="21"/>
                <w:lang w:eastAsia="zh-CN"/>
              </w:rPr>
              <w:t>：</w:t>
            </w:r>
          </w:p>
        </w:tc>
        <w:tc>
          <w:tcPr>
            <w:tcW w:w="4104" w:type="dxa"/>
            <w:tcBorders>
              <w:top w:val="single" w:sz="6" w:space="0" w:color="auto"/>
              <w:left w:val="nil"/>
              <w:right w:val="single" w:sz="6" w:space="0" w:color="auto"/>
            </w:tcBorders>
          </w:tcPr>
          <w:p w:rsidR="0051377B" w:rsidRDefault="0051377B" w:rsidP="003154DF">
            <w:pPr>
              <w:pStyle w:val="TableText0"/>
              <w:framePr w:hSpace="180" w:wrap="around" w:vAnchor="text" w:hAnchor="text" w:y="1"/>
              <w:ind w:left="54" w:right="57" w:firstLine="3"/>
              <w:rPr>
                <w:lang w:eastAsia="zh-CN"/>
              </w:rPr>
            </w:pPr>
            <w:proofErr w:type="spellStart"/>
            <w:r>
              <w:rPr>
                <w:rFonts w:hint="eastAsia"/>
                <w:szCs w:val="21"/>
                <w:lang w:eastAsia="zh-CN"/>
              </w:rPr>
              <w:t>加入协议的各方</w:t>
            </w:r>
            <w:proofErr w:type="spellEnd"/>
            <w:r>
              <w:rPr>
                <w:rFonts w:hint="eastAsia"/>
                <w:szCs w:val="21"/>
                <w:lang w:eastAsia="zh-CN"/>
              </w:rPr>
              <w:t>（《无线电规则》第</w:t>
            </w:r>
            <w:r w:rsidRPr="00A00C51">
              <w:rPr>
                <w:rFonts w:hint="eastAsia"/>
                <w:b/>
                <w:bCs/>
                <w:szCs w:val="21"/>
                <w:lang w:eastAsia="zh-CN"/>
              </w:rPr>
              <w:t>5.252</w:t>
            </w:r>
            <w:r>
              <w:rPr>
                <w:rFonts w:hint="eastAsia"/>
                <w:szCs w:val="21"/>
                <w:lang w:eastAsia="zh-CN"/>
              </w:rPr>
              <w:t>款所述国家除外）</w:t>
            </w:r>
          </w:p>
        </w:tc>
        <w:tc>
          <w:tcPr>
            <w:tcW w:w="1078" w:type="dxa"/>
            <w:tcBorders>
              <w:top w:val="single" w:sz="6" w:space="0" w:color="auto"/>
              <w:left w:val="single" w:sz="6" w:space="0" w:color="auto"/>
              <w:right w:val="single" w:sz="6" w:space="0" w:color="auto"/>
            </w:tcBorders>
          </w:tcPr>
          <w:p w:rsidR="0051377B" w:rsidRDefault="0051377B" w:rsidP="003154DF">
            <w:pPr>
              <w:pStyle w:val="TableText0"/>
              <w:framePr w:hSpace="180" w:wrap="around" w:vAnchor="text" w:hAnchor="text" w:y="1"/>
              <w:ind w:left="57" w:right="57"/>
              <w:jc w:val="center"/>
              <w:rPr>
                <w:lang w:val="en-US" w:eastAsia="zh-CN"/>
              </w:rPr>
            </w:pPr>
          </w:p>
        </w:tc>
        <w:tc>
          <w:tcPr>
            <w:tcW w:w="763" w:type="dxa"/>
            <w:tcBorders>
              <w:top w:val="single" w:sz="6" w:space="0" w:color="auto"/>
              <w:right w:val="single" w:sz="6" w:space="0" w:color="auto"/>
            </w:tcBorders>
            <w:vAlign w:val="bottom"/>
          </w:tcPr>
          <w:p w:rsidR="0051377B" w:rsidRDefault="0051377B" w:rsidP="003154DF">
            <w:pPr>
              <w:pStyle w:val="TableText0"/>
              <w:framePr w:hSpace="180" w:wrap="around" w:vAnchor="text" w:hAnchor="text" w:y="1"/>
              <w:ind w:left="57" w:right="57"/>
              <w:jc w:val="center"/>
            </w:pPr>
            <w:r>
              <w:t>2</w:t>
            </w:r>
          </w:p>
        </w:tc>
      </w:tr>
      <w:tr w:rsidR="0051377B" w:rsidTr="003154DF">
        <w:trPr>
          <w:cantSplit/>
        </w:trPr>
        <w:tc>
          <w:tcPr>
            <w:tcW w:w="932" w:type="dxa"/>
            <w:tcBorders>
              <w:left w:val="single" w:sz="6" w:space="0" w:color="auto"/>
              <w:right w:val="single" w:sz="6" w:space="0" w:color="auto"/>
            </w:tcBorders>
          </w:tcPr>
          <w:p w:rsidR="0051377B" w:rsidRDefault="0051377B" w:rsidP="003154DF">
            <w:pPr>
              <w:pStyle w:val="TableText0"/>
              <w:framePr w:hSpace="180" w:wrap="around" w:vAnchor="text" w:hAnchor="text" w:y="1"/>
              <w:ind w:left="57" w:right="57"/>
              <w:jc w:val="center"/>
            </w:pPr>
          </w:p>
        </w:tc>
        <w:tc>
          <w:tcPr>
            <w:tcW w:w="2195" w:type="dxa"/>
            <w:tcBorders>
              <w:left w:val="single" w:sz="6" w:space="0" w:color="auto"/>
            </w:tcBorders>
          </w:tcPr>
          <w:p w:rsidR="0051377B" w:rsidRDefault="0051377B" w:rsidP="003154DF">
            <w:pPr>
              <w:pStyle w:val="TableText0"/>
              <w:framePr w:hSpace="180" w:wrap="around" w:vAnchor="text" w:hAnchor="text" w:y="1"/>
              <w:tabs>
                <w:tab w:val="left" w:pos="1316"/>
              </w:tabs>
              <w:ind w:left="1316" w:right="57" w:hanging="1259"/>
              <w:rPr>
                <w:b/>
                <w:bCs/>
              </w:rPr>
            </w:pPr>
            <w:proofErr w:type="spellStart"/>
            <w:r w:rsidRPr="000873EB">
              <w:rPr>
                <w:rFonts w:ascii="SimSun" w:hAnsi="SimSun" w:hint="eastAsia"/>
                <w:b/>
                <w:lang w:eastAsia="zh-CN"/>
              </w:rPr>
              <w:t>移动</w:t>
            </w:r>
            <w:proofErr w:type="spellEnd"/>
            <w:r w:rsidRPr="000873EB">
              <w:rPr>
                <w:rFonts w:ascii="SimSun" w:hAnsi="SimSun" w:hint="eastAsia"/>
                <w:szCs w:val="21"/>
                <w:lang w:eastAsia="zh-CN"/>
              </w:rPr>
              <w:t>：</w:t>
            </w:r>
          </w:p>
        </w:tc>
        <w:tc>
          <w:tcPr>
            <w:tcW w:w="4104" w:type="dxa"/>
            <w:tcBorders>
              <w:right w:val="single" w:sz="6" w:space="0" w:color="auto"/>
            </w:tcBorders>
          </w:tcPr>
          <w:p w:rsidR="0051377B" w:rsidRDefault="0051377B" w:rsidP="003154DF">
            <w:pPr>
              <w:pStyle w:val="TableText0"/>
              <w:framePr w:hSpace="180" w:wrap="around" w:vAnchor="text" w:hAnchor="text" w:y="1"/>
              <w:ind w:left="54" w:right="57" w:firstLine="3"/>
              <w:rPr>
                <w:lang w:eastAsia="zh-CN"/>
              </w:rPr>
            </w:pPr>
            <w:proofErr w:type="spellStart"/>
            <w:r>
              <w:rPr>
                <w:rFonts w:hint="eastAsia"/>
                <w:szCs w:val="21"/>
                <w:lang w:eastAsia="zh-CN"/>
              </w:rPr>
              <w:t>加入协议的各方</w:t>
            </w:r>
            <w:proofErr w:type="spellEnd"/>
            <w:r>
              <w:rPr>
                <w:rFonts w:hint="eastAsia"/>
                <w:szCs w:val="21"/>
                <w:lang w:eastAsia="zh-CN"/>
              </w:rPr>
              <w:t>（《无线电规则》第</w:t>
            </w:r>
            <w:r w:rsidRPr="00A00C51">
              <w:rPr>
                <w:rFonts w:hint="eastAsia"/>
                <w:b/>
                <w:bCs/>
                <w:szCs w:val="21"/>
                <w:lang w:eastAsia="zh-CN"/>
              </w:rPr>
              <w:t>5.252</w:t>
            </w:r>
            <w:r>
              <w:rPr>
                <w:rFonts w:hint="eastAsia"/>
                <w:szCs w:val="21"/>
                <w:lang w:eastAsia="zh-CN"/>
              </w:rPr>
              <w:t>款所述国家除外）</w:t>
            </w:r>
          </w:p>
        </w:tc>
        <w:tc>
          <w:tcPr>
            <w:tcW w:w="1078" w:type="dxa"/>
            <w:tcBorders>
              <w:left w:val="single" w:sz="6" w:space="0" w:color="auto"/>
              <w:right w:val="single" w:sz="6" w:space="0" w:color="auto"/>
            </w:tcBorders>
            <w:vAlign w:val="bottom"/>
          </w:tcPr>
          <w:p w:rsidR="0051377B" w:rsidRDefault="0051377B" w:rsidP="003154DF">
            <w:pPr>
              <w:pStyle w:val="TableText0"/>
              <w:framePr w:hSpace="180" w:wrap="around" w:vAnchor="text" w:hAnchor="text" w:y="1"/>
              <w:ind w:left="57" w:right="57"/>
              <w:jc w:val="center"/>
              <w:rPr>
                <w:rStyle w:val="Artref"/>
                <w:b/>
                <w:color w:val="000000"/>
                <w:lang w:eastAsia="zh-CN"/>
              </w:rPr>
            </w:pPr>
          </w:p>
        </w:tc>
        <w:tc>
          <w:tcPr>
            <w:tcW w:w="763" w:type="dxa"/>
            <w:tcBorders>
              <w:left w:val="single" w:sz="6" w:space="0" w:color="auto"/>
              <w:right w:val="single" w:sz="6" w:space="0" w:color="auto"/>
            </w:tcBorders>
            <w:vAlign w:val="center"/>
          </w:tcPr>
          <w:p w:rsidR="0051377B" w:rsidRDefault="0051377B" w:rsidP="003154DF">
            <w:pPr>
              <w:pStyle w:val="TableText0"/>
              <w:framePr w:hSpace="180" w:wrap="around" w:vAnchor="text" w:hAnchor="text" w:y="1"/>
              <w:ind w:left="57" w:right="57"/>
              <w:jc w:val="center"/>
            </w:pPr>
            <w:r>
              <w:t>2</w:t>
            </w:r>
          </w:p>
        </w:tc>
      </w:tr>
      <w:tr w:rsidR="0051377B" w:rsidTr="003154DF">
        <w:trPr>
          <w:cantSplit/>
        </w:trPr>
        <w:tc>
          <w:tcPr>
            <w:tcW w:w="932" w:type="dxa"/>
            <w:tcBorders>
              <w:left w:val="single" w:sz="6" w:space="0" w:color="auto"/>
              <w:bottom w:val="single" w:sz="6" w:space="0" w:color="auto"/>
              <w:right w:val="single" w:sz="6" w:space="0" w:color="auto"/>
            </w:tcBorders>
          </w:tcPr>
          <w:p w:rsidR="0051377B" w:rsidRDefault="0051377B" w:rsidP="003154DF">
            <w:pPr>
              <w:pStyle w:val="TableText0"/>
              <w:framePr w:hSpace="180" w:wrap="around" w:vAnchor="text" w:hAnchor="text" w:y="1"/>
              <w:ind w:left="57" w:right="57"/>
              <w:jc w:val="center"/>
            </w:pPr>
          </w:p>
        </w:tc>
        <w:tc>
          <w:tcPr>
            <w:tcW w:w="2195" w:type="dxa"/>
            <w:tcBorders>
              <w:left w:val="single" w:sz="6" w:space="0" w:color="auto"/>
              <w:bottom w:val="single" w:sz="6" w:space="0" w:color="auto"/>
            </w:tcBorders>
          </w:tcPr>
          <w:p w:rsidR="0051377B" w:rsidRDefault="0051377B" w:rsidP="003154DF">
            <w:pPr>
              <w:pStyle w:val="TableText0"/>
              <w:framePr w:hSpace="180" w:wrap="around" w:vAnchor="text" w:hAnchor="text" w:y="1"/>
              <w:tabs>
                <w:tab w:val="left" w:pos="1316"/>
              </w:tabs>
              <w:ind w:left="57" w:right="57"/>
              <w:rPr>
                <w:lang w:val="es-ES"/>
              </w:rPr>
            </w:pPr>
            <w:proofErr w:type="spellStart"/>
            <w:r w:rsidRPr="000873EB">
              <w:rPr>
                <w:rFonts w:ascii="SimSun" w:hAnsi="SimSun" w:hint="eastAsia"/>
                <w:b/>
                <w:lang w:eastAsia="zh-CN"/>
              </w:rPr>
              <w:t>航空无线电导航</w:t>
            </w:r>
            <w:proofErr w:type="spellEnd"/>
            <w:r>
              <w:rPr>
                <w:rFonts w:hint="eastAsia"/>
                <w:szCs w:val="21"/>
                <w:lang w:eastAsia="zh-CN"/>
              </w:rPr>
              <w:t>：</w:t>
            </w:r>
          </w:p>
        </w:tc>
        <w:tc>
          <w:tcPr>
            <w:tcW w:w="4104" w:type="dxa"/>
            <w:tcBorders>
              <w:left w:val="nil"/>
              <w:bottom w:val="single" w:sz="6" w:space="0" w:color="auto"/>
              <w:right w:val="single" w:sz="6" w:space="0" w:color="auto"/>
            </w:tcBorders>
            <w:vAlign w:val="bottom"/>
          </w:tcPr>
          <w:p w:rsidR="0051377B" w:rsidRDefault="0051377B" w:rsidP="003154DF">
            <w:pPr>
              <w:pStyle w:val="TableText0"/>
              <w:framePr w:hSpace="180" w:wrap="around" w:vAnchor="text" w:hAnchor="text" w:y="1"/>
              <w:tabs>
                <w:tab w:val="left" w:pos="1316"/>
              </w:tabs>
              <w:ind w:left="54" w:right="57" w:firstLine="3"/>
              <w:rPr>
                <w:lang w:val="en-US"/>
              </w:rPr>
            </w:pPr>
            <w:r>
              <w:rPr>
                <w:lang w:val="en-US"/>
              </w:rPr>
              <w:t>ARS, BHR, IRN, OMA, QAT, UAE</w:t>
            </w:r>
          </w:p>
        </w:tc>
        <w:tc>
          <w:tcPr>
            <w:tcW w:w="1078" w:type="dxa"/>
            <w:tcBorders>
              <w:left w:val="single" w:sz="6" w:space="0" w:color="auto"/>
              <w:bottom w:val="single" w:sz="6" w:space="0" w:color="auto"/>
              <w:right w:val="single" w:sz="6" w:space="0" w:color="auto"/>
            </w:tcBorders>
            <w:vAlign w:val="bottom"/>
          </w:tcPr>
          <w:p w:rsidR="0051377B" w:rsidRDefault="0051377B" w:rsidP="003154DF">
            <w:pPr>
              <w:pStyle w:val="TableText0"/>
              <w:framePr w:hSpace="180" w:wrap="around" w:vAnchor="text" w:hAnchor="text" w:y="1"/>
              <w:ind w:left="57" w:right="57"/>
              <w:jc w:val="center"/>
            </w:pPr>
            <w:r>
              <w:rPr>
                <w:rStyle w:val="Artref"/>
                <w:b/>
                <w:color w:val="000000"/>
              </w:rPr>
              <w:t>5.247</w:t>
            </w:r>
          </w:p>
        </w:tc>
        <w:tc>
          <w:tcPr>
            <w:tcW w:w="763" w:type="dxa"/>
            <w:tcBorders>
              <w:bottom w:val="single" w:sz="6" w:space="0" w:color="auto"/>
              <w:right w:val="single" w:sz="6" w:space="0" w:color="auto"/>
            </w:tcBorders>
            <w:vAlign w:val="bottom"/>
          </w:tcPr>
          <w:p w:rsidR="0051377B" w:rsidRDefault="0051377B" w:rsidP="003154DF">
            <w:pPr>
              <w:pStyle w:val="TableText0"/>
              <w:framePr w:hSpace="180" w:wrap="around" w:vAnchor="text" w:hAnchor="text" w:y="1"/>
              <w:ind w:left="57" w:right="57"/>
              <w:jc w:val="center"/>
            </w:pPr>
            <w:r>
              <w:t>3</w:t>
            </w:r>
          </w:p>
        </w:tc>
      </w:tr>
      <w:tr w:rsidR="0051377B" w:rsidTr="003154DF">
        <w:trPr>
          <w:cantSplit/>
        </w:trPr>
        <w:tc>
          <w:tcPr>
            <w:tcW w:w="932" w:type="dxa"/>
            <w:tcBorders>
              <w:top w:val="single" w:sz="6" w:space="0" w:color="auto"/>
              <w:left w:val="single" w:sz="6" w:space="0" w:color="auto"/>
              <w:right w:val="single" w:sz="6" w:space="0" w:color="auto"/>
            </w:tcBorders>
          </w:tcPr>
          <w:p w:rsidR="0051377B" w:rsidRDefault="0051377B" w:rsidP="003154DF">
            <w:pPr>
              <w:pStyle w:val="TableText0"/>
              <w:framePr w:hSpace="180" w:wrap="around" w:vAnchor="text" w:hAnchor="text" w:y="1"/>
              <w:ind w:left="57" w:right="57"/>
              <w:jc w:val="center"/>
            </w:pPr>
            <w:r>
              <w:t>246-254</w:t>
            </w:r>
          </w:p>
        </w:tc>
        <w:tc>
          <w:tcPr>
            <w:tcW w:w="2195" w:type="dxa"/>
            <w:tcBorders>
              <w:top w:val="single" w:sz="6" w:space="0" w:color="auto"/>
              <w:left w:val="single" w:sz="6" w:space="0" w:color="auto"/>
            </w:tcBorders>
          </w:tcPr>
          <w:p w:rsidR="0051377B" w:rsidRDefault="0051377B" w:rsidP="003154DF">
            <w:pPr>
              <w:pStyle w:val="TableText0"/>
              <w:framePr w:hSpace="180" w:wrap="around" w:vAnchor="text" w:hAnchor="text" w:y="1"/>
              <w:tabs>
                <w:tab w:val="left" w:pos="1316"/>
              </w:tabs>
              <w:ind w:left="1316" w:right="57" w:hanging="1259"/>
              <w:rPr>
                <w:b/>
              </w:rPr>
            </w:pPr>
            <w:proofErr w:type="spellStart"/>
            <w:r w:rsidRPr="000873EB">
              <w:rPr>
                <w:rFonts w:ascii="SimSun" w:hAnsi="SimSun" w:hint="eastAsia"/>
                <w:b/>
                <w:lang w:eastAsia="zh-CN"/>
              </w:rPr>
              <w:t>固定</w:t>
            </w:r>
            <w:proofErr w:type="spellEnd"/>
            <w:r w:rsidRPr="000873EB">
              <w:rPr>
                <w:rFonts w:ascii="SimSun" w:hAnsi="SimSun" w:hint="eastAsia"/>
                <w:szCs w:val="21"/>
                <w:lang w:eastAsia="zh-CN"/>
              </w:rPr>
              <w:t>：</w:t>
            </w:r>
          </w:p>
        </w:tc>
        <w:tc>
          <w:tcPr>
            <w:tcW w:w="4104" w:type="dxa"/>
            <w:tcBorders>
              <w:top w:val="single" w:sz="6" w:space="0" w:color="auto"/>
              <w:left w:val="nil"/>
              <w:right w:val="single" w:sz="6" w:space="0" w:color="auto"/>
            </w:tcBorders>
          </w:tcPr>
          <w:p w:rsidR="0051377B" w:rsidRDefault="0051377B" w:rsidP="003154DF">
            <w:pPr>
              <w:pStyle w:val="TableText0"/>
              <w:framePr w:hSpace="180" w:wrap="around" w:vAnchor="text" w:hAnchor="text" w:y="1"/>
              <w:tabs>
                <w:tab w:val="left" w:pos="1316"/>
              </w:tabs>
              <w:ind w:left="57" w:right="57"/>
              <w:rPr>
                <w:b/>
                <w:lang w:eastAsia="zh-CN"/>
              </w:rPr>
            </w:pPr>
            <w:proofErr w:type="spellStart"/>
            <w:r>
              <w:rPr>
                <w:rFonts w:hint="eastAsia"/>
                <w:szCs w:val="21"/>
                <w:lang w:eastAsia="zh-CN"/>
              </w:rPr>
              <w:t>加入协议的各方</w:t>
            </w:r>
            <w:proofErr w:type="spellEnd"/>
            <w:r>
              <w:rPr>
                <w:rFonts w:hint="eastAsia"/>
                <w:szCs w:val="21"/>
                <w:lang w:eastAsia="zh-CN"/>
              </w:rPr>
              <w:t>（《无线电规则》第</w:t>
            </w:r>
            <w:r w:rsidRPr="00A00C51">
              <w:rPr>
                <w:rFonts w:hint="eastAsia"/>
                <w:b/>
                <w:bCs/>
                <w:szCs w:val="21"/>
                <w:lang w:eastAsia="zh-CN"/>
              </w:rPr>
              <w:t>5.252</w:t>
            </w:r>
            <w:r>
              <w:rPr>
                <w:rFonts w:hint="eastAsia"/>
                <w:szCs w:val="21"/>
                <w:lang w:eastAsia="zh-CN"/>
              </w:rPr>
              <w:t>款所述国家除外）</w:t>
            </w:r>
          </w:p>
        </w:tc>
        <w:tc>
          <w:tcPr>
            <w:tcW w:w="1078" w:type="dxa"/>
            <w:tcBorders>
              <w:top w:val="single" w:sz="6" w:space="0" w:color="auto"/>
              <w:left w:val="single" w:sz="6" w:space="0" w:color="auto"/>
              <w:right w:val="single" w:sz="6" w:space="0" w:color="auto"/>
            </w:tcBorders>
          </w:tcPr>
          <w:p w:rsidR="0051377B" w:rsidRDefault="0051377B" w:rsidP="003154DF">
            <w:pPr>
              <w:pStyle w:val="TableText0"/>
              <w:framePr w:hSpace="180" w:wrap="around" w:vAnchor="text" w:hAnchor="text" w:y="1"/>
              <w:ind w:left="57" w:right="57"/>
              <w:jc w:val="center"/>
              <w:rPr>
                <w:lang w:eastAsia="zh-CN"/>
              </w:rPr>
            </w:pPr>
          </w:p>
        </w:tc>
        <w:tc>
          <w:tcPr>
            <w:tcW w:w="763" w:type="dxa"/>
            <w:tcBorders>
              <w:top w:val="single" w:sz="6" w:space="0" w:color="auto"/>
              <w:right w:val="single" w:sz="6" w:space="0" w:color="auto"/>
            </w:tcBorders>
            <w:vAlign w:val="bottom"/>
          </w:tcPr>
          <w:p w:rsidR="0051377B" w:rsidRDefault="0051377B" w:rsidP="003154DF">
            <w:pPr>
              <w:pStyle w:val="TableText0"/>
              <w:framePr w:hSpace="180" w:wrap="around" w:vAnchor="text" w:hAnchor="text" w:y="1"/>
              <w:ind w:left="57" w:right="57"/>
              <w:jc w:val="center"/>
            </w:pPr>
            <w:r>
              <w:t>2</w:t>
            </w:r>
          </w:p>
        </w:tc>
      </w:tr>
      <w:tr w:rsidR="0051377B" w:rsidTr="003154DF">
        <w:trPr>
          <w:cantSplit/>
        </w:trPr>
        <w:tc>
          <w:tcPr>
            <w:tcW w:w="932" w:type="dxa"/>
            <w:tcBorders>
              <w:left w:val="single" w:sz="6" w:space="0" w:color="auto"/>
              <w:bottom w:val="single" w:sz="6" w:space="0" w:color="auto"/>
              <w:right w:val="single" w:sz="6" w:space="0" w:color="auto"/>
            </w:tcBorders>
          </w:tcPr>
          <w:p w:rsidR="0051377B" w:rsidRDefault="0051377B" w:rsidP="003154DF">
            <w:pPr>
              <w:pStyle w:val="TableText0"/>
              <w:framePr w:hSpace="180" w:wrap="around" w:vAnchor="text" w:hAnchor="text" w:y="1"/>
              <w:ind w:left="57" w:right="57"/>
              <w:jc w:val="center"/>
            </w:pPr>
          </w:p>
        </w:tc>
        <w:tc>
          <w:tcPr>
            <w:tcW w:w="2195" w:type="dxa"/>
            <w:tcBorders>
              <w:left w:val="single" w:sz="6" w:space="0" w:color="auto"/>
              <w:bottom w:val="single" w:sz="6" w:space="0" w:color="auto"/>
            </w:tcBorders>
          </w:tcPr>
          <w:p w:rsidR="0051377B" w:rsidRDefault="0051377B" w:rsidP="003154DF">
            <w:pPr>
              <w:pStyle w:val="TableText0"/>
              <w:framePr w:hSpace="180" w:wrap="around" w:vAnchor="text" w:hAnchor="text" w:y="1"/>
              <w:tabs>
                <w:tab w:val="left" w:pos="1316"/>
              </w:tabs>
              <w:ind w:left="1316" w:right="57" w:hanging="1259"/>
              <w:rPr>
                <w:b/>
              </w:rPr>
            </w:pPr>
            <w:proofErr w:type="spellStart"/>
            <w:r w:rsidRPr="000873EB">
              <w:rPr>
                <w:rFonts w:ascii="SimSun" w:hAnsi="SimSun" w:hint="eastAsia"/>
                <w:b/>
                <w:lang w:eastAsia="zh-CN"/>
              </w:rPr>
              <w:t>移动</w:t>
            </w:r>
            <w:proofErr w:type="spellEnd"/>
            <w:r w:rsidRPr="000873EB">
              <w:rPr>
                <w:rFonts w:ascii="SimSun" w:hAnsi="SimSun" w:hint="eastAsia"/>
                <w:szCs w:val="21"/>
                <w:lang w:eastAsia="zh-CN"/>
              </w:rPr>
              <w:t>：</w:t>
            </w:r>
          </w:p>
        </w:tc>
        <w:tc>
          <w:tcPr>
            <w:tcW w:w="4104" w:type="dxa"/>
            <w:tcBorders>
              <w:left w:val="nil"/>
              <w:bottom w:val="single" w:sz="6" w:space="0" w:color="auto"/>
              <w:right w:val="single" w:sz="6" w:space="0" w:color="auto"/>
            </w:tcBorders>
          </w:tcPr>
          <w:p w:rsidR="0051377B" w:rsidRDefault="0051377B" w:rsidP="003154DF">
            <w:pPr>
              <w:pStyle w:val="TableText0"/>
              <w:framePr w:hSpace="180" w:wrap="around" w:vAnchor="text" w:hAnchor="text" w:y="1"/>
              <w:tabs>
                <w:tab w:val="left" w:pos="1316"/>
              </w:tabs>
              <w:ind w:left="57" w:right="57"/>
              <w:rPr>
                <w:b/>
                <w:lang w:eastAsia="zh-CN"/>
              </w:rPr>
            </w:pPr>
            <w:proofErr w:type="spellStart"/>
            <w:r>
              <w:rPr>
                <w:rFonts w:hint="eastAsia"/>
                <w:szCs w:val="21"/>
                <w:lang w:eastAsia="zh-CN"/>
              </w:rPr>
              <w:t>加入协议的各方</w:t>
            </w:r>
            <w:proofErr w:type="spellEnd"/>
            <w:r>
              <w:rPr>
                <w:rFonts w:hint="eastAsia"/>
                <w:szCs w:val="21"/>
                <w:lang w:eastAsia="zh-CN"/>
              </w:rPr>
              <w:t>（《无线电规则》第</w:t>
            </w:r>
            <w:r w:rsidRPr="00A00C51">
              <w:rPr>
                <w:rFonts w:hint="eastAsia"/>
                <w:b/>
                <w:bCs/>
                <w:szCs w:val="21"/>
                <w:lang w:eastAsia="zh-CN"/>
              </w:rPr>
              <w:t>5.252</w:t>
            </w:r>
            <w:r>
              <w:rPr>
                <w:rFonts w:hint="eastAsia"/>
                <w:szCs w:val="21"/>
                <w:lang w:eastAsia="zh-CN"/>
              </w:rPr>
              <w:t>款所述国家除外）</w:t>
            </w:r>
          </w:p>
        </w:tc>
        <w:tc>
          <w:tcPr>
            <w:tcW w:w="1078" w:type="dxa"/>
            <w:tcBorders>
              <w:left w:val="single" w:sz="6" w:space="0" w:color="auto"/>
              <w:bottom w:val="single" w:sz="6" w:space="0" w:color="auto"/>
              <w:right w:val="single" w:sz="6" w:space="0" w:color="auto"/>
            </w:tcBorders>
          </w:tcPr>
          <w:p w:rsidR="0051377B" w:rsidRDefault="0051377B" w:rsidP="003154DF">
            <w:pPr>
              <w:pStyle w:val="TableText0"/>
              <w:framePr w:hSpace="180" w:wrap="around" w:vAnchor="text" w:hAnchor="text" w:y="1"/>
              <w:ind w:left="57" w:right="57"/>
              <w:jc w:val="center"/>
              <w:rPr>
                <w:lang w:eastAsia="zh-CN"/>
              </w:rPr>
            </w:pPr>
          </w:p>
        </w:tc>
        <w:tc>
          <w:tcPr>
            <w:tcW w:w="763" w:type="dxa"/>
            <w:tcBorders>
              <w:bottom w:val="single" w:sz="6" w:space="0" w:color="auto"/>
              <w:right w:val="single" w:sz="6" w:space="0" w:color="auto"/>
            </w:tcBorders>
          </w:tcPr>
          <w:p w:rsidR="0051377B" w:rsidRDefault="0051377B" w:rsidP="003154DF">
            <w:pPr>
              <w:pStyle w:val="TableText0"/>
              <w:framePr w:hSpace="180" w:wrap="around" w:vAnchor="text" w:hAnchor="text" w:y="1"/>
              <w:ind w:left="57" w:right="57"/>
              <w:jc w:val="center"/>
              <w:rPr>
                <w:lang w:eastAsia="zh-CN"/>
              </w:rPr>
            </w:pPr>
          </w:p>
        </w:tc>
      </w:tr>
      <w:tr w:rsidR="0051377B" w:rsidTr="003154DF">
        <w:tblPrEx>
          <w:tblCellMar>
            <w:left w:w="108" w:type="dxa"/>
            <w:right w:w="108" w:type="dxa"/>
          </w:tblCellMar>
        </w:tblPrEx>
        <w:trPr>
          <w:cantSplit/>
        </w:trPr>
        <w:tc>
          <w:tcPr>
            <w:tcW w:w="9072" w:type="dxa"/>
            <w:gridSpan w:val="5"/>
          </w:tcPr>
          <w:p w:rsidR="0051377B" w:rsidRDefault="0051377B" w:rsidP="003154DF">
            <w:pPr>
              <w:pStyle w:val="TableLegend0"/>
              <w:framePr w:hSpace="180" w:wrap="around" w:vAnchor="text" w:hAnchor="text" w:y="1"/>
              <w:rPr>
                <w:lang w:eastAsia="zh-CN"/>
              </w:rPr>
            </w:pPr>
          </w:p>
        </w:tc>
      </w:tr>
    </w:tbl>
    <w:p w:rsidR="00D2101B" w:rsidRPr="0051377B" w:rsidRDefault="0051377B" w:rsidP="00A8165B">
      <w:pPr>
        <w:pStyle w:val="Reasons"/>
        <w:rPr>
          <w:rFonts w:ascii="STKaiti" w:eastAsia="STKaiti" w:hAnsi="STKaiti"/>
          <w:lang w:eastAsia="zh-CN"/>
        </w:rPr>
      </w:pPr>
      <w:r w:rsidRPr="00D3590A">
        <w:rPr>
          <w:rFonts w:ascii="STKaiti" w:eastAsia="STKaiti" w:hAnsi="STKaiti" w:hint="eastAsia"/>
          <w:lang w:eastAsia="zh-CN"/>
        </w:rPr>
        <w:t>理由：</w:t>
      </w:r>
      <w:r w:rsidRPr="00D3590A">
        <w:rPr>
          <w:rFonts w:ascii="STKaiti" w:eastAsia="STKaiti" w:hAnsi="STKaiti"/>
          <w:szCs w:val="24"/>
          <w:lang w:eastAsia="zh-CN"/>
        </w:rPr>
        <w:t xml:space="preserve">WRC-12 </w:t>
      </w:r>
      <w:r w:rsidR="00A8165B" w:rsidRPr="00D3590A">
        <w:rPr>
          <w:rFonts w:ascii="STKaiti" w:eastAsia="STKaiti" w:hAnsi="STKaiti" w:hint="eastAsia"/>
          <w:szCs w:val="24"/>
          <w:lang w:eastAsia="zh-CN"/>
        </w:rPr>
        <w:t>对第</w:t>
      </w:r>
      <w:r w:rsidRPr="00D3590A">
        <w:rPr>
          <w:rFonts w:ascii="STKaiti" w:eastAsia="STKaiti" w:hAnsi="STKaiti"/>
          <w:szCs w:val="24"/>
          <w:lang w:eastAsia="zh-CN"/>
        </w:rPr>
        <w:t xml:space="preserve">5.165 </w:t>
      </w:r>
      <w:r w:rsidR="00A8165B" w:rsidRPr="00D3590A">
        <w:rPr>
          <w:rFonts w:ascii="STKaiti" w:eastAsia="STKaiti" w:hAnsi="STKaiti" w:hint="eastAsia"/>
          <w:szCs w:val="24"/>
          <w:lang w:eastAsia="zh-CN"/>
        </w:rPr>
        <w:t>和</w:t>
      </w:r>
      <w:r w:rsidRPr="00D3590A">
        <w:rPr>
          <w:rFonts w:ascii="STKaiti" w:eastAsia="STKaiti" w:hAnsi="STKaiti"/>
          <w:szCs w:val="24"/>
          <w:lang w:eastAsia="zh-CN"/>
        </w:rPr>
        <w:t>5.171</w:t>
      </w:r>
      <w:r w:rsidR="00A8165B" w:rsidRPr="00D3590A">
        <w:rPr>
          <w:rFonts w:ascii="STKaiti" w:eastAsia="STKaiti" w:hAnsi="STKaiti" w:hint="eastAsia"/>
          <w:szCs w:val="24"/>
          <w:lang w:eastAsia="zh-CN"/>
        </w:rPr>
        <w:t>款所列国家进行变更后的相应修改。</w:t>
      </w:r>
    </w:p>
    <w:p w:rsidR="00063ED2" w:rsidRDefault="00A8165B" w:rsidP="0003598B">
      <w:pPr>
        <w:pStyle w:val="Reasons"/>
        <w:rPr>
          <w:rFonts w:ascii="STKaiti" w:eastAsia="STKaiti" w:hAnsi="STKaiti"/>
          <w:szCs w:val="24"/>
          <w:lang w:eastAsia="zh-CN"/>
        </w:rPr>
      </w:pPr>
      <w:r>
        <w:rPr>
          <w:rFonts w:ascii="STKaiti" w:eastAsia="STKaiti" w:hAnsi="STKaiti" w:hint="eastAsia"/>
          <w:szCs w:val="24"/>
          <w:lang w:eastAsia="zh-CN"/>
        </w:rPr>
        <w:t>经修订</w:t>
      </w:r>
      <w:r w:rsidR="0051377B">
        <w:rPr>
          <w:rFonts w:ascii="STKaiti" w:eastAsia="STKaiti" w:hAnsi="STKaiti" w:hint="eastAsia"/>
          <w:szCs w:val="24"/>
          <w:lang w:eastAsia="zh-CN"/>
        </w:rPr>
        <w:t>规则的生效日期：批准后</w:t>
      </w:r>
      <w:r w:rsidR="0051377B" w:rsidRPr="00954408">
        <w:rPr>
          <w:rFonts w:ascii="STKaiti" w:eastAsia="STKaiti" w:hAnsi="STKaiti" w:hint="eastAsia"/>
          <w:szCs w:val="24"/>
          <w:lang w:eastAsia="zh-CN"/>
        </w:rPr>
        <w:t>即</w:t>
      </w:r>
      <w:r w:rsidR="0051377B">
        <w:rPr>
          <w:rFonts w:ascii="STKaiti" w:eastAsia="STKaiti" w:hAnsi="STKaiti" w:hint="eastAsia"/>
          <w:szCs w:val="24"/>
          <w:lang w:eastAsia="zh-CN"/>
        </w:rPr>
        <w:t>刻</w:t>
      </w:r>
      <w:r w:rsidR="0051377B" w:rsidRPr="00954408">
        <w:rPr>
          <w:rFonts w:ascii="STKaiti" w:eastAsia="STKaiti" w:hAnsi="STKaiti" w:hint="eastAsia"/>
          <w:szCs w:val="24"/>
          <w:lang w:eastAsia="zh-CN"/>
        </w:rPr>
        <w:t>生效</w:t>
      </w:r>
    </w:p>
    <w:p w:rsidR="007A7EBF" w:rsidRDefault="007A7EBF" w:rsidP="0003598B">
      <w:pPr>
        <w:pStyle w:val="Reasons"/>
        <w:rPr>
          <w:rFonts w:ascii="STKaiti" w:eastAsia="STKaiti" w:hAnsi="STKaiti"/>
          <w:szCs w:val="24"/>
          <w:lang w:eastAsia="zh-CN"/>
        </w:rPr>
      </w:pPr>
    </w:p>
    <w:p w:rsidR="007A7EBF" w:rsidRPr="007A7EBF" w:rsidRDefault="007A7EBF" w:rsidP="0003598B">
      <w:pPr>
        <w:pStyle w:val="Reasons"/>
        <w:rPr>
          <w:rFonts w:ascii="STKaiti" w:eastAsia="STKaiti" w:hAnsi="STKaiti"/>
          <w:lang w:eastAsia="zh-CN"/>
        </w:rPr>
      </w:pPr>
    </w:p>
    <w:p w:rsidR="00185530" w:rsidRPr="00DF15E4" w:rsidRDefault="00D2101B" w:rsidP="0003598B">
      <w:pPr>
        <w:jc w:val="center"/>
        <w:rPr>
          <w:lang w:eastAsia="zh-CN"/>
        </w:rPr>
      </w:pPr>
      <w:r>
        <w:t>______________</w:t>
      </w:r>
    </w:p>
    <w:sectPr w:rsidR="00185530" w:rsidRPr="00DF15E4" w:rsidSect="008C16EE">
      <w:headerReference w:type="default" r:id="rId11"/>
      <w:footerReference w:type="first" r:id="rId12"/>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FA8" w:rsidRDefault="00AA4FA8">
      <w:r>
        <w:separator/>
      </w:r>
    </w:p>
  </w:endnote>
  <w:endnote w:type="continuationSeparator" w:id="0">
    <w:p w:rsidR="00AA4FA8" w:rsidRDefault="00AA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AA4FA8" w:rsidTr="000F4451">
      <w:trPr>
        <w:cantSplit/>
      </w:trPr>
      <w:tc>
        <w:tcPr>
          <w:tcW w:w="1062" w:type="pct"/>
          <w:tcBorders>
            <w:top w:val="single" w:sz="6" w:space="0" w:color="auto"/>
          </w:tcBorders>
          <w:tcMar>
            <w:top w:w="57" w:type="dxa"/>
          </w:tcMar>
        </w:tcPr>
        <w:p w:rsidR="00AA4FA8" w:rsidRDefault="00AA4FA8" w:rsidP="000F4451">
          <w:pPr>
            <w:pStyle w:val="itu"/>
          </w:pPr>
          <w:r>
            <w:t>Place des Nations</w:t>
          </w:r>
        </w:p>
      </w:tc>
      <w:tc>
        <w:tcPr>
          <w:tcW w:w="1583" w:type="pct"/>
          <w:tcBorders>
            <w:top w:val="single" w:sz="6" w:space="0" w:color="auto"/>
          </w:tcBorders>
          <w:tcMar>
            <w:top w:w="57" w:type="dxa"/>
          </w:tcMar>
        </w:tcPr>
        <w:p w:rsidR="00AA4FA8" w:rsidRDefault="00AA4FA8" w:rsidP="000F4451">
          <w:pPr>
            <w:pStyle w:val="itu"/>
          </w:pPr>
          <w:r>
            <w:t>Telephone</w:t>
          </w:r>
          <w:r>
            <w:tab/>
            <w:t>+41 22 730 51 11</w:t>
          </w:r>
        </w:p>
      </w:tc>
      <w:tc>
        <w:tcPr>
          <w:tcW w:w="1224" w:type="pct"/>
          <w:tcBorders>
            <w:top w:val="single" w:sz="6" w:space="0" w:color="auto"/>
          </w:tcBorders>
          <w:tcMar>
            <w:top w:w="57" w:type="dxa"/>
          </w:tcMar>
        </w:tcPr>
        <w:p w:rsidR="00AA4FA8" w:rsidRDefault="00AA4FA8" w:rsidP="000F445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A4FA8" w:rsidRDefault="00AA4FA8" w:rsidP="000F4451">
          <w:pPr>
            <w:pStyle w:val="itu"/>
          </w:pPr>
          <w:r>
            <w:t>E-mail:</w:t>
          </w:r>
          <w:r>
            <w:tab/>
            <w:t>itumail@itu.int</w:t>
          </w:r>
        </w:p>
      </w:tc>
    </w:tr>
    <w:tr w:rsidR="00AA4FA8" w:rsidTr="000F4451">
      <w:trPr>
        <w:cantSplit/>
      </w:trPr>
      <w:tc>
        <w:tcPr>
          <w:tcW w:w="1062" w:type="pct"/>
        </w:tcPr>
        <w:p w:rsidR="00AA4FA8" w:rsidRDefault="00AA4FA8" w:rsidP="000F4451">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A4FA8" w:rsidRDefault="00AA4FA8" w:rsidP="000F4451">
          <w:pPr>
            <w:pStyle w:val="itu"/>
          </w:pPr>
          <w:r>
            <w:t>Telefax</w:t>
          </w:r>
          <w:r>
            <w:tab/>
            <w:t>Gr3:</w:t>
          </w:r>
          <w:r>
            <w:tab/>
            <w:t>+41 22 733 72 56</w:t>
          </w:r>
        </w:p>
      </w:tc>
      <w:tc>
        <w:tcPr>
          <w:tcW w:w="1224" w:type="pct"/>
        </w:tcPr>
        <w:p w:rsidR="00AA4FA8" w:rsidRDefault="00AA4FA8" w:rsidP="000F4451">
          <w:pPr>
            <w:pStyle w:val="itu"/>
          </w:pPr>
          <w:r>
            <w:t>Telegram ITU GENEVE</w:t>
          </w:r>
        </w:p>
      </w:tc>
      <w:tc>
        <w:tcPr>
          <w:tcW w:w="1131" w:type="pct"/>
        </w:tcPr>
        <w:p w:rsidR="00AA4FA8" w:rsidRDefault="00AA4FA8" w:rsidP="000F4451">
          <w:pPr>
            <w:pStyle w:val="itu"/>
          </w:pPr>
          <w:r>
            <w:tab/>
          </w:r>
          <w:hyperlink r:id="rId1" w:history="1">
            <w:r>
              <w:t>http://www.itu.int/</w:t>
            </w:r>
          </w:hyperlink>
        </w:p>
      </w:tc>
    </w:tr>
    <w:tr w:rsidR="00AA4FA8" w:rsidTr="000F4451">
      <w:trPr>
        <w:cantSplit/>
      </w:trPr>
      <w:tc>
        <w:tcPr>
          <w:tcW w:w="1062" w:type="pct"/>
        </w:tcPr>
        <w:p w:rsidR="00AA4FA8" w:rsidRDefault="00AA4FA8" w:rsidP="000F4451">
          <w:pPr>
            <w:pStyle w:val="itu"/>
          </w:pPr>
          <w:smartTag w:uri="urn:schemas-microsoft-com:office:smarttags" w:element="country-region">
            <w:smartTag w:uri="urn:schemas-microsoft-com:office:smarttags" w:element="place">
              <w:r>
                <w:t>Switzerland</w:t>
              </w:r>
            </w:smartTag>
          </w:smartTag>
        </w:p>
      </w:tc>
      <w:tc>
        <w:tcPr>
          <w:tcW w:w="1583" w:type="pct"/>
        </w:tcPr>
        <w:p w:rsidR="00AA4FA8" w:rsidRDefault="00AA4FA8" w:rsidP="000F4451">
          <w:pPr>
            <w:pStyle w:val="itu"/>
          </w:pPr>
          <w:r>
            <w:tab/>
            <w:t>Gr4:</w:t>
          </w:r>
          <w:r>
            <w:tab/>
            <w:t>+41 22 730 65 00</w:t>
          </w:r>
        </w:p>
      </w:tc>
      <w:tc>
        <w:tcPr>
          <w:tcW w:w="1224" w:type="pct"/>
        </w:tcPr>
        <w:p w:rsidR="00AA4FA8" w:rsidRDefault="00AA4FA8" w:rsidP="000F4451">
          <w:pPr>
            <w:pStyle w:val="itu"/>
          </w:pPr>
        </w:p>
      </w:tc>
      <w:tc>
        <w:tcPr>
          <w:tcW w:w="1131" w:type="pct"/>
        </w:tcPr>
        <w:p w:rsidR="00AA4FA8" w:rsidRDefault="00AA4FA8" w:rsidP="000F4451">
          <w:pPr>
            <w:pStyle w:val="itu"/>
          </w:pPr>
        </w:p>
      </w:tc>
    </w:tr>
  </w:tbl>
  <w:p w:rsidR="00AA4FA8" w:rsidRDefault="00AA4FA8">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FA8" w:rsidRDefault="00AA4FA8">
      <w:r>
        <w:t>____________________</w:t>
      </w:r>
    </w:p>
  </w:footnote>
  <w:footnote w:type="continuationSeparator" w:id="0">
    <w:p w:rsidR="00AA4FA8" w:rsidRDefault="00AA4FA8">
      <w:r>
        <w:continuationSeparator/>
      </w:r>
    </w:p>
  </w:footnote>
  <w:footnote w:id="1">
    <w:p w:rsidR="00AA4FA8" w:rsidRPr="00F9073A" w:rsidRDefault="00AA4FA8" w:rsidP="00BA2E9F">
      <w:pPr>
        <w:pStyle w:val="FootnoteText"/>
        <w:rPr>
          <w:lang w:eastAsia="zh-CN"/>
        </w:rPr>
      </w:pPr>
      <w:r>
        <w:rPr>
          <w:rStyle w:val="FootnoteReference"/>
        </w:rPr>
        <w:footnoteRef/>
      </w:r>
      <w:r>
        <w:rPr>
          <w:lang w:eastAsia="zh-CN"/>
        </w:rPr>
        <w:t xml:space="preserve"> </w:t>
      </w:r>
      <w:r>
        <w:rPr>
          <w:rFonts w:hint="eastAsia"/>
          <w:lang w:eastAsia="zh-CN"/>
        </w:rPr>
        <w:tab/>
      </w:r>
      <w:r>
        <w:rPr>
          <w:rFonts w:hint="eastAsia"/>
          <w:lang w:eastAsia="zh-CN"/>
        </w:rPr>
        <w:t>本《程序规则》指《无线电规则》第</w:t>
      </w:r>
      <w:r>
        <w:rPr>
          <w:rFonts w:hint="eastAsia"/>
          <w:lang w:eastAsia="zh-CN"/>
        </w:rPr>
        <w:t>9</w:t>
      </w:r>
      <w:r>
        <w:rPr>
          <w:rFonts w:hint="eastAsia"/>
          <w:lang w:eastAsia="zh-CN"/>
        </w:rPr>
        <w:t>和第</w:t>
      </w:r>
      <w:r>
        <w:rPr>
          <w:rFonts w:hint="eastAsia"/>
          <w:lang w:eastAsia="zh-CN"/>
        </w:rPr>
        <w:t>11</w:t>
      </w:r>
      <w:r>
        <w:rPr>
          <w:rFonts w:hint="eastAsia"/>
          <w:lang w:eastAsia="zh-CN"/>
        </w:rPr>
        <w:t>条，附录</w:t>
      </w:r>
      <w:r>
        <w:rPr>
          <w:rFonts w:hint="eastAsia"/>
          <w:lang w:eastAsia="zh-CN"/>
        </w:rPr>
        <w:t>30</w:t>
      </w:r>
      <w:r>
        <w:rPr>
          <w:rFonts w:hint="eastAsia"/>
          <w:lang w:eastAsia="zh-CN"/>
        </w:rPr>
        <w:t>和</w:t>
      </w:r>
      <w:r>
        <w:rPr>
          <w:rFonts w:hint="eastAsia"/>
          <w:lang w:eastAsia="zh-CN"/>
        </w:rPr>
        <w:t>30A</w:t>
      </w:r>
      <w:r>
        <w:rPr>
          <w:rFonts w:hint="eastAsia"/>
          <w:lang w:eastAsia="zh-CN"/>
        </w:rPr>
        <w:t>第</w:t>
      </w:r>
      <w:r>
        <w:rPr>
          <w:rFonts w:hint="eastAsia"/>
          <w:lang w:eastAsia="zh-CN"/>
        </w:rPr>
        <w:t>4</w:t>
      </w:r>
      <w:r>
        <w:rPr>
          <w:rFonts w:hint="eastAsia"/>
          <w:lang w:eastAsia="zh-CN"/>
        </w:rPr>
        <w:t>和第</w:t>
      </w:r>
      <w:r>
        <w:rPr>
          <w:rFonts w:hint="eastAsia"/>
          <w:lang w:eastAsia="zh-CN"/>
        </w:rPr>
        <w:t>5</w:t>
      </w:r>
      <w:r>
        <w:rPr>
          <w:rFonts w:hint="eastAsia"/>
          <w:lang w:eastAsia="zh-CN"/>
        </w:rPr>
        <w:t>条，以及附录</w:t>
      </w:r>
      <w:r>
        <w:rPr>
          <w:rFonts w:hint="eastAsia"/>
          <w:lang w:eastAsia="zh-CN"/>
        </w:rPr>
        <w:t>30B</w:t>
      </w:r>
      <w:r>
        <w:rPr>
          <w:rFonts w:hint="eastAsia"/>
          <w:lang w:eastAsia="zh-CN"/>
        </w:rPr>
        <w:t>第</w:t>
      </w:r>
      <w:r>
        <w:rPr>
          <w:rFonts w:hint="eastAsia"/>
          <w:lang w:eastAsia="zh-CN"/>
        </w:rPr>
        <w:t>6</w:t>
      </w:r>
      <w:r>
        <w:rPr>
          <w:rFonts w:hint="eastAsia"/>
          <w:lang w:eastAsia="zh-CN"/>
        </w:rPr>
        <w:t>和第</w:t>
      </w:r>
      <w:r>
        <w:rPr>
          <w:rFonts w:hint="eastAsia"/>
          <w:lang w:eastAsia="zh-CN"/>
        </w:rPr>
        <w:t>8</w:t>
      </w:r>
      <w:r>
        <w:rPr>
          <w:rFonts w:hint="eastAsia"/>
          <w:lang w:eastAsia="zh-CN"/>
        </w:rPr>
        <w:t>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A8" w:rsidRPr="00063ED2" w:rsidRDefault="00AA4FA8" w:rsidP="00063ED2">
    <w:pPr>
      <w:pStyle w:val="Header"/>
      <w:rPr>
        <w:szCs w:val="18"/>
        <w:lang w:eastAsia="zh-CN"/>
      </w:rPr>
    </w:pPr>
    <w:r w:rsidRPr="008F62B5">
      <w:rPr>
        <w:szCs w:val="18"/>
        <w:lang w:val="en-US"/>
      </w:rPr>
      <w:t xml:space="preserve">- </w:t>
    </w:r>
    <w:r w:rsidRPr="008F62B5">
      <w:rPr>
        <w:rStyle w:val="PageNumber"/>
        <w:szCs w:val="18"/>
      </w:rPr>
      <w:fldChar w:fldCharType="begin"/>
    </w:r>
    <w:r w:rsidRPr="008F62B5">
      <w:rPr>
        <w:rStyle w:val="PageNumber"/>
        <w:szCs w:val="18"/>
      </w:rPr>
      <w:instrText xml:space="preserve"> PAGE </w:instrText>
    </w:r>
    <w:r w:rsidRPr="008F62B5">
      <w:rPr>
        <w:rStyle w:val="PageNumber"/>
        <w:szCs w:val="18"/>
      </w:rPr>
      <w:fldChar w:fldCharType="separate"/>
    </w:r>
    <w:r w:rsidR="00D9091E">
      <w:rPr>
        <w:rStyle w:val="PageNumber"/>
        <w:noProof/>
        <w:szCs w:val="18"/>
      </w:rPr>
      <w:t>6</w:t>
    </w:r>
    <w:r w:rsidRPr="008F62B5">
      <w:rPr>
        <w:rStyle w:val="PageNumber"/>
        <w:szCs w:val="18"/>
      </w:rPr>
      <w:fldChar w:fldCharType="end"/>
    </w:r>
    <w:r w:rsidRPr="008F62B5">
      <w:rPr>
        <w:rStyle w:val="PageNumber"/>
        <w:szCs w:val="18"/>
      </w:rPr>
      <w:t xml:space="preserve"> -</w:t>
    </w:r>
    <w:r w:rsidRPr="008F62B5">
      <w:rPr>
        <w:rStyle w:val="PageNumber"/>
        <w:rFonts w:hint="eastAsia"/>
        <w:szCs w:val="18"/>
        <w:lang w:eastAsia="zh-CN"/>
      </w:rPr>
      <w:br/>
    </w:r>
    <w:r w:rsidRPr="008F62B5">
      <w:rPr>
        <w:rStyle w:val="PageNumber"/>
        <w:szCs w:val="18"/>
      </w:rPr>
      <w:t>CCRR/4</w:t>
    </w:r>
    <w:r>
      <w:rPr>
        <w:rStyle w:val="PageNumber"/>
        <w:rFonts w:hint="eastAsia"/>
        <w:szCs w:val="18"/>
        <w:lang w:eastAsia="zh-CN"/>
      </w:rPr>
      <w:t>7</w:t>
    </w:r>
    <w:r w:rsidRPr="008F62B5">
      <w:rPr>
        <w:rStyle w:val="PageNumber"/>
        <w:szCs w:val="18"/>
      </w:rPr>
      <w:t>-</w:t>
    </w:r>
    <w:r w:rsidRPr="008F62B5">
      <w:rPr>
        <w:rStyle w:val="PageNumber"/>
        <w:rFonts w:hint="eastAsia"/>
        <w:szCs w:val="18"/>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609E"/>
    <w:multiLevelType w:val="singleLevel"/>
    <w:tmpl w:val="A656C078"/>
    <w:lvl w:ilvl="0">
      <w:start w:val="18"/>
      <w:numFmt w:val="lowerLetter"/>
      <w:lvlText w:val="(%1) "/>
      <w:legacy w:legacy="1" w:legacySpace="0" w:legacyIndent="283"/>
      <w:lvlJc w:val="left"/>
      <w:pPr>
        <w:ind w:left="283" w:hanging="283"/>
      </w:pPr>
      <w:rPr>
        <w:rFonts w:ascii="Arial" w:hAnsi="Arial" w:hint="default"/>
        <w:b w:val="0"/>
        <w:i w:val="0"/>
        <w:sz w:val="16"/>
      </w:rPr>
    </w:lvl>
  </w:abstractNum>
  <w:abstractNum w:abstractNumId="1">
    <w:nsid w:val="18A4751D"/>
    <w:multiLevelType w:val="hybridMultilevel"/>
    <w:tmpl w:val="5D3C4A7A"/>
    <w:lvl w:ilvl="0" w:tplc="9F6428C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7458C"/>
    <w:multiLevelType w:val="hybridMultilevel"/>
    <w:tmpl w:val="3D3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76D6E"/>
    <w:multiLevelType w:val="hybridMultilevel"/>
    <w:tmpl w:val="EBEC577C"/>
    <w:lvl w:ilvl="0" w:tplc="9F6428C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A339C4"/>
    <w:multiLevelType w:val="hybridMultilevel"/>
    <w:tmpl w:val="FCE0E45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7">
    <w:nsid w:val="75F22597"/>
    <w:multiLevelType w:val="hybridMultilevel"/>
    <w:tmpl w:val="4650F544"/>
    <w:lvl w:ilvl="0" w:tplc="B7BEA5E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4E30EC"/>
    <w:multiLevelType w:val="hybridMultilevel"/>
    <w:tmpl w:val="3614E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7"/>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58"/>
    <w:rsid w:val="0000025C"/>
    <w:rsid w:val="000059C2"/>
    <w:rsid w:val="00006896"/>
    <w:rsid w:val="00012D7F"/>
    <w:rsid w:val="00016557"/>
    <w:rsid w:val="000258AE"/>
    <w:rsid w:val="00033F7B"/>
    <w:rsid w:val="0003598B"/>
    <w:rsid w:val="00050B04"/>
    <w:rsid w:val="0005556C"/>
    <w:rsid w:val="000610D5"/>
    <w:rsid w:val="000613C0"/>
    <w:rsid w:val="00063ED2"/>
    <w:rsid w:val="00082DE9"/>
    <w:rsid w:val="0009192E"/>
    <w:rsid w:val="00093F76"/>
    <w:rsid w:val="00096775"/>
    <w:rsid w:val="000A2219"/>
    <w:rsid w:val="000D2F04"/>
    <w:rsid w:val="000D62B3"/>
    <w:rsid w:val="000D72E4"/>
    <w:rsid w:val="000E15C1"/>
    <w:rsid w:val="000E64DA"/>
    <w:rsid w:val="000F189F"/>
    <w:rsid w:val="000F4451"/>
    <w:rsid w:val="000F527D"/>
    <w:rsid w:val="0010574E"/>
    <w:rsid w:val="001118DA"/>
    <w:rsid w:val="00111FF7"/>
    <w:rsid w:val="0011225F"/>
    <w:rsid w:val="00114541"/>
    <w:rsid w:val="00114947"/>
    <w:rsid w:val="0013415D"/>
    <w:rsid w:val="00137659"/>
    <w:rsid w:val="001437DE"/>
    <w:rsid w:val="00143DB2"/>
    <w:rsid w:val="00147CE4"/>
    <w:rsid w:val="00147E21"/>
    <w:rsid w:val="00153EED"/>
    <w:rsid w:val="00154520"/>
    <w:rsid w:val="00163F15"/>
    <w:rsid w:val="0016410E"/>
    <w:rsid w:val="00170BB1"/>
    <w:rsid w:val="0017125A"/>
    <w:rsid w:val="00175716"/>
    <w:rsid w:val="00182027"/>
    <w:rsid w:val="00185530"/>
    <w:rsid w:val="0019050F"/>
    <w:rsid w:val="00193E84"/>
    <w:rsid w:val="001A54E2"/>
    <w:rsid w:val="001B4EC4"/>
    <w:rsid w:val="001B5108"/>
    <w:rsid w:val="001C5678"/>
    <w:rsid w:val="001C62DD"/>
    <w:rsid w:val="001D0183"/>
    <w:rsid w:val="001D26D7"/>
    <w:rsid w:val="001E0557"/>
    <w:rsid w:val="001E15AA"/>
    <w:rsid w:val="001E26F0"/>
    <w:rsid w:val="001E7DDF"/>
    <w:rsid w:val="001E7DF9"/>
    <w:rsid w:val="001F178E"/>
    <w:rsid w:val="001F1E1E"/>
    <w:rsid w:val="001F4E0D"/>
    <w:rsid w:val="00210B45"/>
    <w:rsid w:val="00210C11"/>
    <w:rsid w:val="0021546E"/>
    <w:rsid w:val="00215B9A"/>
    <w:rsid w:val="00222B86"/>
    <w:rsid w:val="00223F87"/>
    <w:rsid w:val="00227798"/>
    <w:rsid w:val="00227F65"/>
    <w:rsid w:val="0025727C"/>
    <w:rsid w:val="00262184"/>
    <w:rsid w:val="00273549"/>
    <w:rsid w:val="0027710A"/>
    <w:rsid w:val="00292AB9"/>
    <w:rsid w:val="002A323B"/>
    <w:rsid w:val="002A3E02"/>
    <w:rsid w:val="002B45CE"/>
    <w:rsid w:val="002C129F"/>
    <w:rsid w:val="002C714E"/>
    <w:rsid w:val="002D2C7E"/>
    <w:rsid w:val="002D4EB2"/>
    <w:rsid w:val="002D746D"/>
    <w:rsid w:val="002E7DFA"/>
    <w:rsid w:val="00304054"/>
    <w:rsid w:val="00304AA4"/>
    <w:rsid w:val="00320EC2"/>
    <w:rsid w:val="00324C20"/>
    <w:rsid w:val="00325A95"/>
    <w:rsid w:val="0033268D"/>
    <w:rsid w:val="00334507"/>
    <w:rsid w:val="0034209B"/>
    <w:rsid w:val="0035151F"/>
    <w:rsid w:val="00351713"/>
    <w:rsid w:val="00355240"/>
    <w:rsid w:val="00357031"/>
    <w:rsid w:val="00361B37"/>
    <w:rsid w:val="00366A84"/>
    <w:rsid w:val="00366F32"/>
    <w:rsid w:val="003817F6"/>
    <w:rsid w:val="00395171"/>
    <w:rsid w:val="003A25BF"/>
    <w:rsid w:val="003B74C8"/>
    <w:rsid w:val="003C6C8D"/>
    <w:rsid w:val="003D0F20"/>
    <w:rsid w:val="003D3993"/>
    <w:rsid w:val="003D3EA8"/>
    <w:rsid w:val="003D7184"/>
    <w:rsid w:val="003E20BF"/>
    <w:rsid w:val="003E3396"/>
    <w:rsid w:val="003F1939"/>
    <w:rsid w:val="003F3B13"/>
    <w:rsid w:val="003F624B"/>
    <w:rsid w:val="00400413"/>
    <w:rsid w:val="00413B06"/>
    <w:rsid w:val="0041778B"/>
    <w:rsid w:val="00417CB7"/>
    <w:rsid w:val="00434C4B"/>
    <w:rsid w:val="00435C5B"/>
    <w:rsid w:val="0044634B"/>
    <w:rsid w:val="00463490"/>
    <w:rsid w:val="00466CD1"/>
    <w:rsid w:val="00473239"/>
    <w:rsid w:val="004A2A10"/>
    <w:rsid w:val="004A367A"/>
    <w:rsid w:val="004A5AB1"/>
    <w:rsid w:val="004A7B3B"/>
    <w:rsid w:val="004B4EFE"/>
    <w:rsid w:val="004C1881"/>
    <w:rsid w:val="004C57D1"/>
    <w:rsid w:val="004C736F"/>
    <w:rsid w:val="004C7EA1"/>
    <w:rsid w:val="004D18C6"/>
    <w:rsid w:val="004D42A7"/>
    <w:rsid w:val="004E344A"/>
    <w:rsid w:val="004F26AE"/>
    <w:rsid w:val="004F5072"/>
    <w:rsid w:val="004F5B03"/>
    <w:rsid w:val="004F6C70"/>
    <w:rsid w:val="005133F3"/>
    <w:rsid w:val="0051377B"/>
    <w:rsid w:val="00523B20"/>
    <w:rsid w:val="00534768"/>
    <w:rsid w:val="00537EFB"/>
    <w:rsid w:val="005449A6"/>
    <w:rsid w:val="00550A18"/>
    <w:rsid w:val="00562D5D"/>
    <w:rsid w:val="005639D5"/>
    <w:rsid w:val="00574C59"/>
    <w:rsid w:val="00581542"/>
    <w:rsid w:val="005845B7"/>
    <w:rsid w:val="005845F6"/>
    <w:rsid w:val="00595800"/>
    <w:rsid w:val="0059748D"/>
    <w:rsid w:val="005A007E"/>
    <w:rsid w:val="005A31B3"/>
    <w:rsid w:val="005A6C44"/>
    <w:rsid w:val="005B6000"/>
    <w:rsid w:val="005B67EE"/>
    <w:rsid w:val="005C0D30"/>
    <w:rsid w:val="005C7400"/>
    <w:rsid w:val="005D4CC5"/>
    <w:rsid w:val="005D5E07"/>
    <w:rsid w:val="005E3911"/>
    <w:rsid w:val="005F130D"/>
    <w:rsid w:val="005F349F"/>
    <w:rsid w:val="005F6754"/>
    <w:rsid w:val="005F7F4C"/>
    <w:rsid w:val="00611BB8"/>
    <w:rsid w:val="00612D04"/>
    <w:rsid w:val="00613019"/>
    <w:rsid w:val="006136BC"/>
    <w:rsid w:val="00616975"/>
    <w:rsid w:val="00617F82"/>
    <w:rsid w:val="006225C2"/>
    <w:rsid w:val="00623054"/>
    <w:rsid w:val="00624E05"/>
    <w:rsid w:val="00630AB4"/>
    <w:rsid w:val="0063210D"/>
    <w:rsid w:val="00632821"/>
    <w:rsid w:val="00653134"/>
    <w:rsid w:val="0065577F"/>
    <w:rsid w:val="0066258C"/>
    <w:rsid w:val="00662ACC"/>
    <w:rsid w:val="0067612E"/>
    <w:rsid w:val="0068517A"/>
    <w:rsid w:val="00692A1D"/>
    <w:rsid w:val="00692EB9"/>
    <w:rsid w:val="00692F33"/>
    <w:rsid w:val="00694585"/>
    <w:rsid w:val="006A016D"/>
    <w:rsid w:val="006B3F95"/>
    <w:rsid w:val="006C2BED"/>
    <w:rsid w:val="006C46D9"/>
    <w:rsid w:val="006D1F51"/>
    <w:rsid w:val="006D7C30"/>
    <w:rsid w:val="00710302"/>
    <w:rsid w:val="00710D93"/>
    <w:rsid w:val="0071106C"/>
    <w:rsid w:val="00715444"/>
    <w:rsid w:val="00716612"/>
    <w:rsid w:val="007208A3"/>
    <w:rsid w:val="0072691C"/>
    <w:rsid w:val="0072692D"/>
    <w:rsid w:val="00730777"/>
    <w:rsid w:val="00746900"/>
    <w:rsid w:val="007517F8"/>
    <w:rsid w:val="0075429A"/>
    <w:rsid w:val="00756EEB"/>
    <w:rsid w:val="00777222"/>
    <w:rsid w:val="00797A6C"/>
    <w:rsid w:val="007A7EBF"/>
    <w:rsid w:val="007B3EF9"/>
    <w:rsid w:val="007B54FF"/>
    <w:rsid w:val="007C173A"/>
    <w:rsid w:val="007C690F"/>
    <w:rsid w:val="007D3C32"/>
    <w:rsid w:val="007D3ED0"/>
    <w:rsid w:val="007D7AF8"/>
    <w:rsid w:val="007E1ABF"/>
    <w:rsid w:val="007E2041"/>
    <w:rsid w:val="007E523E"/>
    <w:rsid w:val="007F1513"/>
    <w:rsid w:val="007F78A7"/>
    <w:rsid w:val="008012AB"/>
    <w:rsid w:val="00811467"/>
    <w:rsid w:val="008130D8"/>
    <w:rsid w:val="00820AE5"/>
    <w:rsid w:val="00825BF2"/>
    <w:rsid w:val="00826ECF"/>
    <w:rsid w:val="008325A9"/>
    <w:rsid w:val="008628CB"/>
    <w:rsid w:val="008718D8"/>
    <w:rsid w:val="00875A02"/>
    <w:rsid w:val="00881D43"/>
    <w:rsid w:val="00884248"/>
    <w:rsid w:val="0088465A"/>
    <w:rsid w:val="008855CA"/>
    <w:rsid w:val="008870C2"/>
    <w:rsid w:val="00887841"/>
    <w:rsid w:val="008949D5"/>
    <w:rsid w:val="00895023"/>
    <w:rsid w:val="008A1F2F"/>
    <w:rsid w:val="008B04B9"/>
    <w:rsid w:val="008C16EE"/>
    <w:rsid w:val="008C3DB1"/>
    <w:rsid w:val="008C46F2"/>
    <w:rsid w:val="008C6875"/>
    <w:rsid w:val="008D00EB"/>
    <w:rsid w:val="008D4874"/>
    <w:rsid w:val="008E168D"/>
    <w:rsid w:val="008F01E6"/>
    <w:rsid w:val="008F0D21"/>
    <w:rsid w:val="008F555F"/>
    <w:rsid w:val="008F62B5"/>
    <w:rsid w:val="008F7F5A"/>
    <w:rsid w:val="00900F56"/>
    <w:rsid w:val="00902710"/>
    <w:rsid w:val="009167E8"/>
    <w:rsid w:val="00934D56"/>
    <w:rsid w:val="0093776F"/>
    <w:rsid w:val="00942E22"/>
    <w:rsid w:val="009433CA"/>
    <w:rsid w:val="00952F1E"/>
    <w:rsid w:val="00954408"/>
    <w:rsid w:val="00957B23"/>
    <w:rsid w:val="009640F8"/>
    <w:rsid w:val="00966EE9"/>
    <w:rsid w:val="009676DC"/>
    <w:rsid w:val="00967F36"/>
    <w:rsid w:val="009746CA"/>
    <w:rsid w:val="00975154"/>
    <w:rsid w:val="00977854"/>
    <w:rsid w:val="009846D5"/>
    <w:rsid w:val="00985D12"/>
    <w:rsid w:val="009866DA"/>
    <w:rsid w:val="00992A27"/>
    <w:rsid w:val="009966B9"/>
    <w:rsid w:val="009A0501"/>
    <w:rsid w:val="009A0D02"/>
    <w:rsid w:val="009A1B07"/>
    <w:rsid w:val="009A1DEA"/>
    <w:rsid w:val="009A69CF"/>
    <w:rsid w:val="009B3C48"/>
    <w:rsid w:val="009B699E"/>
    <w:rsid w:val="009D04B4"/>
    <w:rsid w:val="009D43E7"/>
    <w:rsid w:val="009E14F3"/>
    <w:rsid w:val="009E1957"/>
    <w:rsid w:val="009F0F39"/>
    <w:rsid w:val="009F1E8A"/>
    <w:rsid w:val="009F2165"/>
    <w:rsid w:val="009F64C2"/>
    <w:rsid w:val="009F7313"/>
    <w:rsid w:val="00A00552"/>
    <w:rsid w:val="00A021A8"/>
    <w:rsid w:val="00A05FCA"/>
    <w:rsid w:val="00A06093"/>
    <w:rsid w:val="00A16D8E"/>
    <w:rsid w:val="00A23A57"/>
    <w:rsid w:val="00A25874"/>
    <w:rsid w:val="00A37E49"/>
    <w:rsid w:val="00A424FA"/>
    <w:rsid w:val="00A53397"/>
    <w:rsid w:val="00A5531B"/>
    <w:rsid w:val="00A559D5"/>
    <w:rsid w:val="00A5606A"/>
    <w:rsid w:val="00A621C1"/>
    <w:rsid w:val="00A65C71"/>
    <w:rsid w:val="00A8165B"/>
    <w:rsid w:val="00A943B1"/>
    <w:rsid w:val="00AA4FA8"/>
    <w:rsid w:val="00AB07C5"/>
    <w:rsid w:val="00AB099B"/>
    <w:rsid w:val="00AB423A"/>
    <w:rsid w:val="00AE2BD8"/>
    <w:rsid w:val="00AE3521"/>
    <w:rsid w:val="00AE73C4"/>
    <w:rsid w:val="00AF00AF"/>
    <w:rsid w:val="00AF1AFA"/>
    <w:rsid w:val="00AF5320"/>
    <w:rsid w:val="00AF6C52"/>
    <w:rsid w:val="00B04780"/>
    <w:rsid w:val="00B11304"/>
    <w:rsid w:val="00B12FAD"/>
    <w:rsid w:val="00B164ED"/>
    <w:rsid w:val="00B276C9"/>
    <w:rsid w:val="00B374A2"/>
    <w:rsid w:val="00B37E96"/>
    <w:rsid w:val="00B4447C"/>
    <w:rsid w:val="00B452F9"/>
    <w:rsid w:val="00B47863"/>
    <w:rsid w:val="00B50F28"/>
    <w:rsid w:val="00B52D8A"/>
    <w:rsid w:val="00B53802"/>
    <w:rsid w:val="00B57344"/>
    <w:rsid w:val="00B6172A"/>
    <w:rsid w:val="00B6642B"/>
    <w:rsid w:val="00B70E9D"/>
    <w:rsid w:val="00B80570"/>
    <w:rsid w:val="00B805A0"/>
    <w:rsid w:val="00B83A8F"/>
    <w:rsid w:val="00B87E04"/>
    <w:rsid w:val="00B92E2E"/>
    <w:rsid w:val="00B97F24"/>
    <w:rsid w:val="00BA2E9F"/>
    <w:rsid w:val="00BA5853"/>
    <w:rsid w:val="00BB0DD2"/>
    <w:rsid w:val="00BB31CA"/>
    <w:rsid w:val="00BD3337"/>
    <w:rsid w:val="00BD6D5D"/>
    <w:rsid w:val="00BE204E"/>
    <w:rsid w:val="00BE2A13"/>
    <w:rsid w:val="00BF3AF8"/>
    <w:rsid w:val="00C007AD"/>
    <w:rsid w:val="00C03477"/>
    <w:rsid w:val="00C04637"/>
    <w:rsid w:val="00C07236"/>
    <w:rsid w:val="00C14C30"/>
    <w:rsid w:val="00C1563B"/>
    <w:rsid w:val="00C172E1"/>
    <w:rsid w:val="00C32119"/>
    <w:rsid w:val="00C35DB1"/>
    <w:rsid w:val="00C40EB1"/>
    <w:rsid w:val="00C42BDD"/>
    <w:rsid w:val="00C44E58"/>
    <w:rsid w:val="00C46468"/>
    <w:rsid w:val="00C61BCB"/>
    <w:rsid w:val="00C67ACD"/>
    <w:rsid w:val="00C67E70"/>
    <w:rsid w:val="00C72ECB"/>
    <w:rsid w:val="00C76CB2"/>
    <w:rsid w:val="00C8335B"/>
    <w:rsid w:val="00C93673"/>
    <w:rsid w:val="00CA1F2B"/>
    <w:rsid w:val="00CA59FE"/>
    <w:rsid w:val="00CA788D"/>
    <w:rsid w:val="00CB38F2"/>
    <w:rsid w:val="00CB5B71"/>
    <w:rsid w:val="00CB6D80"/>
    <w:rsid w:val="00CC5137"/>
    <w:rsid w:val="00CD67EE"/>
    <w:rsid w:val="00CE43B2"/>
    <w:rsid w:val="00CE7C44"/>
    <w:rsid w:val="00CF13A3"/>
    <w:rsid w:val="00CF2F63"/>
    <w:rsid w:val="00D05C28"/>
    <w:rsid w:val="00D129D5"/>
    <w:rsid w:val="00D13250"/>
    <w:rsid w:val="00D2101B"/>
    <w:rsid w:val="00D2365F"/>
    <w:rsid w:val="00D33092"/>
    <w:rsid w:val="00D35752"/>
    <w:rsid w:val="00D3590A"/>
    <w:rsid w:val="00D3634D"/>
    <w:rsid w:val="00D463D0"/>
    <w:rsid w:val="00D51964"/>
    <w:rsid w:val="00D53D3D"/>
    <w:rsid w:val="00D57F7B"/>
    <w:rsid w:val="00D61395"/>
    <w:rsid w:val="00D62199"/>
    <w:rsid w:val="00D639AB"/>
    <w:rsid w:val="00D650B6"/>
    <w:rsid w:val="00D67515"/>
    <w:rsid w:val="00D744B4"/>
    <w:rsid w:val="00D750CC"/>
    <w:rsid w:val="00D87BAE"/>
    <w:rsid w:val="00D9091E"/>
    <w:rsid w:val="00D936C8"/>
    <w:rsid w:val="00D94D61"/>
    <w:rsid w:val="00D95D9A"/>
    <w:rsid w:val="00DA35E0"/>
    <w:rsid w:val="00DC068F"/>
    <w:rsid w:val="00DC4A8F"/>
    <w:rsid w:val="00DC7F4D"/>
    <w:rsid w:val="00DD0A7A"/>
    <w:rsid w:val="00DD41C8"/>
    <w:rsid w:val="00DD5284"/>
    <w:rsid w:val="00DE2716"/>
    <w:rsid w:val="00DF15E4"/>
    <w:rsid w:val="00DF47B1"/>
    <w:rsid w:val="00DF68D9"/>
    <w:rsid w:val="00E16FF5"/>
    <w:rsid w:val="00E22175"/>
    <w:rsid w:val="00E27826"/>
    <w:rsid w:val="00E31ECB"/>
    <w:rsid w:val="00E34FA6"/>
    <w:rsid w:val="00E475E0"/>
    <w:rsid w:val="00E54E60"/>
    <w:rsid w:val="00E67A91"/>
    <w:rsid w:val="00E739CC"/>
    <w:rsid w:val="00E77AC1"/>
    <w:rsid w:val="00E85461"/>
    <w:rsid w:val="00E92D22"/>
    <w:rsid w:val="00E93249"/>
    <w:rsid w:val="00E953DF"/>
    <w:rsid w:val="00EB2018"/>
    <w:rsid w:val="00EB3DBC"/>
    <w:rsid w:val="00EB403E"/>
    <w:rsid w:val="00EB4050"/>
    <w:rsid w:val="00EC1E6B"/>
    <w:rsid w:val="00EC6A20"/>
    <w:rsid w:val="00EC710F"/>
    <w:rsid w:val="00EC7D3D"/>
    <w:rsid w:val="00ED3E5D"/>
    <w:rsid w:val="00EE1670"/>
    <w:rsid w:val="00EE46CC"/>
    <w:rsid w:val="00EE6D93"/>
    <w:rsid w:val="00EE7758"/>
    <w:rsid w:val="00EF3C5C"/>
    <w:rsid w:val="00EF40AE"/>
    <w:rsid w:val="00F013A4"/>
    <w:rsid w:val="00F040E1"/>
    <w:rsid w:val="00F1422C"/>
    <w:rsid w:val="00F1543F"/>
    <w:rsid w:val="00F27861"/>
    <w:rsid w:val="00F31195"/>
    <w:rsid w:val="00F33AFB"/>
    <w:rsid w:val="00F340D5"/>
    <w:rsid w:val="00F40C5B"/>
    <w:rsid w:val="00F451B9"/>
    <w:rsid w:val="00F62B7A"/>
    <w:rsid w:val="00F70C5A"/>
    <w:rsid w:val="00F823DF"/>
    <w:rsid w:val="00F87C44"/>
    <w:rsid w:val="00F90A90"/>
    <w:rsid w:val="00F93A9D"/>
    <w:rsid w:val="00F94F65"/>
    <w:rsid w:val="00F95A90"/>
    <w:rsid w:val="00F9697B"/>
    <w:rsid w:val="00FA10ED"/>
    <w:rsid w:val="00FA6F5D"/>
    <w:rsid w:val="00FB47BE"/>
    <w:rsid w:val="00FC6453"/>
    <w:rsid w:val="00FD2D3C"/>
    <w:rsid w:val="00FD74DD"/>
    <w:rsid w:val="00FE7A07"/>
    <w:rsid w:val="00FE7E01"/>
    <w:rsid w:val="00FF2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E9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845B7"/>
    <w:pPr>
      <w:keepNext/>
      <w:keepLines/>
      <w:spacing w:before="360"/>
      <w:ind w:left="794" w:hanging="794"/>
      <w:outlineLvl w:val="0"/>
    </w:pPr>
    <w:rPr>
      <w:b/>
    </w:rPr>
  </w:style>
  <w:style w:type="paragraph" w:styleId="Heading2">
    <w:name w:val="heading 2"/>
    <w:basedOn w:val="Heading1"/>
    <w:next w:val="Normal"/>
    <w:qFormat/>
    <w:rsid w:val="005845B7"/>
    <w:pPr>
      <w:spacing w:before="240"/>
      <w:outlineLvl w:val="1"/>
    </w:pPr>
  </w:style>
  <w:style w:type="paragraph" w:styleId="Heading3">
    <w:name w:val="heading 3"/>
    <w:basedOn w:val="Heading1"/>
    <w:next w:val="Normal"/>
    <w:qFormat/>
    <w:rsid w:val="005845B7"/>
    <w:pPr>
      <w:spacing w:before="160"/>
      <w:outlineLvl w:val="2"/>
    </w:pPr>
  </w:style>
  <w:style w:type="paragraph" w:styleId="Heading4">
    <w:name w:val="heading 4"/>
    <w:basedOn w:val="Heading3"/>
    <w:next w:val="Normal"/>
    <w:qFormat/>
    <w:rsid w:val="005845B7"/>
    <w:pPr>
      <w:tabs>
        <w:tab w:val="clear" w:pos="794"/>
        <w:tab w:val="left" w:pos="1021"/>
      </w:tabs>
      <w:ind w:left="1021" w:hanging="1021"/>
      <w:outlineLvl w:val="3"/>
    </w:pPr>
  </w:style>
  <w:style w:type="paragraph" w:styleId="Heading5">
    <w:name w:val="heading 5"/>
    <w:basedOn w:val="Heading4"/>
    <w:next w:val="Normal"/>
    <w:qFormat/>
    <w:rsid w:val="005845B7"/>
    <w:pPr>
      <w:outlineLvl w:val="4"/>
    </w:pPr>
  </w:style>
  <w:style w:type="paragraph" w:styleId="Heading6">
    <w:name w:val="heading 6"/>
    <w:basedOn w:val="Heading4"/>
    <w:next w:val="Normal"/>
    <w:qFormat/>
    <w:rsid w:val="005845B7"/>
    <w:pPr>
      <w:tabs>
        <w:tab w:val="clear" w:pos="1021"/>
        <w:tab w:val="clear" w:pos="1191"/>
      </w:tabs>
      <w:ind w:left="1588" w:hanging="1588"/>
      <w:outlineLvl w:val="5"/>
    </w:pPr>
  </w:style>
  <w:style w:type="paragraph" w:styleId="Heading7">
    <w:name w:val="heading 7"/>
    <w:basedOn w:val="Heading6"/>
    <w:next w:val="Normal"/>
    <w:qFormat/>
    <w:rsid w:val="005845B7"/>
    <w:pPr>
      <w:outlineLvl w:val="6"/>
    </w:pPr>
  </w:style>
  <w:style w:type="paragraph" w:styleId="Heading8">
    <w:name w:val="heading 8"/>
    <w:basedOn w:val="Heading6"/>
    <w:next w:val="Normal"/>
    <w:qFormat/>
    <w:rsid w:val="005845B7"/>
    <w:pPr>
      <w:outlineLvl w:val="7"/>
    </w:pPr>
  </w:style>
  <w:style w:type="paragraph" w:styleId="Heading9">
    <w:name w:val="heading 9"/>
    <w:basedOn w:val="Heading6"/>
    <w:next w:val="Normal"/>
    <w:qFormat/>
    <w:rsid w:val="005845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845B7"/>
    <w:pPr>
      <w:keepNext/>
      <w:keepLines/>
      <w:spacing w:before="480"/>
      <w:jc w:val="center"/>
    </w:pPr>
    <w:rPr>
      <w:b/>
      <w:sz w:val="28"/>
    </w:rPr>
  </w:style>
  <w:style w:type="paragraph" w:customStyle="1" w:styleId="Normalaftertitle">
    <w:name w:val="Normal_after_title"/>
    <w:basedOn w:val="Normal"/>
    <w:next w:val="Normal"/>
    <w:rsid w:val="005845B7"/>
    <w:pPr>
      <w:spacing w:before="360"/>
    </w:pPr>
  </w:style>
  <w:style w:type="paragraph" w:customStyle="1" w:styleId="AppendixNotitle">
    <w:name w:val="Appendix_No &amp; title"/>
    <w:basedOn w:val="AnnexNotitle"/>
    <w:next w:val="Normalaftertitle"/>
    <w:rsid w:val="005845B7"/>
  </w:style>
  <w:style w:type="paragraph" w:customStyle="1" w:styleId="Figure">
    <w:name w:val="Figure"/>
    <w:basedOn w:val="Normal"/>
    <w:next w:val="FigureNotitle"/>
    <w:rsid w:val="005845B7"/>
    <w:pPr>
      <w:keepNext/>
      <w:keepLines/>
      <w:spacing w:before="240" w:after="120"/>
      <w:jc w:val="center"/>
    </w:pPr>
  </w:style>
  <w:style w:type="character" w:customStyle="1" w:styleId="Appdef">
    <w:name w:val="App_def"/>
    <w:basedOn w:val="DefaultParagraphFont"/>
    <w:rsid w:val="005845B7"/>
    <w:rPr>
      <w:rFonts w:ascii="Times New Roman" w:hAnsi="Times New Roman"/>
      <w:b/>
    </w:rPr>
  </w:style>
  <w:style w:type="character" w:customStyle="1" w:styleId="Appref">
    <w:name w:val="App_ref"/>
    <w:basedOn w:val="DefaultParagraphFont"/>
    <w:rsid w:val="005845B7"/>
  </w:style>
  <w:style w:type="paragraph" w:customStyle="1" w:styleId="FigureNotitle">
    <w:name w:val="Figure_No &amp; title"/>
    <w:basedOn w:val="Normal"/>
    <w:next w:val="Normalaftertitle"/>
    <w:rsid w:val="005845B7"/>
    <w:pPr>
      <w:keepLines/>
      <w:spacing w:before="240" w:after="120"/>
      <w:jc w:val="center"/>
    </w:pPr>
    <w:rPr>
      <w:b/>
    </w:rPr>
  </w:style>
  <w:style w:type="paragraph" w:customStyle="1" w:styleId="FooterQP">
    <w:name w:val="Footer_QP"/>
    <w:basedOn w:val="Normal"/>
    <w:rsid w:val="005845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5845B7"/>
    <w:rPr>
      <w:b w:val="0"/>
    </w:rPr>
  </w:style>
  <w:style w:type="paragraph" w:customStyle="1" w:styleId="ASN1">
    <w:name w:val="ASN.1"/>
    <w:basedOn w:val="Normal"/>
    <w:rsid w:val="005845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845B7"/>
    <w:rPr>
      <w:rFonts w:ascii="Times New Roman" w:hAnsi="Times New Roman"/>
      <w:b/>
    </w:rPr>
  </w:style>
  <w:style w:type="paragraph" w:customStyle="1" w:styleId="Artheading">
    <w:name w:val="Art_heading"/>
    <w:basedOn w:val="Normal"/>
    <w:next w:val="Normalaftertitle"/>
    <w:rsid w:val="005845B7"/>
    <w:pPr>
      <w:spacing w:before="480"/>
      <w:jc w:val="center"/>
    </w:pPr>
    <w:rPr>
      <w:b/>
      <w:sz w:val="28"/>
    </w:rPr>
  </w:style>
  <w:style w:type="paragraph" w:customStyle="1" w:styleId="ArtNo">
    <w:name w:val="Art_No"/>
    <w:basedOn w:val="Normal"/>
    <w:next w:val="Arttitle"/>
    <w:rsid w:val="005845B7"/>
    <w:pPr>
      <w:keepNext/>
      <w:keepLines/>
      <w:spacing w:before="480"/>
      <w:jc w:val="center"/>
    </w:pPr>
    <w:rPr>
      <w:caps/>
      <w:sz w:val="28"/>
    </w:rPr>
  </w:style>
  <w:style w:type="paragraph" w:customStyle="1" w:styleId="Arttitle">
    <w:name w:val="Art_title"/>
    <w:basedOn w:val="Normal"/>
    <w:next w:val="Normalaftertitle"/>
    <w:rsid w:val="005845B7"/>
    <w:pPr>
      <w:keepNext/>
      <w:keepLines/>
      <w:spacing w:before="240"/>
      <w:jc w:val="center"/>
    </w:pPr>
    <w:rPr>
      <w:b/>
      <w:sz w:val="28"/>
    </w:rPr>
  </w:style>
  <w:style w:type="character" w:customStyle="1" w:styleId="Artref">
    <w:name w:val="Art_ref"/>
    <w:basedOn w:val="DefaultParagraphFont"/>
    <w:rsid w:val="005845B7"/>
  </w:style>
  <w:style w:type="paragraph" w:customStyle="1" w:styleId="Call">
    <w:name w:val="Call"/>
    <w:basedOn w:val="Normal"/>
    <w:next w:val="Normal"/>
    <w:rsid w:val="005845B7"/>
    <w:pPr>
      <w:keepNext/>
      <w:keepLines/>
      <w:spacing w:before="160"/>
      <w:ind w:left="794"/>
    </w:pPr>
    <w:rPr>
      <w:i/>
    </w:rPr>
  </w:style>
  <w:style w:type="paragraph" w:customStyle="1" w:styleId="ChapNo">
    <w:name w:val="Chap_No"/>
    <w:basedOn w:val="Normal"/>
    <w:next w:val="Chaptitle"/>
    <w:rsid w:val="005845B7"/>
    <w:pPr>
      <w:keepNext/>
      <w:keepLines/>
      <w:spacing w:before="480"/>
      <w:jc w:val="center"/>
    </w:pPr>
    <w:rPr>
      <w:b/>
      <w:caps/>
      <w:sz w:val="28"/>
    </w:rPr>
  </w:style>
  <w:style w:type="paragraph" w:customStyle="1" w:styleId="Chaptitle">
    <w:name w:val="Chap_title"/>
    <w:basedOn w:val="Normal"/>
    <w:next w:val="Normalaftertitle"/>
    <w:rsid w:val="005845B7"/>
    <w:pPr>
      <w:keepNext/>
      <w:keepLines/>
      <w:spacing w:before="240"/>
      <w:jc w:val="center"/>
    </w:pPr>
    <w:rPr>
      <w:b/>
      <w:sz w:val="28"/>
    </w:rPr>
  </w:style>
  <w:style w:type="character" w:styleId="PageNumber">
    <w:name w:val="page number"/>
    <w:basedOn w:val="DefaultParagraphFont"/>
    <w:rsid w:val="005845B7"/>
  </w:style>
  <w:style w:type="paragraph" w:customStyle="1" w:styleId="RecNoBR">
    <w:name w:val="Rec_No_BR"/>
    <w:basedOn w:val="Normal"/>
    <w:next w:val="Rectitle"/>
    <w:rsid w:val="005845B7"/>
    <w:pPr>
      <w:keepNext/>
      <w:keepLines/>
      <w:spacing w:before="480"/>
      <w:jc w:val="center"/>
    </w:pPr>
    <w:rPr>
      <w:caps/>
      <w:sz w:val="28"/>
    </w:rPr>
  </w:style>
  <w:style w:type="paragraph" w:customStyle="1" w:styleId="Rectitle">
    <w:name w:val="Rec_title"/>
    <w:basedOn w:val="Normal"/>
    <w:next w:val="Normalaftertitle"/>
    <w:rsid w:val="005845B7"/>
    <w:pPr>
      <w:keepNext/>
      <w:keepLines/>
      <w:spacing w:before="360"/>
      <w:jc w:val="center"/>
    </w:pPr>
    <w:rPr>
      <w:b/>
      <w:sz w:val="28"/>
    </w:rPr>
  </w:style>
  <w:style w:type="paragraph" w:customStyle="1" w:styleId="QuestionNoBR">
    <w:name w:val="Question_No_BR"/>
    <w:basedOn w:val="RecNoBR"/>
    <w:next w:val="Questiontitle"/>
    <w:rsid w:val="005845B7"/>
  </w:style>
  <w:style w:type="paragraph" w:customStyle="1" w:styleId="Questiontitle">
    <w:name w:val="Question_title"/>
    <w:basedOn w:val="Rectitle"/>
    <w:next w:val="Questionref"/>
    <w:rsid w:val="005845B7"/>
  </w:style>
  <w:style w:type="paragraph" w:customStyle="1" w:styleId="Questionref">
    <w:name w:val="Question_ref"/>
    <w:basedOn w:val="Recref"/>
    <w:next w:val="Questiondate"/>
    <w:rsid w:val="005845B7"/>
  </w:style>
  <w:style w:type="paragraph" w:customStyle="1" w:styleId="Recref">
    <w:name w:val="Rec_ref"/>
    <w:basedOn w:val="Normal"/>
    <w:next w:val="Recdate"/>
    <w:rsid w:val="005845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845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845B7"/>
  </w:style>
  <w:style w:type="character" w:styleId="EndnoteReference">
    <w:name w:val="endnote reference"/>
    <w:basedOn w:val="DefaultParagraphFont"/>
    <w:semiHidden/>
    <w:rsid w:val="005845B7"/>
    <w:rPr>
      <w:vertAlign w:val="superscript"/>
    </w:rPr>
  </w:style>
  <w:style w:type="paragraph" w:customStyle="1" w:styleId="enumlev1">
    <w:name w:val="enumlev1"/>
    <w:basedOn w:val="Normal"/>
    <w:link w:val="enumlev1Char"/>
    <w:uiPriority w:val="99"/>
    <w:rsid w:val="005845B7"/>
    <w:pPr>
      <w:spacing w:before="80"/>
      <w:ind w:left="794" w:hanging="794"/>
    </w:pPr>
  </w:style>
  <w:style w:type="paragraph" w:customStyle="1" w:styleId="enumlev2">
    <w:name w:val="enumlev2"/>
    <w:basedOn w:val="enumlev1"/>
    <w:rsid w:val="005845B7"/>
    <w:pPr>
      <w:ind w:left="1191" w:hanging="397"/>
    </w:pPr>
  </w:style>
  <w:style w:type="paragraph" w:customStyle="1" w:styleId="enumlev3">
    <w:name w:val="enumlev3"/>
    <w:basedOn w:val="enumlev2"/>
    <w:rsid w:val="005845B7"/>
    <w:pPr>
      <w:ind w:left="1588"/>
    </w:pPr>
  </w:style>
  <w:style w:type="paragraph" w:customStyle="1" w:styleId="Equation">
    <w:name w:val="Equation"/>
    <w:basedOn w:val="Normal"/>
    <w:rsid w:val="005845B7"/>
    <w:pPr>
      <w:tabs>
        <w:tab w:val="clear" w:pos="1191"/>
        <w:tab w:val="clear" w:pos="1588"/>
        <w:tab w:val="clear" w:pos="1985"/>
        <w:tab w:val="center" w:pos="4820"/>
        <w:tab w:val="right" w:pos="9639"/>
      </w:tabs>
    </w:pPr>
  </w:style>
  <w:style w:type="paragraph" w:customStyle="1" w:styleId="Equationlegend">
    <w:name w:val="Equation_legend"/>
    <w:basedOn w:val="Normal"/>
    <w:rsid w:val="005845B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845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5845B7"/>
  </w:style>
  <w:style w:type="paragraph" w:customStyle="1" w:styleId="Reptitle">
    <w:name w:val="Rep_title"/>
    <w:basedOn w:val="Rectitle"/>
    <w:next w:val="Repref"/>
    <w:rsid w:val="005845B7"/>
  </w:style>
  <w:style w:type="paragraph" w:customStyle="1" w:styleId="Repref">
    <w:name w:val="Rep_ref"/>
    <w:basedOn w:val="Recref"/>
    <w:next w:val="Repdate"/>
    <w:rsid w:val="005845B7"/>
  </w:style>
  <w:style w:type="paragraph" w:customStyle="1" w:styleId="Repdate">
    <w:name w:val="Rep_date"/>
    <w:basedOn w:val="Recdate"/>
    <w:next w:val="Normalaftertitle"/>
    <w:rsid w:val="005845B7"/>
  </w:style>
  <w:style w:type="paragraph" w:customStyle="1" w:styleId="ResNoBR">
    <w:name w:val="Res_No_BR"/>
    <w:basedOn w:val="RecNoBR"/>
    <w:next w:val="Restitle"/>
    <w:rsid w:val="005845B7"/>
  </w:style>
  <w:style w:type="paragraph" w:customStyle="1" w:styleId="Restitle">
    <w:name w:val="Res_title"/>
    <w:basedOn w:val="Rectitle"/>
    <w:next w:val="Resref"/>
    <w:rsid w:val="005845B7"/>
  </w:style>
  <w:style w:type="paragraph" w:customStyle="1" w:styleId="Resref">
    <w:name w:val="Res_ref"/>
    <w:basedOn w:val="Recref"/>
    <w:next w:val="Resdate"/>
    <w:rsid w:val="005845B7"/>
  </w:style>
  <w:style w:type="paragraph" w:customStyle="1" w:styleId="Resdate">
    <w:name w:val="Res_date"/>
    <w:basedOn w:val="Recdate"/>
    <w:next w:val="Normalaftertitle"/>
    <w:rsid w:val="005845B7"/>
  </w:style>
  <w:style w:type="paragraph" w:customStyle="1" w:styleId="Section1">
    <w:name w:val="Section_1"/>
    <w:basedOn w:val="Normal"/>
    <w:next w:val="Normal"/>
    <w:rsid w:val="005845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5845B7"/>
    <w:pPr>
      <w:keepLines/>
      <w:spacing w:before="240" w:after="120"/>
      <w:jc w:val="center"/>
    </w:pPr>
  </w:style>
  <w:style w:type="paragraph" w:styleId="Footer">
    <w:name w:val="footer"/>
    <w:basedOn w:val="Normal"/>
    <w:rsid w:val="005845B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845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5845B7"/>
    <w:rPr>
      <w:position w:val="6"/>
      <w:sz w:val="18"/>
    </w:rPr>
  </w:style>
  <w:style w:type="paragraph" w:styleId="FootnoteText">
    <w:name w:val="footnote text"/>
    <w:basedOn w:val="Note"/>
    <w:link w:val="FootnoteTextChar"/>
    <w:semiHidden/>
    <w:rsid w:val="005845B7"/>
    <w:pPr>
      <w:keepLines/>
      <w:tabs>
        <w:tab w:val="left" w:pos="255"/>
      </w:tabs>
      <w:ind w:left="255" w:hanging="255"/>
    </w:pPr>
  </w:style>
  <w:style w:type="paragraph" w:customStyle="1" w:styleId="Note">
    <w:name w:val="Note"/>
    <w:basedOn w:val="Normal"/>
    <w:rsid w:val="005845B7"/>
    <w:pPr>
      <w:spacing w:before="80"/>
    </w:pPr>
  </w:style>
  <w:style w:type="paragraph" w:styleId="Header">
    <w:name w:val="header"/>
    <w:basedOn w:val="Normal"/>
    <w:rsid w:val="005845B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845B7"/>
    <w:pPr>
      <w:keepNext/>
      <w:spacing w:before="160"/>
    </w:pPr>
    <w:rPr>
      <w:b/>
    </w:rPr>
  </w:style>
  <w:style w:type="paragraph" w:customStyle="1" w:styleId="Headingi">
    <w:name w:val="Heading_i"/>
    <w:basedOn w:val="Normal"/>
    <w:next w:val="Normal"/>
    <w:rsid w:val="005845B7"/>
    <w:pPr>
      <w:keepNext/>
      <w:spacing w:before="160"/>
    </w:pPr>
    <w:rPr>
      <w:i/>
    </w:rPr>
  </w:style>
  <w:style w:type="paragraph" w:styleId="Index1">
    <w:name w:val="index 1"/>
    <w:basedOn w:val="Normal"/>
    <w:next w:val="Normal"/>
    <w:semiHidden/>
    <w:rsid w:val="005845B7"/>
  </w:style>
  <w:style w:type="paragraph" w:styleId="Index2">
    <w:name w:val="index 2"/>
    <w:basedOn w:val="Normal"/>
    <w:next w:val="Normal"/>
    <w:semiHidden/>
    <w:rsid w:val="005845B7"/>
    <w:pPr>
      <w:ind w:left="283"/>
    </w:pPr>
  </w:style>
  <w:style w:type="paragraph" w:styleId="Index3">
    <w:name w:val="index 3"/>
    <w:basedOn w:val="Normal"/>
    <w:next w:val="Normal"/>
    <w:semiHidden/>
    <w:rsid w:val="005845B7"/>
    <w:pPr>
      <w:ind w:left="566"/>
    </w:pPr>
  </w:style>
  <w:style w:type="paragraph" w:customStyle="1" w:styleId="Section2">
    <w:name w:val="Section_2"/>
    <w:basedOn w:val="Normal"/>
    <w:next w:val="Normal"/>
    <w:rsid w:val="005845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845B7"/>
    <w:pPr>
      <w:keepNext/>
      <w:keepLines/>
      <w:spacing w:before="360" w:after="120"/>
      <w:jc w:val="center"/>
    </w:pPr>
    <w:rPr>
      <w:b/>
    </w:rPr>
  </w:style>
  <w:style w:type="paragraph" w:customStyle="1" w:styleId="Tablehead">
    <w:name w:val="Table_head"/>
    <w:basedOn w:val="Normal"/>
    <w:next w:val="Tabletext"/>
    <w:rsid w:val="005845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5845B7"/>
    <w:pPr>
      <w:keepNext/>
      <w:spacing w:before="560" w:after="120"/>
      <w:jc w:val="center"/>
    </w:pPr>
    <w:rPr>
      <w:caps/>
    </w:rPr>
  </w:style>
  <w:style w:type="paragraph" w:customStyle="1" w:styleId="TabletitleBR">
    <w:name w:val="Table_title_BR"/>
    <w:basedOn w:val="Normal"/>
    <w:next w:val="Tablehead"/>
    <w:rsid w:val="005845B7"/>
    <w:pPr>
      <w:keepNext/>
      <w:keepLines/>
      <w:spacing w:before="0" w:after="120"/>
      <w:jc w:val="center"/>
    </w:pPr>
    <w:rPr>
      <w:b/>
    </w:rPr>
  </w:style>
  <w:style w:type="paragraph" w:customStyle="1" w:styleId="Infodoc">
    <w:name w:val="Infodoc"/>
    <w:basedOn w:val="Normal"/>
    <w:rsid w:val="005845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5845B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845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5845B7"/>
    <w:pPr>
      <w:keepNext/>
      <w:keepLines/>
      <w:spacing w:before="480" w:after="80"/>
      <w:jc w:val="center"/>
    </w:pPr>
    <w:rPr>
      <w:caps/>
      <w:sz w:val="28"/>
    </w:rPr>
  </w:style>
  <w:style w:type="paragraph" w:customStyle="1" w:styleId="Partref">
    <w:name w:val="Part_ref"/>
    <w:basedOn w:val="Normal"/>
    <w:next w:val="Parttitle"/>
    <w:rsid w:val="005845B7"/>
    <w:pPr>
      <w:keepNext/>
      <w:keepLines/>
      <w:spacing w:before="280"/>
      <w:jc w:val="center"/>
    </w:pPr>
  </w:style>
  <w:style w:type="paragraph" w:customStyle="1" w:styleId="Parttitle">
    <w:name w:val="Part_title"/>
    <w:basedOn w:val="Normal"/>
    <w:next w:val="Normalaftertitle"/>
    <w:rsid w:val="005845B7"/>
    <w:pPr>
      <w:keepNext/>
      <w:keepLines/>
      <w:spacing w:before="240" w:after="280"/>
      <w:jc w:val="center"/>
    </w:pPr>
    <w:rPr>
      <w:b/>
      <w:sz w:val="28"/>
    </w:rPr>
  </w:style>
  <w:style w:type="paragraph" w:customStyle="1" w:styleId="RecNo">
    <w:name w:val="Rec_No"/>
    <w:basedOn w:val="Normal"/>
    <w:next w:val="Rectitle"/>
    <w:rsid w:val="005845B7"/>
    <w:pPr>
      <w:keepNext/>
      <w:keepLines/>
      <w:spacing w:before="0"/>
    </w:pPr>
    <w:rPr>
      <w:b/>
      <w:sz w:val="28"/>
    </w:rPr>
  </w:style>
  <w:style w:type="paragraph" w:customStyle="1" w:styleId="QuestionNo">
    <w:name w:val="Question_No"/>
    <w:basedOn w:val="RecNo"/>
    <w:next w:val="Questiontitle"/>
    <w:rsid w:val="005845B7"/>
  </w:style>
  <w:style w:type="character" w:customStyle="1" w:styleId="Recdef">
    <w:name w:val="Rec_def"/>
    <w:basedOn w:val="DefaultParagraphFont"/>
    <w:rsid w:val="005845B7"/>
    <w:rPr>
      <w:b/>
    </w:rPr>
  </w:style>
  <w:style w:type="paragraph" w:customStyle="1" w:styleId="Reftext">
    <w:name w:val="Ref_text"/>
    <w:basedOn w:val="Normal"/>
    <w:rsid w:val="005845B7"/>
    <w:pPr>
      <w:ind w:left="794" w:hanging="794"/>
    </w:pPr>
  </w:style>
  <w:style w:type="paragraph" w:customStyle="1" w:styleId="Reftitle">
    <w:name w:val="Ref_title"/>
    <w:basedOn w:val="Normal"/>
    <w:next w:val="Reftext"/>
    <w:rsid w:val="005845B7"/>
    <w:pPr>
      <w:spacing w:before="480"/>
      <w:jc w:val="center"/>
    </w:pPr>
    <w:rPr>
      <w:b/>
    </w:rPr>
  </w:style>
  <w:style w:type="paragraph" w:customStyle="1" w:styleId="RepNo">
    <w:name w:val="Rep_No"/>
    <w:basedOn w:val="RecNo"/>
    <w:next w:val="Reptitle"/>
    <w:rsid w:val="005845B7"/>
  </w:style>
  <w:style w:type="character" w:customStyle="1" w:styleId="Resdef">
    <w:name w:val="Res_def"/>
    <w:basedOn w:val="DefaultParagraphFont"/>
    <w:rsid w:val="005845B7"/>
    <w:rPr>
      <w:rFonts w:ascii="Times New Roman" w:hAnsi="Times New Roman"/>
      <w:b/>
    </w:rPr>
  </w:style>
  <w:style w:type="paragraph" w:customStyle="1" w:styleId="ResNo">
    <w:name w:val="Res_No"/>
    <w:basedOn w:val="RecNo"/>
    <w:next w:val="Restitle"/>
    <w:rsid w:val="005845B7"/>
  </w:style>
  <w:style w:type="paragraph" w:customStyle="1" w:styleId="SectionNo">
    <w:name w:val="Section_No"/>
    <w:basedOn w:val="Normal"/>
    <w:next w:val="Sectiontitle"/>
    <w:rsid w:val="005845B7"/>
    <w:pPr>
      <w:keepNext/>
      <w:keepLines/>
      <w:spacing w:before="480" w:after="80"/>
      <w:jc w:val="center"/>
    </w:pPr>
    <w:rPr>
      <w:caps/>
      <w:sz w:val="28"/>
    </w:rPr>
  </w:style>
  <w:style w:type="paragraph" w:customStyle="1" w:styleId="Sectiontitle">
    <w:name w:val="Section_title"/>
    <w:basedOn w:val="Normal"/>
    <w:next w:val="Normalaftertitle"/>
    <w:rsid w:val="005845B7"/>
    <w:pPr>
      <w:keepNext/>
      <w:keepLines/>
      <w:spacing w:before="480" w:after="280"/>
      <w:jc w:val="center"/>
    </w:pPr>
    <w:rPr>
      <w:b/>
      <w:sz w:val="28"/>
    </w:rPr>
  </w:style>
  <w:style w:type="paragraph" w:customStyle="1" w:styleId="Source">
    <w:name w:val="Source"/>
    <w:basedOn w:val="Normal"/>
    <w:next w:val="Normalaftertitle"/>
    <w:rsid w:val="005845B7"/>
    <w:pPr>
      <w:spacing w:before="840" w:after="200"/>
      <w:jc w:val="center"/>
    </w:pPr>
    <w:rPr>
      <w:b/>
      <w:sz w:val="28"/>
    </w:rPr>
  </w:style>
  <w:style w:type="paragraph" w:customStyle="1" w:styleId="SpecialFooter">
    <w:name w:val="Special Footer"/>
    <w:basedOn w:val="Footer"/>
    <w:rsid w:val="005845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845B7"/>
    <w:rPr>
      <w:b/>
      <w:color w:val="auto"/>
    </w:rPr>
  </w:style>
  <w:style w:type="paragraph" w:customStyle="1" w:styleId="Tablelegend">
    <w:name w:val="Table_legend"/>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845B7"/>
    <w:pPr>
      <w:keepNext/>
      <w:spacing w:before="0" w:after="120"/>
      <w:jc w:val="center"/>
    </w:pPr>
  </w:style>
  <w:style w:type="paragraph" w:customStyle="1" w:styleId="Title1">
    <w:name w:val="Title 1"/>
    <w:basedOn w:val="Source"/>
    <w:next w:val="Title2"/>
    <w:rsid w:val="005845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845B7"/>
  </w:style>
  <w:style w:type="paragraph" w:customStyle="1" w:styleId="Title3">
    <w:name w:val="Title 3"/>
    <w:basedOn w:val="Title2"/>
    <w:next w:val="Title4"/>
    <w:rsid w:val="005845B7"/>
    <w:rPr>
      <w:caps w:val="0"/>
    </w:rPr>
  </w:style>
  <w:style w:type="paragraph" w:customStyle="1" w:styleId="Title4">
    <w:name w:val="Title 4"/>
    <w:basedOn w:val="Title3"/>
    <w:next w:val="Heading1"/>
    <w:rsid w:val="005845B7"/>
    <w:rPr>
      <w:b/>
    </w:rPr>
  </w:style>
  <w:style w:type="paragraph" w:customStyle="1" w:styleId="toc0">
    <w:name w:val="toc 0"/>
    <w:basedOn w:val="Normal"/>
    <w:next w:val="TOC1"/>
    <w:rsid w:val="005845B7"/>
    <w:pPr>
      <w:tabs>
        <w:tab w:val="clear" w:pos="794"/>
        <w:tab w:val="clear" w:pos="1191"/>
        <w:tab w:val="clear" w:pos="1588"/>
        <w:tab w:val="clear" w:pos="1985"/>
        <w:tab w:val="right" w:pos="9639"/>
      </w:tabs>
    </w:pPr>
    <w:rPr>
      <w:b/>
    </w:rPr>
  </w:style>
  <w:style w:type="paragraph" w:styleId="TOC1">
    <w:name w:val="toc 1"/>
    <w:basedOn w:val="Normal"/>
    <w:semiHidden/>
    <w:rsid w:val="005845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845B7"/>
    <w:pPr>
      <w:spacing w:before="80"/>
      <w:ind w:left="1531" w:hanging="851"/>
    </w:pPr>
  </w:style>
  <w:style w:type="paragraph" w:styleId="TOC3">
    <w:name w:val="toc 3"/>
    <w:basedOn w:val="TOC2"/>
    <w:semiHidden/>
    <w:rsid w:val="005845B7"/>
  </w:style>
  <w:style w:type="paragraph" w:styleId="TOC4">
    <w:name w:val="toc 4"/>
    <w:basedOn w:val="TOC3"/>
    <w:semiHidden/>
    <w:rsid w:val="005845B7"/>
  </w:style>
  <w:style w:type="paragraph" w:styleId="TOC5">
    <w:name w:val="toc 5"/>
    <w:basedOn w:val="TOC4"/>
    <w:semiHidden/>
    <w:rsid w:val="005845B7"/>
  </w:style>
  <w:style w:type="paragraph" w:styleId="TOC6">
    <w:name w:val="toc 6"/>
    <w:basedOn w:val="TOC4"/>
    <w:semiHidden/>
    <w:rsid w:val="005845B7"/>
  </w:style>
  <w:style w:type="paragraph" w:styleId="TOC7">
    <w:name w:val="toc 7"/>
    <w:basedOn w:val="TOC4"/>
    <w:semiHidden/>
    <w:rsid w:val="005845B7"/>
  </w:style>
  <w:style w:type="paragraph" w:styleId="TOC8">
    <w:name w:val="toc 8"/>
    <w:basedOn w:val="TOC4"/>
    <w:semiHidden/>
    <w:rsid w:val="005845B7"/>
  </w:style>
  <w:style w:type="paragraph" w:customStyle="1" w:styleId="FiguretitleBR">
    <w:name w:val="Figure_title_BR"/>
    <w:basedOn w:val="TabletitleBR"/>
    <w:next w:val="Figurewithouttitle"/>
    <w:rsid w:val="005845B7"/>
    <w:pPr>
      <w:keepNext w:val="0"/>
      <w:spacing w:after="480"/>
    </w:pPr>
  </w:style>
  <w:style w:type="paragraph" w:customStyle="1" w:styleId="FigureNoBR">
    <w:name w:val="Figure_No_BR"/>
    <w:basedOn w:val="Normal"/>
    <w:next w:val="FiguretitleBR"/>
    <w:rsid w:val="005845B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E7758"/>
    <w:rPr>
      <w:color w:val="0000FF"/>
      <w:u w:val="single"/>
    </w:rPr>
  </w:style>
  <w:style w:type="paragraph" w:customStyle="1" w:styleId="hfbc-2">
    <w:name w:val="hfbc-2"/>
    <w:basedOn w:val="Normal"/>
    <w:rsid w:val="00EE7758"/>
    <w:pPr>
      <w:tabs>
        <w:tab w:val="clear" w:pos="794"/>
        <w:tab w:val="clear" w:pos="1191"/>
        <w:tab w:val="clear" w:pos="1588"/>
        <w:tab w:val="clear" w:pos="1985"/>
        <w:tab w:val="left" w:pos="850"/>
        <w:tab w:val="left" w:pos="6803"/>
        <w:tab w:val="left" w:pos="7087"/>
      </w:tabs>
      <w:spacing w:before="0"/>
      <w:jc w:val="both"/>
    </w:pPr>
    <w:rPr>
      <w:rFonts w:ascii="Univers (WN)" w:eastAsia="Times New Roman" w:hAnsi="Univers (WN)"/>
      <w:sz w:val="20"/>
    </w:rPr>
  </w:style>
  <w:style w:type="paragraph" w:styleId="BodyText3">
    <w:name w:val="Body Text 3"/>
    <w:basedOn w:val="Normal"/>
    <w:rsid w:val="00EE7758"/>
    <w:pPr>
      <w:tabs>
        <w:tab w:val="clear" w:pos="794"/>
        <w:tab w:val="clear" w:pos="1191"/>
        <w:tab w:val="clear" w:pos="1588"/>
        <w:tab w:val="clear" w:pos="1985"/>
      </w:tabs>
      <w:spacing w:before="0"/>
      <w:jc w:val="center"/>
    </w:pPr>
    <w:rPr>
      <w:rFonts w:ascii="Arial" w:eastAsia="Times New Roman" w:hAnsi="Arial"/>
      <w:b/>
      <w:strike/>
      <w:sz w:val="22"/>
    </w:rPr>
  </w:style>
  <w:style w:type="paragraph" w:customStyle="1" w:styleId="BodyText">
    <w:name w:val="BodyText"/>
    <w:basedOn w:val="Normal"/>
    <w:rsid w:val="00EE7758"/>
    <w:pPr>
      <w:tabs>
        <w:tab w:val="clear" w:pos="794"/>
        <w:tab w:val="clear" w:pos="1191"/>
        <w:tab w:val="clear" w:pos="1588"/>
        <w:tab w:val="clear" w:pos="1985"/>
      </w:tabs>
      <w:spacing w:before="240"/>
    </w:pPr>
    <w:rPr>
      <w:rFonts w:ascii="Arial" w:eastAsia="Times New Roman" w:hAnsi="Arial"/>
      <w:sz w:val="22"/>
      <w:lang w:val="en-US"/>
    </w:rPr>
  </w:style>
  <w:style w:type="paragraph" w:customStyle="1" w:styleId="RecTitle0">
    <w:name w:val="Rec_Title"/>
    <w:basedOn w:val="Normal"/>
    <w:next w:val="Heading1"/>
    <w:rsid w:val="00B47863"/>
    <w:pPr>
      <w:keepNext/>
      <w:keepLines/>
      <w:spacing w:before="240"/>
      <w:jc w:val="center"/>
    </w:pPr>
    <w:rPr>
      <w:b/>
      <w:caps/>
      <w:sz w:val="28"/>
      <w:lang w:val="fr-FR"/>
    </w:rPr>
  </w:style>
  <w:style w:type="character" w:styleId="FollowedHyperlink">
    <w:name w:val="FollowedHyperlink"/>
    <w:basedOn w:val="DefaultParagraphFont"/>
    <w:rsid w:val="00147CE4"/>
    <w:rPr>
      <w:color w:val="606420"/>
      <w:u w:val="single"/>
    </w:rPr>
  </w:style>
  <w:style w:type="paragraph" w:customStyle="1" w:styleId="CharChar">
    <w:name w:val="Char Char"/>
    <w:basedOn w:val="Normal"/>
    <w:rsid w:val="00147C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styleId="BalloonText">
    <w:name w:val="Balloon Text"/>
    <w:basedOn w:val="Normal"/>
    <w:link w:val="BalloonTextChar"/>
    <w:rsid w:val="00C35DB1"/>
    <w:pPr>
      <w:spacing w:before="0"/>
    </w:pPr>
    <w:rPr>
      <w:rFonts w:ascii="Tahoma" w:hAnsi="Tahoma" w:cs="Tahoma"/>
      <w:sz w:val="16"/>
      <w:szCs w:val="16"/>
    </w:rPr>
  </w:style>
  <w:style w:type="character" w:customStyle="1" w:styleId="BalloonTextChar">
    <w:name w:val="Balloon Text Char"/>
    <w:basedOn w:val="DefaultParagraphFont"/>
    <w:link w:val="BalloonText"/>
    <w:rsid w:val="00C35DB1"/>
    <w:rPr>
      <w:rFonts w:ascii="Tahoma" w:hAnsi="Tahoma" w:cs="Tahoma"/>
      <w:sz w:val="16"/>
      <w:szCs w:val="16"/>
      <w:lang w:val="en-GB" w:eastAsia="en-US"/>
    </w:rPr>
  </w:style>
  <w:style w:type="paragraph" w:customStyle="1" w:styleId="Reasons">
    <w:name w:val="Reasons"/>
    <w:basedOn w:val="Normal"/>
    <w:qFormat/>
    <w:rsid w:val="00E67A91"/>
    <w:pPr>
      <w:tabs>
        <w:tab w:val="clear" w:pos="794"/>
        <w:tab w:val="clear" w:pos="1191"/>
        <w:tab w:val="left" w:pos="1134"/>
      </w:tabs>
    </w:pPr>
    <w:rPr>
      <w:rFonts w:eastAsia="Times New Roman"/>
    </w:rPr>
  </w:style>
  <w:style w:type="paragraph" w:customStyle="1" w:styleId="AnnexTitle">
    <w:name w:val="Annex_Title"/>
    <w:basedOn w:val="Normal"/>
    <w:next w:val="Normal"/>
    <w:rsid w:val="00EC7D3D"/>
    <w:pPr>
      <w:keepNext/>
      <w:keepLines/>
      <w:overflowPunct/>
      <w:autoSpaceDE/>
      <w:autoSpaceDN/>
      <w:adjustRightInd/>
      <w:spacing w:before="240" w:after="280"/>
      <w:jc w:val="center"/>
      <w:textAlignment w:val="auto"/>
    </w:pPr>
    <w:rPr>
      <w:b/>
    </w:rPr>
  </w:style>
  <w:style w:type="paragraph" w:customStyle="1" w:styleId="Proposal">
    <w:name w:val="Proposal"/>
    <w:basedOn w:val="Normal"/>
    <w:next w:val="Normal"/>
    <w:rsid w:val="00613019"/>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paragraph" w:customStyle="1" w:styleId="TableRef0">
    <w:name w:val="Table_Ref"/>
    <w:basedOn w:val="Normal"/>
    <w:next w:val="Normal"/>
    <w:rsid w:val="00CB6D80"/>
    <w:pPr>
      <w:keepNext/>
      <w:tabs>
        <w:tab w:val="clear" w:pos="794"/>
        <w:tab w:val="clear" w:pos="1191"/>
        <w:tab w:val="clear" w:pos="1588"/>
        <w:tab w:val="clear" w:pos="1985"/>
        <w:tab w:val="left" w:pos="1134"/>
        <w:tab w:val="left" w:pos="1871"/>
        <w:tab w:val="left" w:pos="2268"/>
      </w:tabs>
      <w:spacing w:before="567"/>
      <w:jc w:val="center"/>
    </w:pPr>
    <w:rPr>
      <w:sz w:val="18"/>
    </w:rPr>
  </w:style>
  <w:style w:type="paragraph" w:customStyle="1" w:styleId="a">
    <w:name w:val="批注框文本"/>
    <w:basedOn w:val="Normal"/>
    <w:semiHidden/>
    <w:rsid w:val="00CB6D80"/>
    <w:pPr>
      <w:tabs>
        <w:tab w:val="clear" w:pos="794"/>
        <w:tab w:val="clear" w:pos="1191"/>
        <w:tab w:val="clear" w:pos="1588"/>
        <w:tab w:val="clear" w:pos="1985"/>
        <w:tab w:val="left" w:pos="1134"/>
        <w:tab w:val="left" w:pos="1871"/>
        <w:tab w:val="left" w:pos="2268"/>
      </w:tabs>
      <w:spacing w:before="200"/>
      <w:jc w:val="both"/>
    </w:pPr>
    <w:rPr>
      <w:sz w:val="18"/>
      <w:szCs w:val="18"/>
    </w:rPr>
  </w:style>
  <w:style w:type="paragraph" w:customStyle="1" w:styleId="Table">
    <w:name w:val="Table_#"/>
    <w:basedOn w:val="Normal"/>
    <w:next w:val="Normal"/>
    <w:rsid w:val="00CB6D80"/>
    <w:pPr>
      <w:keepNext/>
      <w:tabs>
        <w:tab w:val="clear" w:pos="794"/>
        <w:tab w:val="clear" w:pos="1191"/>
        <w:tab w:val="clear" w:pos="1588"/>
        <w:tab w:val="clear" w:pos="1985"/>
      </w:tabs>
      <w:spacing w:before="360" w:after="120"/>
      <w:jc w:val="center"/>
    </w:pPr>
    <w:rPr>
      <w:sz w:val="20"/>
    </w:rPr>
  </w:style>
  <w:style w:type="paragraph" w:customStyle="1" w:styleId="TableHead0">
    <w:name w:val="Table_Head"/>
    <w:basedOn w:val="Tabletext"/>
    <w:next w:val="Tabletext"/>
    <w:rsid w:val="006C46D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eastAsia="Times New Roman"/>
      <w:b/>
      <w:bCs/>
      <w:sz w:val="20"/>
    </w:rPr>
  </w:style>
  <w:style w:type="character" w:customStyle="1" w:styleId="enumlev1Char">
    <w:name w:val="enumlev1 Char"/>
    <w:basedOn w:val="DefaultParagraphFont"/>
    <w:link w:val="enumlev1"/>
    <w:uiPriority w:val="99"/>
    <w:rsid w:val="005E3911"/>
    <w:rPr>
      <w:rFonts w:ascii="Times New Roman" w:hAnsi="Times New Roman"/>
      <w:sz w:val="24"/>
      <w:lang w:val="en-GB" w:eastAsia="en-US"/>
    </w:rPr>
  </w:style>
  <w:style w:type="character" w:customStyle="1" w:styleId="Recdef0">
    <w:name w:val="Rec#_def"/>
    <w:basedOn w:val="DefaultParagraphFont"/>
    <w:rsid w:val="00611BB8"/>
  </w:style>
  <w:style w:type="character" w:customStyle="1" w:styleId="Heading1Char">
    <w:name w:val="Heading 1 Char"/>
    <w:basedOn w:val="DefaultParagraphFont"/>
    <w:link w:val="Heading1"/>
    <w:rsid w:val="00611BB8"/>
    <w:rPr>
      <w:rFonts w:ascii="Times New Roman" w:hAnsi="Times New Roman"/>
      <w:b/>
      <w:sz w:val="24"/>
      <w:lang w:val="en-GB" w:eastAsia="en-US"/>
    </w:rPr>
  </w:style>
  <w:style w:type="character" w:customStyle="1" w:styleId="FootnoteTextChar">
    <w:name w:val="Footnote Text Char"/>
    <w:basedOn w:val="DefaultParagraphFont"/>
    <w:link w:val="FootnoteText"/>
    <w:semiHidden/>
    <w:rsid w:val="00D2101B"/>
    <w:rPr>
      <w:rFonts w:ascii="Times New Roman" w:hAnsi="Times New Roman"/>
      <w:sz w:val="24"/>
      <w:lang w:val="en-GB" w:eastAsia="en-US"/>
    </w:rPr>
  </w:style>
  <w:style w:type="character" w:customStyle="1" w:styleId="href">
    <w:name w:val="href"/>
    <w:basedOn w:val="DefaultParagraphFont"/>
    <w:rsid w:val="00D2101B"/>
  </w:style>
  <w:style w:type="paragraph" w:customStyle="1" w:styleId="CharChar0">
    <w:name w:val="Char Char"/>
    <w:basedOn w:val="Normal"/>
    <w:rsid w:val="00692F33"/>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TableText0">
    <w:name w:val="Table_Text"/>
    <w:basedOn w:val="Normal"/>
    <w:link w:val="TableTextChar"/>
    <w:rsid w:val="00AA4F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Legend0">
    <w:name w:val="Table_Legend"/>
    <w:basedOn w:val="TableText0"/>
    <w:next w:val="Normal"/>
    <w:link w:val="TableLegendChar"/>
    <w:rsid w:val="0051377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style>
  <w:style w:type="character" w:customStyle="1" w:styleId="Artref0">
    <w:name w:val="Art#_ref"/>
    <w:basedOn w:val="DefaultParagraphFont"/>
    <w:rsid w:val="0051377B"/>
  </w:style>
  <w:style w:type="paragraph" w:customStyle="1" w:styleId="StyleTableLegendLatin9pt">
    <w:name w:val="Style Table_Legend + (Latin) 9 pt"/>
    <w:basedOn w:val="TableLegend0"/>
    <w:link w:val="StyleTableLegendLatin9ptChar"/>
    <w:rsid w:val="0051377B"/>
  </w:style>
  <w:style w:type="character" w:customStyle="1" w:styleId="TableTextChar">
    <w:name w:val="Table_Text Char"/>
    <w:basedOn w:val="DefaultParagraphFont"/>
    <w:link w:val="TableText0"/>
    <w:rsid w:val="0051377B"/>
    <w:rPr>
      <w:rFonts w:ascii="Times New Roman" w:eastAsia="Times New Roman" w:hAnsi="Times New Roman"/>
      <w:sz w:val="22"/>
      <w:lang w:val="en-GB" w:eastAsia="en-US"/>
    </w:rPr>
  </w:style>
  <w:style w:type="character" w:customStyle="1" w:styleId="TableLegendChar">
    <w:name w:val="Table_Legend Char"/>
    <w:basedOn w:val="TableTextChar"/>
    <w:link w:val="TableLegend0"/>
    <w:rsid w:val="0051377B"/>
    <w:rPr>
      <w:rFonts w:ascii="Times New Roman" w:eastAsia="Times New Roman" w:hAnsi="Times New Roman"/>
      <w:sz w:val="22"/>
      <w:lang w:val="en-GB" w:eastAsia="en-US"/>
    </w:rPr>
  </w:style>
  <w:style w:type="character" w:customStyle="1" w:styleId="StyleTableLegendLatin9ptChar">
    <w:name w:val="Style Table_Legend + (Latin) 9 pt Char"/>
    <w:basedOn w:val="TableLegendChar"/>
    <w:link w:val="StyleTableLegendLatin9pt"/>
    <w:rsid w:val="0051377B"/>
    <w:rPr>
      <w:rFonts w:ascii="Times New Roman" w:eastAsia="Times New Roman" w:hAnsi="Times New Roman"/>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E9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845B7"/>
    <w:pPr>
      <w:keepNext/>
      <w:keepLines/>
      <w:spacing w:before="360"/>
      <w:ind w:left="794" w:hanging="794"/>
      <w:outlineLvl w:val="0"/>
    </w:pPr>
    <w:rPr>
      <w:b/>
    </w:rPr>
  </w:style>
  <w:style w:type="paragraph" w:styleId="Heading2">
    <w:name w:val="heading 2"/>
    <w:basedOn w:val="Heading1"/>
    <w:next w:val="Normal"/>
    <w:qFormat/>
    <w:rsid w:val="005845B7"/>
    <w:pPr>
      <w:spacing w:before="240"/>
      <w:outlineLvl w:val="1"/>
    </w:pPr>
  </w:style>
  <w:style w:type="paragraph" w:styleId="Heading3">
    <w:name w:val="heading 3"/>
    <w:basedOn w:val="Heading1"/>
    <w:next w:val="Normal"/>
    <w:qFormat/>
    <w:rsid w:val="005845B7"/>
    <w:pPr>
      <w:spacing w:before="160"/>
      <w:outlineLvl w:val="2"/>
    </w:pPr>
  </w:style>
  <w:style w:type="paragraph" w:styleId="Heading4">
    <w:name w:val="heading 4"/>
    <w:basedOn w:val="Heading3"/>
    <w:next w:val="Normal"/>
    <w:qFormat/>
    <w:rsid w:val="005845B7"/>
    <w:pPr>
      <w:tabs>
        <w:tab w:val="clear" w:pos="794"/>
        <w:tab w:val="left" w:pos="1021"/>
      </w:tabs>
      <w:ind w:left="1021" w:hanging="1021"/>
      <w:outlineLvl w:val="3"/>
    </w:pPr>
  </w:style>
  <w:style w:type="paragraph" w:styleId="Heading5">
    <w:name w:val="heading 5"/>
    <w:basedOn w:val="Heading4"/>
    <w:next w:val="Normal"/>
    <w:qFormat/>
    <w:rsid w:val="005845B7"/>
    <w:pPr>
      <w:outlineLvl w:val="4"/>
    </w:pPr>
  </w:style>
  <w:style w:type="paragraph" w:styleId="Heading6">
    <w:name w:val="heading 6"/>
    <w:basedOn w:val="Heading4"/>
    <w:next w:val="Normal"/>
    <w:qFormat/>
    <w:rsid w:val="005845B7"/>
    <w:pPr>
      <w:tabs>
        <w:tab w:val="clear" w:pos="1021"/>
        <w:tab w:val="clear" w:pos="1191"/>
      </w:tabs>
      <w:ind w:left="1588" w:hanging="1588"/>
      <w:outlineLvl w:val="5"/>
    </w:pPr>
  </w:style>
  <w:style w:type="paragraph" w:styleId="Heading7">
    <w:name w:val="heading 7"/>
    <w:basedOn w:val="Heading6"/>
    <w:next w:val="Normal"/>
    <w:qFormat/>
    <w:rsid w:val="005845B7"/>
    <w:pPr>
      <w:outlineLvl w:val="6"/>
    </w:pPr>
  </w:style>
  <w:style w:type="paragraph" w:styleId="Heading8">
    <w:name w:val="heading 8"/>
    <w:basedOn w:val="Heading6"/>
    <w:next w:val="Normal"/>
    <w:qFormat/>
    <w:rsid w:val="005845B7"/>
    <w:pPr>
      <w:outlineLvl w:val="7"/>
    </w:pPr>
  </w:style>
  <w:style w:type="paragraph" w:styleId="Heading9">
    <w:name w:val="heading 9"/>
    <w:basedOn w:val="Heading6"/>
    <w:next w:val="Normal"/>
    <w:qFormat/>
    <w:rsid w:val="005845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845B7"/>
    <w:pPr>
      <w:keepNext/>
      <w:keepLines/>
      <w:spacing w:before="480"/>
      <w:jc w:val="center"/>
    </w:pPr>
    <w:rPr>
      <w:b/>
      <w:sz w:val="28"/>
    </w:rPr>
  </w:style>
  <w:style w:type="paragraph" w:customStyle="1" w:styleId="Normalaftertitle">
    <w:name w:val="Normal_after_title"/>
    <w:basedOn w:val="Normal"/>
    <w:next w:val="Normal"/>
    <w:rsid w:val="005845B7"/>
    <w:pPr>
      <w:spacing w:before="360"/>
    </w:pPr>
  </w:style>
  <w:style w:type="paragraph" w:customStyle="1" w:styleId="AppendixNotitle">
    <w:name w:val="Appendix_No &amp; title"/>
    <w:basedOn w:val="AnnexNotitle"/>
    <w:next w:val="Normalaftertitle"/>
    <w:rsid w:val="005845B7"/>
  </w:style>
  <w:style w:type="paragraph" w:customStyle="1" w:styleId="Figure">
    <w:name w:val="Figure"/>
    <w:basedOn w:val="Normal"/>
    <w:next w:val="FigureNotitle"/>
    <w:rsid w:val="005845B7"/>
    <w:pPr>
      <w:keepNext/>
      <w:keepLines/>
      <w:spacing w:before="240" w:after="120"/>
      <w:jc w:val="center"/>
    </w:pPr>
  </w:style>
  <w:style w:type="character" w:customStyle="1" w:styleId="Appdef">
    <w:name w:val="App_def"/>
    <w:basedOn w:val="DefaultParagraphFont"/>
    <w:rsid w:val="005845B7"/>
    <w:rPr>
      <w:rFonts w:ascii="Times New Roman" w:hAnsi="Times New Roman"/>
      <w:b/>
    </w:rPr>
  </w:style>
  <w:style w:type="character" w:customStyle="1" w:styleId="Appref">
    <w:name w:val="App_ref"/>
    <w:basedOn w:val="DefaultParagraphFont"/>
    <w:rsid w:val="005845B7"/>
  </w:style>
  <w:style w:type="paragraph" w:customStyle="1" w:styleId="FigureNotitle">
    <w:name w:val="Figure_No &amp; title"/>
    <w:basedOn w:val="Normal"/>
    <w:next w:val="Normalaftertitle"/>
    <w:rsid w:val="005845B7"/>
    <w:pPr>
      <w:keepLines/>
      <w:spacing w:before="240" w:after="120"/>
      <w:jc w:val="center"/>
    </w:pPr>
    <w:rPr>
      <w:b/>
    </w:rPr>
  </w:style>
  <w:style w:type="paragraph" w:customStyle="1" w:styleId="FooterQP">
    <w:name w:val="Footer_QP"/>
    <w:basedOn w:val="Normal"/>
    <w:rsid w:val="005845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5845B7"/>
    <w:rPr>
      <w:b w:val="0"/>
    </w:rPr>
  </w:style>
  <w:style w:type="paragraph" w:customStyle="1" w:styleId="ASN1">
    <w:name w:val="ASN.1"/>
    <w:basedOn w:val="Normal"/>
    <w:rsid w:val="005845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845B7"/>
    <w:rPr>
      <w:rFonts w:ascii="Times New Roman" w:hAnsi="Times New Roman"/>
      <w:b/>
    </w:rPr>
  </w:style>
  <w:style w:type="paragraph" w:customStyle="1" w:styleId="Artheading">
    <w:name w:val="Art_heading"/>
    <w:basedOn w:val="Normal"/>
    <w:next w:val="Normalaftertitle"/>
    <w:rsid w:val="005845B7"/>
    <w:pPr>
      <w:spacing w:before="480"/>
      <w:jc w:val="center"/>
    </w:pPr>
    <w:rPr>
      <w:b/>
      <w:sz w:val="28"/>
    </w:rPr>
  </w:style>
  <w:style w:type="paragraph" w:customStyle="1" w:styleId="ArtNo">
    <w:name w:val="Art_No"/>
    <w:basedOn w:val="Normal"/>
    <w:next w:val="Arttitle"/>
    <w:rsid w:val="005845B7"/>
    <w:pPr>
      <w:keepNext/>
      <w:keepLines/>
      <w:spacing w:before="480"/>
      <w:jc w:val="center"/>
    </w:pPr>
    <w:rPr>
      <w:caps/>
      <w:sz w:val="28"/>
    </w:rPr>
  </w:style>
  <w:style w:type="paragraph" w:customStyle="1" w:styleId="Arttitle">
    <w:name w:val="Art_title"/>
    <w:basedOn w:val="Normal"/>
    <w:next w:val="Normalaftertitle"/>
    <w:rsid w:val="005845B7"/>
    <w:pPr>
      <w:keepNext/>
      <w:keepLines/>
      <w:spacing w:before="240"/>
      <w:jc w:val="center"/>
    </w:pPr>
    <w:rPr>
      <w:b/>
      <w:sz w:val="28"/>
    </w:rPr>
  </w:style>
  <w:style w:type="character" w:customStyle="1" w:styleId="Artref">
    <w:name w:val="Art_ref"/>
    <w:basedOn w:val="DefaultParagraphFont"/>
    <w:rsid w:val="005845B7"/>
  </w:style>
  <w:style w:type="paragraph" w:customStyle="1" w:styleId="Call">
    <w:name w:val="Call"/>
    <w:basedOn w:val="Normal"/>
    <w:next w:val="Normal"/>
    <w:rsid w:val="005845B7"/>
    <w:pPr>
      <w:keepNext/>
      <w:keepLines/>
      <w:spacing w:before="160"/>
      <w:ind w:left="794"/>
    </w:pPr>
    <w:rPr>
      <w:i/>
    </w:rPr>
  </w:style>
  <w:style w:type="paragraph" w:customStyle="1" w:styleId="ChapNo">
    <w:name w:val="Chap_No"/>
    <w:basedOn w:val="Normal"/>
    <w:next w:val="Chaptitle"/>
    <w:rsid w:val="005845B7"/>
    <w:pPr>
      <w:keepNext/>
      <w:keepLines/>
      <w:spacing w:before="480"/>
      <w:jc w:val="center"/>
    </w:pPr>
    <w:rPr>
      <w:b/>
      <w:caps/>
      <w:sz w:val="28"/>
    </w:rPr>
  </w:style>
  <w:style w:type="paragraph" w:customStyle="1" w:styleId="Chaptitle">
    <w:name w:val="Chap_title"/>
    <w:basedOn w:val="Normal"/>
    <w:next w:val="Normalaftertitle"/>
    <w:rsid w:val="005845B7"/>
    <w:pPr>
      <w:keepNext/>
      <w:keepLines/>
      <w:spacing w:before="240"/>
      <w:jc w:val="center"/>
    </w:pPr>
    <w:rPr>
      <w:b/>
      <w:sz w:val="28"/>
    </w:rPr>
  </w:style>
  <w:style w:type="character" w:styleId="PageNumber">
    <w:name w:val="page number"/>
    <w:basedOn w:val="DefaultParagraphFont"/>
    <w:rsid w:val="005845B7"/>
  </w:style>
  <w:style w:type="paragraph" w:customStyle="1" w:styleId="RecNoBR">
    <w:name w:val="Rec_No_BR"/>
    <w:basedOn w:val="Normal"/>
    <w:next w:val="Rectitle"/>
    <w:rsid w:val="005845B7"/>
    <w:pPr>
      <w:keepNext/>
      <w:keepLines/>
      <w:spacing w:before="480"/>
      <w:jc w:val="center"/>
    </w:pPr>
    <w:rPr>
      <w:caps/>
      <w:sz w:val="28"/>
    </w:rPr>
  </w:style>
  <w:style w:type="paragraph" w:customStyle="1" w:styleId="Rectitle">
    <w:name w:val="Rec_title"/>
    <w:basedOn w:val="Normal"/>
    <w:next w:val="Normalaftertitle"/>
    <w:rsid w:val="005845B7"/>
    <w:pPr>
      <w:keepNext/>
      <w:keepLines/>
      <w:spacing w:before="360"/>
      <w:jc w:val="center"/>
    </w:pPr>
    <w:rPr>
      <w:b/>
      <w:sz w:val="28"/>
    </w:rPr>
  </w:style>
  <w:style w:type="paragraph" w:customStyle="1" w:styleId="QuestionNoBR">
    <w:name w:val="Question_No_BR"/>
    <w:basedOn w:val="RecNoBR"/>
    <w:next w:val="Questiontitle"/>
    <w:rsid w:val="005845B7"/>
  </w:style>
  <w:style w:type="paragraph" w:customStyle="1" w:styleId="Questiontitle">
    <w:name w:val="Question_title"/>
    <w:basedOn w:val="Rectitle"/>
    <w:next w:val="Questionref"/>
    <w:rsid w:val="005845B7"/>
  </w:style>
  <w:style w:type="paragraph" w:customStyle="1" w:styleId="Questionref">
    <w:name w:val="Question_ref"/>
    <w:basedOn w:val="Recref"/>
    <w:next w:val="Questiondate"/>
    <w:rsid w:val="005845B7"/>
  </w:style>
  <w:style w:type="paragraph" w:customStyle="1" w:styleId="Recref">
    <w:name w:val="Rec_ref"/>
    <w:basedOn w:val="Normal"/>
    <w:next w:val="Recdate"/>
    <w:rsid w:val="005845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845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845B7"/>
  </w:style>
  <w:style w:type="character" w:styleId="EndnoteReference">
    <w:name w:val="endnote reference"/>
    <w:basedOn w:val="DefaultParagraphFont"/>
    <w:semiHidden/>
    <w:rsid w:val="005845B7"/>
    <w:rPr>
      <w:vertAlign w:val="superscript"/>
    </w:rPr>
  </w:style>
  <w:style w:type="paragraph" w:customStyle="1" w:styleId="enumlev1">
    <w:name w:val="enumlev1"/>
    <w:basedOn w:val="Normal"/>
    <w:link w:val="enumlev1Char"/>
    <w:uiPriority w:val="99"/>
    <w:rsid w:val="005845B7"/>
    <w:pPr>
      <w:spacing w:before="80"/>
      <w:ind w:left="794" w:hanging="794"/>
    </w:pPr>
  </w:style>
  <w:style w:type="paragraph" w:customStyle="1" w:styleId="enumlev2">
    <w:name w:val="enumlev2"/>
    <w:basedOn w:val="enumlev1"/>
    <w:rsid w:val="005845B7"/>
    <w:pPr>
      <w:ind w:left="1191" w:hanging="397"/>
    </w:pPr>
  </w:style>
  <w:style w:type="paragraph" w:customStyle="1" w:styleId="enumlev3">
    <w:name w:val="enumlev3"/>
    <w:basedOn w:val="enumlev2"/>
    <w:rsid w:val="005845B7"/>
    <w:pPr>
      <w:ind w:left="1588"/>
    </w:pPr>
  </w:style>
  <w:style w:type="paragraph" w:customStyle="1" w:styleId="Equation">
    <w:name w:val="Equation"/>
    <w:basedOn w:val="Normal"/>
    <w:rsid w:val="005845B7"/>
    <w:pPr>
      <w:tabs>
        <w:tab w:val="clear" w:pos="1191"/>
        <w:tab w:val="clear" w:pos="1588"/>
        <w:tab w:val="clear" w:pos="1985"/>
        <w:tab w:val="center" w:pos="4820"/>
        <w:tab w:val="right" w:pos="9639"/>
      </w:tabs>
    </w:pPr>
  </w:style>
  <w:style w:type="paragraph" w:customStyle="1" w:styleId="Equationlegend">
    <w:name w:val="Equation_legend"/>
    <w:basedOn w:val="Normal"/>
    <w:rsid w:val="005845B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845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5845B7"/>
  </w:style>
  <w:style w:type="paragraph" w:customStyle="1" w:styleId="Reptitle">
    <w:name w:val="Rep_title"/>
    <w:basedOn w:val="Rectitle"/>
    <w:next w:val="Repref"/>
    <w:rsid w:val="005845B7"/>
  </w:style>
  <w:style w:type="paragraph" w:customStyle="1" w:styleId="Repref">
    <w:name w:val="Rep_ref"/>
    <w:basedOn w:val="Recref"/>
    <w:next w:val="Repdate"/>
    <w:rsid w:val="005845B7"/>
  </w:style>
  <w:style w:type="paragraph" w:customStyle="1" w:styleId="Repdate">
    <w:name w:val="Rep_date"/>
    <w:basedOn w:val="Recdate"/>
    <w:next w:val="Normalaftertitle"/>
    <w:rsid w:val="005845B7"/>
  </w:style>
  <w:style w:type="paragraph" w:customStyle="1" w:styleId="ResNoBR">
    <w:name w:val="Res_No_BR"/>
    <w:basedOn w:val="RecNoBR"/>
    <w:next w:val="Restitle"/>
    <w:rsid w:val="005845B7"/>
  </w:style>
  <w:style w:type="paragraph" w:customStyle="1" w:styleId="Restitle">
    <w:name w:val="Res_title"/>
    <w:basedOn w:val="Rectitle"/>
    <w:next w:val="Resref"/>
    <w:rsid w:val="005845B7"/>
  </w:style>
  <w:style w:type="paragraph" w:customStyle="1" w:styleId="Resref">
    <w:name w:val="Res_ref"/>
    <w:basedOn w:val="Recref"/>
    <w:next w:val="Resdate"/>
    <w:rsid w:val="005845B7"/>
  </w:style>
  <w:style w:type="paragraph" w:customStyle="1" w:styleId="Resdate">
    <w:name w:val="Res_date"/>
    <w:basedOn w:val="Recdate"/>
    <w:next w:val="Normalaftertitle"/>
    <w:rsid w:val="005845B7"/>
  </w:style>
  <w:style w:type="paragraph" w:customStyle="1" w:styleId="Section1">
    <w:name w:val="Section_1"/>
    <w:basedOn w:val="Normal"/>
    <w:next w:val="Normal"/>
    <w:rsid w:val="005845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5845B7"/>
    <w:pPr>
      <w:keepLines/>
      <w:spacing w:before="240" w:after="120"/>
      <w:jc w:val="center"/>
    </w:pPr>
  </w:style>
  <w:style w:type="paragraph" w:styleId="Footer">
    <w:name w:val="footer"/>
    <w:basedOn w:val="Normal"/>
    <w:rsid w:val="005845B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845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5845B7"/>
    <w:rPr>
      <w:position w:val="6"/>
      <w:sz w:val="18"/>
    </w:rPr>
  </w:style>
  <w:style w:type="paragraph" w:styleId="FootnoteText">
    <w:name w:val="footnote text"/>
    <w:basedOn w:val="Note"/>
    <w:link w:val="FootnoteTextChar"/>
    <w:semiHidden/>
    <w:rsid w:val="005845B7"/>
    <w:pPr>
      <w:keepLines/>
      <w:tabs>
        <w:tab w:val="left" w:pos="255"/>
      </w:tabs>
      <w:ind w:left="255" w:hanging="255"/>
    </w:pPr>
  </w:style>
  <w:style w:type="paragraph" w:customStyle="1" w:styleId="Note">
    <w:name w:val="Note"/>
    <w:basedOn w:val="Normal"/>
    <w:rsid w:val="005845B7"/>
    <w:pPr>
      <w:spacing w:before="80"/>
    </w:pPr>
  </w:style>
  <w:style w:type="paragraph" w:styleId="Header">
    <w:name w:val="header"/>
    <w:basedOn w:val="Normal"/>
    <w:rsid w:val="005845B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845B7"/>
    <w:pPr>
      <w:keepNext/>
      <w:spacing w:before="160"/>
    </w:pPr>
    <w:rPr>
      <w:b/>
    </w:rPr>
  </w:style>
  <w:style w:type="paragraph" w:customStyle="1" w:styleId="Headingi">
    <w:name w:val="Heading_i"/>
    <w:basedOn w:val="Normal"/>
    <w:next w:val="Normal"/>
    <w:rsid w:val="005845B7"/>
    <w:pPr>
      <w:keepNext/>
      <w:spacing w:before="160"/>
    </w:pPr>
    <w:rPr>
      <w:i/>
    </w:rPr>
  </w:style>
  <w:style w:type="paragraph" w:styleId="Index1">
    <w:name w:val="index 1"/>
    <w:basedOn w:val="Normal"/>
    <w:next w:val="Normal"/>
    <w:semiHidden/>
    <w:rsid w:val="005845B7"/>
  </w:style>
  <w:style w:type="paragraph" w:styleId="Index2">
    <w:name w:val="index 2"/>
    <w:basedOn w:val="Normal"/>
    <w:next w:val="Normal"/>
    <w:semiHidden/>
    <w:rsid w:val="005845B7"/>
    <w:pPr>
      <w:ind w:left="283"/>
    </w:pPr>
  </w:style>
  <w:style w:type="paragraph" w:styleId="Index3">
    <w:name w:val="index 3"/>
    <w:basedOn w:val="Normal"/>
    <w:next w:val="Normal"/>
    <w:semiHidden/>
    <w:rsid w:val="005845B7"/>
    <w:pPr>
      <w:ind w:left="566"/>
    </w:pPr>
  </w:style>
  <w:style w:type="paragraph" w:customStyle="1" w:styleId="Section2">
    <w:name w:val="Section_2"/>
    <w:basedOn w:val="Normal"/>
    <w:next w:val="Normal"/>
    <w:rsid w:val="005845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845B7"/>
    <w:pPr>
      <w:keepNext/>
      <w:keepLines/>
      <w:spacing w:before="360" w:after="120"/>
      <w:jc w:val="center"/>
    </w:pPr>
    <w:rPr>
      <w:b/>
    </w:rPr>
  </w:style>
  <w:style w:type="paragraph" w:customStyle="1" w:styleId="Tablehead">
    <w:name w:val="Table_head"/>
    <w:basedOn w:val="Normal"/>
    <w:next w:val="Tabletext"/>
    <w:rsid w:val="005845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5845B7"/>
    <w:pPr>
      <w:keepNext/>
      <w:spacing w:before="560" w:after="120"/>
      <w:jc w:val="center"/>
    </w:pPr>
    <w:rPr>
      <w:caps/>
    </w:rPr>
  </w:style>
  <w:style w:type="paragraph" w:customStyle="1" w:styleId="TabletitleBR">
    <w:name w:val="Table_title_BR"/>
    <w:basedOn w:val="Normal"/>
    <w:next w:val="Tablehead"/>
    <w:rsid w:val="005845B7"/>
    <w:pPr>
      <w:keepNext/>
      <w:keepLines/>
      <w:spacing w:before="0" w:after="120"/>
      <w:jc w:val="center"/>
    </w:pPr>
    <w:rPr>
      <w:b/>
    </w:rPr>
  </w:style>
  <w:style w:type="paragraph" w:customStyle="1" w:styleId="Infodoc">
    <w:name w:val="Infodoc"/>
    <w:basedOn w:val="Normal"/>
    <w:rsid w:val="005845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5845B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845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5845B7"/>
    <w:pPr>
      <w:keepNext/>
      <w:keepLines/>
      <w:spacing w:before="480" w:after="80"/>
      <w:jc w:val="center"/>
    </w:pPr>
    <w:rPr>
      <w:caps/>
      <w:sz w:val="28"/>
    </w:rPr>
  </w:style>
  <w:style w:type="paragraph" w:customStyle="1" w:styleId="Partref">
    <w:name w:val="Part_ref"/>
    <w:basedOn w:val="Normal"/>
    <w:next w:val="Parttitle"/>
    <w:rsid w:val="005845B7"/>
    <w:pPr>
      <w:keepNext/>
      <w:keepLines/>
      <w:spacing w:before="280"/>
      <w:jc w:val="center"/>
    </w:pPr>
  </w:style>
  <w:style w:type="paragraph" w:customStyle="1" w:styleId="Parttitle">
    <w:name w:val="Part_title"/>
    <w:basedOn w:val="Normal"/>
    <w:next w:val="Normalaftertitle"/>
    <w:rsid w:val="005845B7"/>
    <w:pPr>
      <w:keepNext/>
      <w:keepLines/>
      <w:spacing w:before="240" w:after="280"/>
      <w:jc w:val="center"/>
    </w:pPr>
    <w:rPr>
      <w:b/>
      <w:sz w:val="28"/>
    </w:rPr>
  </w:style>
  <w:style w:type="paragraph" w:customStyle="1" w:styleId="RecNo">
    <w:name w:val="Rec_No"/>
    <w:basedOn w:val="Normal"/>
    <w:next w:val="Rectitle"/>
    <w:rsid w:val="005845B7"/>
    <w:pPr>
      <w:keepNext/>
      <w:keepLines/>
      <w:spacing w:before="0"/>
    </w:pPr>
    <w:rPr>
      <w:b/>
      <w:sz w:val="28"/>
    </w:rPr>
  </w:style>
  <w:style w:type="paragraph" w:customStyle="1" w:styleId="QuestionNo">
    <w:name w:val="Question_No"/>
    <w:basedOn w:val="RecNo"/>
    <w:next w:val="Questiontitle"/>
    <w:rsid w:val="005845B7"/>
  </w:style>
  <w:style w:type="character" w:customStyle="1" w:styleId="Recdef">
    <w:name w:val="Rec_def"/>
    <w:basedOn w:val="DefaultParagraphFont"/>
    <w:rsid w:val="005845B7"/>
    <w:rPr>
      <w:b/>
    </w:rPr>
  </w:style>
  <w:style w:type="paragraph" w:customStyle="1" w:styleId="Reftext">
    <w:name w:val="Ref_text"/>
    <w:basedOn w:val="Normal"/>
    <w:rsid w:val="005845B7"/>
    <w:pPr>
      <w:ind w:left="794" w:hanging="794"/>
    </w:pPr>
  </w:style>
  <w:style w:type="paragraph" w:customStyle="1" w:styleId="Reftitle">
    <w:name w:val="Ref_title"/>
    <w:basedOn w:val="Normal"/>
    <w:next w:val="Reftext"/>
    <w:rsid w:val="005845B7"/>
    <w:pPr>
      <w:spacing w:before="480"/>
      <w:jc w:val="center"/>
    </w:pPr>
    <w:rPr>
      <w:b/>
    </w:rPr>
  </w:style>
  <w:style w:type="paragraph" w:customStyle="1" w:styleId="RepNo">
    <w:name w:val="Rep_No"/>
    <w:basedOn w:val="RecNo"/>
    <w:next w:val="Reptitle"/>
    <w:rsid w:val="005845B7"/>
  </w:style>
  <w:style w:type="character" w:customStyle="1" w:styleId="Resdef">
    <w:name w:val="Res_def"/>
    <w:basedOn w:val="DefaultParagraphFont"/>
    <w:rsid w:val="005845B7"/>
    <w:rPr>
      <w:rFonts w:ascii="Times New Roman" w:hAnsi="Times New Roman"/>
      <w:b/>
    </w:rPr>
  </w:style>
  <w:style w:type="paragraph" w:customStyle="1" w:styleId="ResNo">
    <w:name w:val="Res_No"/>
    <w:basedOn w:val="RecNo"/>
    <w:next w:val="Restitle"/>
    <w:rsid w:val="005845B7"/>
  </w:style>
  <w:style w:type="paragraph" w:customStyle="1" w:styleId="SectionNo">
    <w:name w:val="Section_No"/>
    <w:basedOn w:val="Normal"/>
    <w:next w:val="Sectiontitle"/>
    <w:rsid w:val="005845B7"/>
    <w:pPr>
      <w:keepNext/>
      <w:keepLines/>
      <w:spacing w:before="480" w:after="80"/>
      <w:jc w:val="center"/>
    </w:pPr>
    <w:rPr>
      <w:caps/>
      <w:sz w:val="28"/>
    </w:rPr>
  </w:style>
  <w:style w:type="paragraph" w:customStyle="1" w:styleId="Sectiontitle">
    <w:name w:val="Section_title"/>
    <w:basedOn w:val="Normal"/>
    <w:next w:val="Normalaftertitle"/>
    <w:rsid w:val="005845B7"/>
    <w:pPr>
      <w:keepNext/>
      <w:keepLines/>
      <w:spacing w:before="480" w:after="280"/>
      <w:jc w:val="center"/>
    </w:pPr>
    <w:rPr>
      <w:b/>
      <w:sz w:val="28"/>
    </w:rPr>
  </w:style>
  <w:style w:type="paragraph" w:customStyle="1" w:styleId="Source">
    <w:name w:val="Source"/>
    <w:basedOn w:val="Normal"/>
    <w:next w:val="Normalaftertitle"/>
    <w:rsid w:val="005845B7"/>
    <w:pPr>
      <w:spacing w:before="840" w:after="200"/>
      <w:jc w:val="center"/>
    </w:pPr>
    <w:rPr>
      <w:b/>
      <w:sz w:val="28"/>
    </w:rPr>
  </w:style>
  <w:style w:type="paragraph" w:customStyle="1" w:styleId="SpecialFooter">
    <w:name w:val="Special Footer"/>
    <w:basedOn w:val="Footer"/>
    <w:rsid w:val="005845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845B7"/>
    <w:rPr>
      <w:b/>
      <w:color w:val="auto"/>
    </w:rPr>
  </w:style>
  <w:style w:type="paragraph" w:customStyle="1" w:styleId="Tablelegend">
    <w:name w:val="Table_legend"/>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845B7"/>
    <w:pPr>
      <w:keepNext/>
      <w:spacing w:before="0" w:after="120"/>
      <w:jc w:val="center"/>
    </w:pPr>
  </w:style>
  <w:style w:type="paragraph" w:customStyle="1" w:styleId="Title1">
    <w:name w:val="Title 1"/>
    <w:basedOn w:val="Source"/>
    <w:next w:val="Title2"/>
    <w:rsid w:val="005845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845B7"/>
  </w:style>
  <w:style w:type="paragraph" w:customStyle="1" w:styleId="Title3">
    <w:name w:val="Title 3"/>
    <w:basedOn w:val="Title2"/>
    <w:next w:val="Title4"/>
    <w:rsid w:val="005845B7"/>
    <w:rPr>
      <w:caps w:val="0"/>
    </w:rPr>
  </w:style>
  <w:style w:type="paragraph" w:customStyle="1" w:styleId="Title4">
    <w:name w:val="Title 4"/>
    <w:basedOn w:val="Title3"/>
    <w:next w:val="Heading1"/>
    <w:rsid w:val="005845B7"/>
    <w:rPr>
      <w:b/>
    </w:rPr>
  </w:style>
  <w:style w:type="paragraph" w:customStyle="1" w:styleId="toc0">
    <w:name w:val="toc 0"/>
    <w:basedOn w:val="Normal"/>
    <w:next w:val="TOC1"/>
    <w:rsid w:val="005845B7"/>
    <w:pPr>
      <w:tabs>
        <w:tab w:val="clear" w:pos="794"/>
        <w:tab w:val="clear" w:pos="1191"/>
        <w:tab w:val="clear" w:pos="1588"/>
        <w:tab w:val="clear" w:pos="1985"/>
        <w:tab w:val="right" w:pos="9639"/>
      </w:tabs>
    </w:pPr>
    <w:rPr>
      <w:b/>
    </w:rPr>
  </w:style>
  <w:style w:type="paragraph" w:styleId="TOC1">
    <w:name w:val="toc 1"/>
    <w:basedOn w:val="Normal"/>
    <w:semiHidden/>
    <w:rsid w:val="005845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845B7"/>
    <w:pPr>
      <w:spacing w:before="80"/>
      <w:ind w:left="1531" w:hanging="851"/>
    </w:pPr>
  </w:style>
  <w:style w:type="paragraph" w:styleId="TOC3">
    <w:name w:val="toc 3"/>
    <w:basedOn w:val="TOC2"/>
    <w:semiHidden/>
    <w:rsid w:val="005845B7"/>
  </w:style>
  <w:style w:type="paragraph" w:styleId="TOC4">
    <w:name w:val="toc 4"/>
    <w:basedOn w:val="TOC3"/>
    <w:semiHidden/>
    <w:rsid w:val="005845B7"/>
  </w:style>
  <w:style w:type="paragraph" w:styleId="TOC5">
    <w:name w:val="toc 5"/>
    <w:basedOn w:val="TOC4"/>
    <w:semiHidden/>
    <w:rsid w:val="005845B7"/>
  </w:style>
  <w:style w:type="paragraph" w:styleId="TOC6">
    <w:name w:val="toc 6"/>
    <w:basedOn w:val="TOC4"/>
    <w:semiHidden/>
    <w:rsid w:val="005845B7"/>
  </w:style>
  <w:style w:type="paragraph" w:styleId="TOC7">
    <w:name w:val="toc 7"/>
    <w:basedOn w:val="TOC4"/>
    <w:semiHidden/>
    <w:rsid w:val="005845B7"/>
  </w:style>
  <w:style w:type="paragraph" w:styleId="TOC8">
    <w:name w:val="toc 8"/>
    <w:basedOn w:val="TOC4"/>
    <w:semiHidden/>
    <w:rsid w:val="005845B7"/>
  </w:style>
  <w:style w:type="paragraph" w:customStyle="1" w:styleId="FiguretitleBR">
    <w:name w:val="Figure_title_BR"/>
    <w:basedOn w:val="TabletitleBR"/>
    <w:next w:val="Figurewithouttitle"/>
    <w:rsid w:val="005845B7"/>
    <w:pPr>
      <w:keepNext w:val="0"/>
      <w:spacing w:after="480"/>
    </w:pPr>
  </w:style>
  <w:style w:type="paragraph" w:customStyle="1" w:styleId="FigureNoBR">
    <w:name w:val="Figure_No_BR"/>
    <w:basedOn w:val="Normal"/>
    <w:next w:val="FiguretitleBR"/>
    <w:rsid w:val="005845B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E7758"/>
    <w:rPr>
      <w:color w:val="0000FF"/>
      <w:u w:val="single"/>
    </w:rPr>
  </w:style>
  <w:style w:type="paragraph" w:customStyle="1" w:styleId="hfbc-2">
    <w:name w:val="hfbc-2"/>
    <w:basedOn w:val="Normal"/>
    <w:rsid w:val="00EE7758"/>
    <w:pPr>
      <w:tabs>
        <w:tab w:val="clear" w:pos="794"/>
        <w:tab w:val="clear" w:pos="1191"/>
        <w:tab w:val="clear" w:pos="1588"/>
        <w:tab w:val="clear" w:pos="1985"/>
        <w:tab w:val="left" w:pos="850"/>
        <w:tab w:val="left" w:pos="6803"/>
        <w:tab w:val="left" w:pos="7087"/>
      </w:tabs>
      <w:spacing w:before="0"/>
      <w:jc w:val="both"/>
    </w:pPr>
    <w:rPr>
      <w:rFonts w:ascii="Univers (WN)" w:eastAsia="Times New Roman" w:hAnsi="Univers (WN)"/>
      <w:sz w:val="20"/>
    </w:rPr>
  </w:style>
  <w:style w:type="paragraph" w:styleId="BodyText3">
    <w:name w:val="Body Text 3"/>
    <w:basedOn w:val="Normal"/>
    <w:rsid w:val="00EE7758"/>
    <w:pPr>
      <w:tabs>
        <w:tab w:val="clear" w:pos="794"/>
        <w:tab w:val="clear" w:pos="1191"/>
        <w:tab w:val="clear" w:pos="1588"/>
        <w:tab w:val="clear" w:pos="1985"/>
      </w:tabs>
      <w:spacing w:before="0"/>
      <w:jc w:val="center"/>
    </w:pPr>
    <w:rPr>
      <w:rFonts w:ascii="Arial" w:eastAsia="Times New Roman" w:hAnsi="Arial"/>
      <w:b/>
      <w:strike/>
      <w:sz w:val="22"/>
    </w:rPr>
  </w:style>
  <w:style w:type="paragraph" w:customStyle="1" w:styleId="BodyText">
    <w:name w:val="BodyText"/>
    <w:basedOn w:val="Normal"/>
    <w:rsid w:val="00EE7758"/>
    <w:pPr>
      <w:tabs>
        <w:tab w:val="clear" w:pos="794"/>
        <w:tab w:val="clear" w:pos="1191"/>
        <w:tab w:val="clear" w:pos="1588"/>
        <w:tab w:val="clear" w:pos="1985"/>
      </w:tabs>
      <w:spacing w:before="240"/>
    </w:pPr>
    <w:rPr>
      <w:rFonts w:ascii="Arial" w:eastAsia="Times New Roman" w:hAnsi="Arial"/>
      <w:sz w:val="22"/>
      <w:lang w:val="en-US"/>
    </w:rPr>
  </w:style>
  <w:style w:type="paragraph" w:customStyle="1" w:styleId="RecTitle0">
    <w:name w:val="Rec_Title"/>
    <w:basedOn w:val="Normal"/>
    <w:next w:val="Heading1"/>
    <w:rsid w:val="00B47863"/>
    <w:pPr>
      <w:keepNext/>
      <w:keepLines/>
      <w:spacing w:before="240"/>
      <w:jc w:val="center"/>
    </w:pPr>
    <w:rPr>
      <w:b/>
      <w:caps/>
      <w:sz w:val="28"/>
      <w:lang w:val="fr-FR"/>
    </w:rPr>
  </w:style>
  <w:style w:type="character" w:styleId="FollowedHyperlink">
    <w:name w:val="FollowedHyperlink"/>
    <w:basedOn w:val="DefaultParagraphFont"/>
    <w:rsid w:val="00147CE4"/>
    <w:rPr>
      <w:color w:val="606420"/>
      <w:u w:val="single"/>
    </w:rPr>
  </w:style>
  <w:style w:type="paragraph" w:customStyle="1" w:styleId="CharChar">
    <w:name w:val="Char Char"/>
    <w:basedOn w:val="Normal"/>
    <w:rsid w:val="00147C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styleId="BalloonText">
    <w:name w:val="Balloon Text"/>
    <w:basedOn w:val="Normal"/>
    <w:link w:val="BalloonTextChar"/>
    <w:rsid w:val="00C35DB1"/>
    <w:pPr>
      <w:spacing w:before="0"/>
    </w:pPr>
    <w:rPr>
      <w:rFonts w:ascii="Tahoma" w:hAnsi="Tahoma" w:cs="Tahoma"/>
      <w:sz w:val="16"/>
      <w:szCs w:val="16"/>
    </w:rPr>
  </w:style>
  <w:style w:type="character" w:customStyle="1" w:styleId="BalloonTextChar">
    <w:name w:val="Balloon Text Char"/>
    <w:basedOn w:val="DefaultParagraphFont"/>
    <w:link w:val="BalloonText"/>
    <w:rsid w:val="00C35DB1"/>
    <w:rPr>
      <w:rFonts w:ascii="Tahoma" w:hAnsi="Tahoma" w:cs="Tahoma"/>
      <w:sz w:val="16"/>
      <w:szCs w:val="16"/>
      <w:lang w:val="en-GB" w:eastAsia="en-US"/>
    </w:rPr>
  </w:style>
  <w:style w:type="paragraph" w:customStyle="1" w:styleId="Reasons">
    <w:name w:val="Reasons"/>
    <w:basedOn w:val="Normal"/>
    <w:qFormat/>
    <w:rsid w:val="00E67A91"/>
    <w:pPr>
      <w:tabs>
        <w:tab w:val="clear" w:pos="794"/>
        <w:tab w:val="clear" w:pos="1191"/>
        <w:tab w:val="left" w:pos="1134"/>
      </w:tabs>
    </w:pPr>
    <w:rPr>
      <w:rFonts w:eastAsia="Times New Roman"/>
    </w:rPr>
  </w:style>
  <w:style w:type="paragraph" w:customStyle="1" w:styleId="AnnexTitle">
    <w:name w:val="Annex_Title"/>
    <w:basedOn w:val="Normal"/>
    <w:next w:val="Normal"/>
    <w:rsid w:val="00EC7D3D"/>
    <w:pPr>
      <w:keepNext/>
      <w:keepLines/>
      <w:overflowPunct/>
      <w:autoSpaceDE/>
      <w:autoSpaceDN/>
      <w:adjustRightInd/>
      <w:spacing w:before="240" w:after="280"/>
      <w:jc w:val="center"/>
      <w:textAlignment w:val="auto"/>
    </w:pPr>
    <w:rPr>
      <w:b/>
    </w:rPr>
  </w:style>
  <w:style w:type="paragraph" w:customStyle="1" w:styleId="Proposal">
    <w:name w:val="Proposal"/>
    <w:basedOn w:val="Normal"/>
    <w:next w:val="Normal"/>
    <w:rsid w:val="00613019"/>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paragraph" w:customStyle="1" w:styleId="TableRef0">
    <w:name w:val="Table_Ref"/>
    <w:basedOn w:val="Normal"/>
    <w:next w:val="Normal"/>
    <w:rsid w:val="00CB6D80"/>
    <w:pPr>
      <w:keepNext/>
      <w:tabs>
        <w:tab w:val="clear" w:pos="794"/>
        <w:tab w:val="clear" w:pos="1191"/>
        <w:tab w:val="clear" w:pos="1588"/>
        <w:tab w:val="clear" w:pos="1985"/>
        <w:tab w:val="left" w:pos="1134"/>
        <w:tab w:val="left" w:pos="1871"/>
        <w:tab w:val="left" w:pos="2268"/>
      </w:tabs>
      <w:spacing w:before="567"/>
      <w:jc w:val="center"/>
    </w:pPr>
    <w:rPr>
      <w:sz w:val="18"/>
    </w:rPr>
  </w:style>
  <w:style w:type="paragraph" w:customStyle="1" w:styleId="a">
    <w:name w:val="批注框文本"/>
    <w:basedOn w:val="Normal"/>
    <w:semiHidden/>
    <w:rsid w:val="00CB6D80"/>
    <w:pPr>
      <w:tabs>
        <w:tab w:val="clear" w:pos="794"/>
        <w:tab w:val="clear" w:pos="1191"/>
        <w:tab w:val="clear" w:pos="1588"/>
        <w:tab w:val="clear" w:pos="1985"/>
        <w:tab w:val="left" w:pos="1134"/>
        <w:tab w:val="left" w:pos="1871"/>
        <w:tab w:val="left" w:pos="2268"/>
      </w:tabs>
      <w:spacing w:before="200"/>
      <w:jc w:val="both"/>
    </w:pPr>
    <w:rPr>
      <w:sz w:val="18"/>
      <w:szCs w:val="18"/>
    </w:rPr>
  </w:style>
  <w:style w:type="paragraph" w:customStyle="1" w:styleId="Table">
    <w:name w:val="Table_#"/>
    <w:basedOn w:val="Normal"/>
    <w:next w:val="Normal"/>
    <w:rsid w:val="00CB6D80"/>
    <w:pPr>
      <w:keepNext/>
      <w:tabs>
        <w:tab w:val="clear" w:pos="794"/>
        <w:tab w:val="clear" w:pos="1191"/>
        <w:tab w:val="clear" w:pos="1588"/>
        <w:tab w:val="clear" w:pos="1985"/>
      </w:tabs>
      <w:spacing w:before="360" w:after="120"/>
      <w:jc w:val="center"/>
    </w:pPr>
    <w:rPr>
      <w:sz w:val="20"/>
    </w:rPr>
  </w:style>
  <w:style w:type="paragraph" w:customStyle="1" w:styleId="TableHead0">
    <w:name w:val="Table_Head"/>
    <w:basedOn w:val="Tabletext"/>
    <w:next w:val="Tabletext"/>
    <w:rsid w:val="006C46D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eastAsia="Times New Roman"/>
      <w:b/>
      <w:bCs/>
      <w:sz w:val="20"/>
    </w:rPr>
  </w:style>
  <w:style w:type="character" w:customStyle="1" w:styleId="enumlev1Char">
    <w:name w:val="enumlev1 Char"/>
    <w:basedOn w:val="DefaultParagraphFont"/>
    <w:link w:val="enumlev1"/>
    <w:uiPriority w:val="99"/>
    <w:rsid w:val="005E3911"/>
    <w:rPr>
      <w:rFonts w:ascii="Times New Roman" w:hAnsi="Times New Roman"/>
      <w:sz w:val="24"/>
      <w:lang w:val="en-GB" w:eastAsia="en-US"/>
    </w:rPr>
  </w:style>
  <w:style w:type="character" w:customStyle="1" w:styleId="Recdef0">
    <w:name w:val="Rec#_def"/>
    <w:basedOn w:val="DefaultParagraphFont"/>
    <w:rsid w:val="00611BB8"/>
  </w:style>
  <w:style w:type="character" w:customStyle="1" w:styleId="Heading1Char">
    <w:name w:val="Heading 1 Char"/>
    <w:basedOn w:val="DefaultParagraphFont"/>
    <w:link w:val="Heading1"/>
    <w:rsid w:val="00611BB8"/>
    <w:rPr>
      <w:rFonts w:ascii="Times New Roman" w:hAnsi="Times New Roman"/>
      <w:b/>
      <w:sz w:val="24"/>
      <w:lang w:val="en-GB" w:eastAsia="en-US"/>
    </w:rPr>
  </w:style>
  <w:style w:type="character" w:customStyle="1" w:styleId="FootnoteTextChar">
    <w:name w:val="Footnote Text Char"/>
    <w:basedOn w:val="DefaultParagraphFont"/>
    <w:link w:val="FootnoteText"/>
    <w:semiHidden/>
    <w:rsid w:val="00D2101B"/>
    <w:rPr>
      <w:rFonts w:ascii="Times New Roman" w:hAnsi="Times New Roman"/>
      <w:sz w:val="24"/>
      <w:lang w:val="en-GB" w:eastAsia="en-US"/>
    </w:rPr>
  </w:style>
  <w:style w:type="character" w:customStyle="1" w:styleId="href">
    <w:name w:val="href"/>
    <w:basedOn w:val="DefaultParagraphFont"/>
    <w:rsid w:val="00D2101B"/>
  </w:style>
  <w:style w:type="paragraph" w:customStyle="1" w:styleId="CharChar0">
    <w:name w:val="Char Char"/>
    <w:basedOn w:val="Normal"/>
    <w:rsid w:val="00692F33"/>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TableText0">
    <w:name w:val="Table_Text"/>
    <w:basedOn w:val="Normal"/>
    <w:link w:val="TableTextChar"/>
    <w:rsid w:val="00AA4F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Legend0">
    <w:name w:val="Table_Legend"/>
    <w:basedOn w:val="TableText0"/>
    <w:next w:val="Normal"/>
    <w:link w:val="TableLegendChar"/>
    <w:rsid w:val="0051377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style>
  <w:style w:type="character" w:customStyle="1" w:styleId="Artref0">
    <w:name w:val="Art#_ref"/>
    <w:basedOn w:val="DefaultParagraphFont"/>
    <w:rsid w:val="0051377B"/>
  </w:style>
  <w:style w:type="paragraph" w:customStyle="1" w:styleId="StyleTableLegendLatin9pt">
    <w:name w:val="Style Table_Legend + (Latin) 9 pt"/>
    <w:basedOn w:val="TableLegend0"/>
    <w:link w:val="StyleTableLegendLatin9ptChar"/>
    <w:rsid w:val="0051377B"/>
  </w:style>
  <w:style w:type="character" w:customStyle="1" w:styleId="TableTextChar">
    <w:name w:val="Table_Text Char"/>
    <w:basedOn w:val="DefaultParagraphFont"/>
    <w:link w:val="TableText0"/>
    <w:rsid w:val="0051377B"/>
    <w:rPr>
      <w:rFonts w:ascii="Times New Roman" w:eastAsia="Times New Roman" w:hAnsi="Times New Roman"/>
      <w:sz w:val="22"/>
      <w:lang w:val="en-GB" w:eastAsia="en-US"/>
    </w:rPr>
  </w:style>
  <w:style w:type="character" w:customStyle="1" w:styleId="TableLegendChar">
    <w:name w:val="Table_Legend Char"/>
    <w:basedOn w:val="TableTextChar"/>
    <w:link w:val="TableLegend0"/>
    <w:rsid w:val="0051377B"/>
    <w:rPr>
      <w:rFonts w:ascii="Times New Roman" w:eastAsia="Times New Roman" w:hAnsi="Times New Roman"/>
      <w:sz w:val="22"/>
      <w:lang w:val="en-GB" w:eastAsia="en-US"/>
    </w:rPr>
  </w:style>
  <w:style w:type="character" w:customStyle="1" w:styleId="StyleTableLegendLatin9ptChar">
    <w:name w:val="Style Table_Legend + (Latin) 9 pt Char"/>
    <w:basedOn w:val="TableLegendChar"/>
    <w:link w:val="StyleTableLegendLatin9pt"/>
    <w:rsid w:val="0051377B"/>
    <w:rPr>
      <w:rFonts w:ascii="Times New Roman" w:eastAsia="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5834">
      <w:bodyDiv w:val="1"/>
      <w:marLeft w:val="0"/>
      <w:marRight w:val="0"/>
      <w:marTop w:val="0"/>
      <w:marBottom w:val="0"/>
      <w:divBdr>
        <w:top w:val="none" w:sz="0" w:space="0" w:color="auto"/>
        <w:left w:val="none" w:sz="0" w:space="0" w:color="auto"/>
        <w:bottom w:val="none" w:sz="0" w:space="0" w:color="auto"/>
        <w:right w:val="none" w:sz="0" w:space="0" w:color="auto"/>
      </w:divBdr>
    </w:div>
    <w:div w:id="923534512">
      <w:bodyDiv w:val="1"/>
      <w:marLeft w:val="0"/>
      <w:marRight w:val="0"/>
      <w:marTop w:val="0"/>
      <w:marBottom w:val="0"/>
      <w:divBdr>
        <w:top w:val="none" w:sz="0" w:space="0" w:color="auto"/>
        <w:left w:val="none" w:sz="0" w:space="0" w:color="auto"/>
        <w:bottom w:val="none" w:sz="0" w:space="0" w:color="auto"/>
        <w:right w:val="none" w:sz="0" w:space="0" w:color="auto"/>
      </w:divBdr>
    </w:div>
    <w:div w:id="15801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rmail@itu.in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win\Application%20Data\Microsoft\Templates\POOL%20C%20-%20ITU\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CF40-11B8-4FBF-9F19-F6C8AF7F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TotalTime>
  <Pages>6</Pages>
  <Words>3292</Words>
  <Characters>1436</Characters>
  <Application>Microsoft Office Word</Application>
  <DocSecurity>4</DocSecurity>
  <Lines>11</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4719</CharactersWithSpaces>
  <SharedDoc>false</SharedDoc>
  <HLinks>
    <vt:vector size="30" baseType="variant">
      <vt:variant>
        <vt:i4>5439581</vt:i4>
      </vt:variant>
      <vt:variant>
        <vt:i4>9</vt:i4>
      </vt:variant>
      <vt:variant>
        <vt:i4>0</vt:i4>
      </vt:variant>
      <vt:variant>
        <vt:i4>5</vt:i4>
      </vt:variant>
      <vt:variant>
        <vt:lpwstr>http://www.hfcc.org/</vt:lpwstr>
      </vt:variant>
      <vt:variant>
        <vt:lpwstr/>
      </vt:variant>
      <vt:variant>
        <vt:i4>7667769</vt:i4>
      </vt:variant>
      <vt:variant>
        <vt:i4>6</vt:i4>
      </vt:variant>
      <vt:variant>
        <vt:i4>0</vt:i4>
      </vt:variant>
      <vt:variant>
        <vt:i4>5</vt:i4>
      </vt:variant>
      <vt:variant>
        <vt:lpwstr>http://www.abu.org.my/</vt:lpwstr>
      </vt:variant>
      <vt:variant>
        <vt:lpwstr/>
      </vt:variant>
      <vt:variant>
        <vt:i4>4980812</vt:i4>
      </vt:variant>
      <vt:variant>
        <vt:i4>3</vt:i4>
      </vt:variant>
      <vt:variant>
        <vt:i4>0</vt:i4>
      </vt:variant>
      <vt:variant>
        <vt:i4>5</vt:i4>
      </vt:variant>
      <vt:variant>
        <vt:lpwstr>http://www.asbu.net/</vt:lpwstr>
      </vt:variant>
      <vt:variant>
        <vt:lpwstr/>
      </vt:variant>
      <vt:variant>
        <vt:i4>5242975</vt:i4>
      </vt:variant>
      <vt:variant>
        <vt:i4>0</vt:i4>
      </vt:variant>
      <vt:variant>
        <vt:i4>0</vt:i4>
      </vt:variant>
      <vt:variant>
        <vt:i4>5</vt:i4>
      </vt:variant>
      <vt:variant>
        <vt:lpwstr>http://www.itu.int/ITU-R/terrestrial/broadcast/hf/index.html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marchett</cp:lastModifiedBy>
  <cp:revision>2</cp:revision>
  <cp:lastPrinted>2013-01-07T14:09:00Z</cp:lastPrinted>
  <dcterms:created xsi:type="dcterms:W3CDTF">2013-01-07T14:11:00Z</dcterms:created>
  <dcterms:modified xsi:type="dcterms:W3CDTF">2013-01-07T14:11:00Z</dcterms:modified>
</cp:coreProperties>
</file>