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5F50DB" w:rsidRDefault="00B87E04">
            <w:pPr>
              <w:rPr>
                <w:b/>
                <w:smallCaps/>
                <w:sz w:val="20"/>
                <w:lang w:val="fr-CH"/>
              </w:rPr>
            </w:pPr>
            <w:r w:rsidRPr="005F50DB">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5F50DB">
              <w:rPr>
                <w:b/>
                <w:sz w:val="18"/>
                <w:lang w:val="fr-CH"/>
              </w:rPr>
              <w:tab/>
            </w:r>
            <w:r w:rsidRPr="005F50DB">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5F50DB" w:rsidRDefault="005F50DB" w:rsidP="00210B45">
            <w:pPr>
              <w:tabs>
                <w:tab w:val="left" w:pos="7513"/>
              </w:tabs>
              <w:jc w:val="center"/>
              <w:rPr>
                <w:b/>
              </w:rPr>
            </w:pPr>
            <w:bookmarkStart w:id="0" w:name="dletter"/>
            <w:bookmarkEnd w:id="0"/>
            <w:r>
              <w:t>Circular Letter</w:t>
            </w:r>
          </w:p>
          <w:p w:rsidR="0071106C" w:rsidRPr="005F50DB" w:rsidRDefault="005F50DB" w:rsidP="004A5AB1">
            <w:pPr>
              <w:tabs>
                <w:tab w:val="clear" w:pos="794"/>
                <w:tab w:val="clear" w:pos="1191"/>
                <w:tab w:val="clear" w:pos="1588"/>
              </w:tabs>
              <w:spacing w:before="0"/>
              <w:jc w:val="center"/>
              <w:rPr>
                <w:b/>
                <w:bCs/>
              </w:rPr>
            </w:pPr>
            <w:bookmarkStart w:id="1" w:name="dnum"/>
            <w:bookmarkEnd w:id="1"/>
            <w:r>
              <w:rPr>
                <w:b/>
                <w:bCs/>
              </w:rPr>
              <w:t>CCRR/42</w:t>
            </w:r>
          </w:p>
        </w:tc>
        <w:tc>
          <w:tcPr>
            <w:tcW w:w="7502" w:type="dxa"/>
          </w:tcPr>
          <w:p w:rsidR="00B87E04" w:rsidRPr="005F50DB" w:rsidRDefault="00A04888" w:rsidP="00D35752">
            <w:pPr>
              <w:tabs>
                <w:tab w:val="left" w:pos="7513"/>
              </w:tabs>
              <w:jc w:val="right"/>
              <w:rPr>
                <w:bCs/>
              </w:rPr>
            </w:pPr>
            <w:bookmarkStart w:id="2" w:name="ddate"/>
            <w:bookmarkEnd w:id="2"/>
            <w:r>
              <w:rPr>
                <w:bCs/>
              </w:rPr>
              <w:t xml:space="preserve">4 </w:t>
            </w:r>
            <w:r w:rsidR="005F50DB">
              <w:rPr>
                <w:bCs/>
              </w:rPr>
              <w:t>April 2011</w:t>
            </w:r>
          </w:p>
        </w:tc>
      </w:tr>
    </w:tbl>
    <w:p w:rsidR="00B87E04" w:rsidRDefault="005F7F4C">
      <w:pPr>
        <w:tabs>
          <w:tab w:val="left" w:pos="7513"/>
        </w:tabs>
        <w:spacing w:before="480"/>
        <w:jc w:val="center"/>
        <w:rPr>
          <w:b/>
        </w:rPr>
      </w:pPr>
      <w:r w:rsidRPr="005F7F4C">
        <w:rPr>
          <w:b/>
          <w:bCs/>
        </w:rPr>
        <w:t>To Administrations of Member States of ITU</w:t>
      </w:r>
    </w:p>
    <w:p w:rsidR="00B87E04" w:rsidRDefault="00B87E04">
      <w:pPr>
        <w:tabs>
          <w:tab w:val="clear" w:pos="794"/>
          <w:tab w:val="clear" w:pos="1191"/>
          <w:tab w:val="clear" w:pos="1588"/>
          <w:tab w:val="clear" w:pos="1985"/>
          <w:tab w:val="left" w:pos="709"/>
        </w:tabs>
        <w:spacing w:before="720"/>
        <w:ind w:left="709" w:hanging="709"/>
      </w:pPr>
      <w:r>
        <w:rPr>
          <w:b/>
        </w:rPr>
        <w:t>Subject</w:t>
      </w:r>
      <w:r>
        <w:t>:</w:t>
      </w:r>
      <w:r>
        <w:tab/>
      </w:r>
      <w:bookmarkStart w:id="3" w:name="dtitle1"/>
      <w:bookmarkEnd w:id="3"/>
      <w:r w:rsidR="005F50DB">
        <w:t>Draft Rules of Procedure</w:t>
      </w:r>
    </w:p>
    <w:p w:rsidR="001E15AA" w:rsidRPr="009746CA" w:rsidRDefault="001E15AA" w:rsidP="001E15AA">
      <w:pPr>
        <w:tabs>
          <w:tab w:val="clear" w:pos="794"/>
          <w:tab w:val="clear" w:pos="1191"/>
          <w:tab w:val="clear" w:pos="1588"/>
          <w:tab w:val="clear" w:pos="1985"/>
          <w:tab w:val="left" w:pos="709"/>
        </w:tabs>
        <w:spacing w:before="480"/>
        <w:ind w:left="709" w:hanging="709"/>
        <w:rPr>
          <w:b/>
          <w:bCs/>
        </w:rPr>
      </w:pPr>
      <w:r w:rsidRPr="009746CA">
        <w:rPr>
          <w:b/>
          <w:bCs/>
        </w:rPr>
        <w:t>To the Director-General</w:t>
      </w:r>
    </w:p>
    <w:p w:rsidR="001E15AA" w:rsidRDefault="001E15AA" w:rsidP="001E15AA">
      <w:pPr>
        <w:tabs>
          <w:tab w:val="clear" w:pos="794"/>
          <w:tab w:val="clear" w:pos="1191"/>
          <w:tab w:val="clear" w:pos="1588"/>
          <w:tab w:val="clear" w:pos="1985"/>
          <w:tab w:val="left" w:pos="709"/>
        </w:tabs>
        <w:spacing w:before="480"/>
        <w:ind w:left="709" w:hanging="709"/>
      </w:pPr>
      <w:r>
        <w:t>Dear Sir/Madam</w:t>
      </w:r>
      <w:r w:rsidR="00AB1815">
        <w:t>,</w:t>
      </w:r>
    </w:p>
    <w:p w:rsidR="005F50DB" w:rsidRPr="00933276" w:rsidRDefault="005F50DB" w:rsidP="00A10FF2">
      <w:pPr>
        <w:pStyle w:val="Normalaftertitle"/>
        <w:spacing w:before="120"/>
        <w:rPr>
          <w:lang w:val="en-US"/>
        </w:rPr>
      </w:pPr>
      <w:r w:rsidRPr="00933276">
        <w:rPr>
          <w:lang w:val="en-US"/>
        </w:rPr>
        <w:t xml:space="preserve">Please find enclosed </w:t>
      </w:r>
      <w:r w:rsidR="00A10FF2">
        <w:rPr>
          <w:lang w:val="en-US"/>
        </w:rPr>
        <w:t xml:space="preserve">a </w:t>
      </w:r>
      <w:r w:rsidRPr="00933276">
        <w:rPr>
          <w:lang w:val="en-US"/>
        </w:rPr>
        <w:t xml:space="preserve">proposal for the addition of Rules of Procedure (Edition of 2009) related to the treatment of change of notifying administration which acts as the notifying administration of a satellite network on behalf of a group of named administrations in accordance with Nos. </w:t>
      </w:r>
      <w:r w:rsidRPr="00933276">
        <w:rPr>
          <w:b/>
          <w:bCs/>
          <w:lang w:val="en-US"/>
        </w:rPr>
        <w:t>9.1</w:t>
      </w:r>
      <w:r w:rsidRPr="00933276">
        <w:rPr>
          <w:lang w:val="en-US"/>
        </w:rPr>
        <w:t xml:space="preserve">, </w:t>
      </w:r>
      <w:r w:rsidRPr="00933276">
        <w:rPr>
          <w:b/>
          <w:bCs/>
          <w:lang w:val="en-US"/>
        </w:rPr>
        <w:t>9.6.1</w:t>
      </w:r>
      <w:r w:rsidRPr="00933276">
        <w:rPr>
          <w:lang w:val="en-US"/>
        </w:rPr>
        <w:t xml:space="preserve"> and </w:t>
      </w:r>
      <w:r w:rsidRPr="00933276">
        <w:rPr>
          <w:b/>
          <w:bCs/>
          <w:lang w:val="en-US"/>
        </w:rPr>
        <w:t>11.15.1</w:t>
      </w:r>
      <w:r w:rsidRPr="00933276">
        <w:rPr>
          <w:lang w:val="en-US"/>
        </w:rPr>
        <w:t xml:space="preserve"> and Appendix </w:t>
      </w:r>
      <w:r w:rsidRPr="00933276">
        <w:rPr>
          <w:b/>
          <w:bCs/>
          <w:lang w:val="en-US"/>
        </w:rPr>
        <w:t>30/30A.</w:t>
      </w:r>
      <w:r w:rsidRPr="00933276">
        <w:rPr>
          <w:lang w:val="en-US"/>
        </w:rPr>
        <w:t xml:space="preserve">  </w:t>
      </w:r>
    </w:p>
    <w:p w:rsidR="005F50DB" w:rsidRPr="00933276" w:rsidRDefault="005F50DB" w:rsidP="008E715B">
      <w:pPr>
        <w:pStyle w:val="Normalaftertitle"/>
        <w:spacing w:before="120"/>
        <w:rPr>
          <w:lang w:val="en-US"/>
        </w:rPr>
      </w:pPr>
      <w:r w:rsidRPr="00933276">
        <w:rPr>
          <w:lang w:val="en-US"/>
        </w:rPr>
        <w:t xml:space="preserve">In accordance with No. </w:t>
      </w:r>
      <w:r w:rsidRPr="00933276">
        <w:rPr>
          <w:b/>
          <w:bCs/>
          <w:lang w:val="en-US"/>
        </w:rPr>
        <w:t>13.17</w:t>
      </w:r>
      <w:r w:rsidRPr="00933276">
        <w:rPr>
          <w:lang w:val="en-US"/>
        </w:rPr>
        <w:t xml:space="preserve"> of the Radio Regulations, th</w:t>
      </w:r>
      <w:r w:rsidR="008E715B">
        <w:rPr>
          <w:lang w:val="en-US"/>
        </w:rPr>
        <w:t>is</w:t>
      </w:r>
      <w:r w:rsidRPr="00933276">
        <w:rPr>
          <w:lang w:val="en-US"/>
        </w:rPr>
        <w:t xml:space="preserve"> proposal </w:t>
      </w:r>
      <w:r w:rsidR="008E715B">
        <w:rPr>
          <w:lang w:val="en-US"/>
        </w:rPr>
        <w:t>is</w:t>
      </w:r>
      <w:bookmarkStart w:id="4" w:name="_GoBack"/>
      <w:bookmarkEnd w:id="4"/>
      <w:r w:rsidRPr="00933276">
        <w:rPr>
          <w:lang w:val="en-US"/>
        </w:rPr>
        <w:t xml:space="preserve"> made available to administrations for comment before being submitted to the RRB pursuant to No. </w:t>
      </w:r>
      <w:r w:rsidRPr="00933276">
        <w:rPr>
          <w:b/>
          <w:bCs/>
          <w:lang w:val="en-US"/>
        </w:rPr>
        <w:t>13.14</w:t>
      </w:r>
      <w:r w:rsidRPr="00933276">
        <w:rPr>
          <w:lang w:val="en-US"/>
        </w:rPr>
        <w:t xml:space="preserve">. As indicated in No. </w:t>
      </w:r>
      <w:r w:rsidRPr="00933276">
        <w:rPr>
          <w:b/>
          <w:bCs/>
          <w:lang w:val="en-US"/>
        </w:rPr>
        <w:t>13.12A</w:t>
      </w:r>
      <w:r w:rsidRPr="00933276">
        <w:rPr>
          <w:lang w:val="en-US"/>
        </w:rPr>
        <w:t xml:space="preserve"> </w:t>
      </w:r>
      <w:r w:rsidRPr="00933276">
        <w:rPr>
          <w:i/>
          <w:iCs/>
          <w:lang w:val="en-US"/>
        </w:rPr>
        <w:t>d)</w:t>
      </w:r>
      <w:r w:rsidRPr="00933276">
        <w:rPr>
          <w:lang w:val="en-US"/>
        </w:rPr>
        <w:t xml:space="preserve"> of the Radio Regulations, any comments that you may wish to submit should reach the Bureau</w:t>
      </w:r>
      <w:r w:rsidRPr="00933276">
        <w:rPr>
          <w:b/>
          <w:lang w:val="en-US"/>
        </w:rPr>
        <w:t xml:space="preserve"> </w:t>
      </w:r>
      <w:r w:rsidR="00A04888">
        <w:rPr>
          <w:bCs/>
          <w:lang w:val="en-US"/>
        </w:rPr>
        <w:t>not later than 1600 hours UTC, Monday, 16 May 2011</w:t>
      </w:r>
      <w:r w:rsidRPr="00933276">
        <w:rPr>
          <w:lang w:val="en-US"/>
        </w:rPr>
        <w:t>, in order to be considered at the 57</w:t>
      </w:r>
      <w:r w:rsidRPr="00933276">
        <w:rPr>
          <w:vertAlign w:val="superscript"/>
          <w:lang w:val="en-US"/>
        </w:rPr>
        <w:t>th</w:t>
      </w:r>
      <w:r w:rsidRPr="00933276">
        <w:rPr>
          <w:lang w:val="en-US"/>
        </w:rPr>
        <w:t xml:space="preserve"> meeting of the RRB, scheduled for </w:t>
      </w:r>
      <w:r w:rsidR="00A04888">
        <w:rPr>
          <w:lang w:val="en-US"/>
        </w:rPr>
        <w:t>13-21 June 2011</w:t>
      </w:r>
      <w:r w:rsidRPr="00933276">
        <w:rPr>
          <w:lang w:val="en-US"/>
        </w:rPr>
        <w:t xml:space="preserve">. All e-mail comments should be sent to: </w:t>
      </w:r>
      <w:hyperlink r:id="rId9" w:history="1">
        <w:r w:rsidRPr="00933276">
          <w:rPr>
            <w:rStyle w:val="Hyperlink"/>
            <w:lang w:val="en-US"/>
          </w:rPr>
          <w:t>brmail@itu.int</w:t>
        </w:r>
      </w:hyperlink>
      <w:r w:rsidRPr="00933276">
        <w:rPr>
          <w:lang w:val="en-US"/>
        </w:rPr>
        <w:t>.</w:t>
      </w:r>
    </w:p>
    <w:p w:rsidR="005F50DB" w:rsidRPr="00933276" w:rsidRDefault="005F50DB" w:rsidP="005F50DB">
      <w:pPr>
        <w:tabs>
          <w:tab w:val="clear" w:pos="794"/>
          <w:tab w:val="clear" w:pos="1191"/>
          <w:tab w:val="clear" w:pos="1588"/>
          <w:tab w:val="clear" w:pos="1985"/>
          <w:tab w:val="center" w:pos="7140"/>
        </w:tabs>
        <w:rPr>
          <w:lang w:val="en-US"/>
        </w:rPr>
      </w:pPr>
      <w:r w:rsidRPr="00933276">
        <w:rPr>
          <w:lang w:val="en-US"/>
        </w:rPr>
        <w:tab/>
        <w:t>Yours faithfully,</w:t>
      </w:r>
    </w:p>
    <w:p w:rsidR="005F50DB" w:rsidRPr="00933276" w:rsidRDefault="005F50DB" w:rsidP="005F50DB">
      <w:pPr>
        <w:tabs>
          <w:tab w:val="clear" w:pos="794"/>
          <w:tab w:val="clear" w:pos="1191"/>
          <w:tab w:val="clear" w:pos="1588"/>
          <w:tab w:val="clear" w:pos="1985"/>
          <w:tab w:val="center" w:pos="7140"/>
        </w:tabs>
        <w:spacing w:before="720"/>
        <w:rPr>
          <w:lang w:val="en-US"/>
        </w:rPr>
      </w:pPr>
      <w:r w:rsidRPr="00933276">
        <w:rPr>
          <w:lang w:val="en-US"/>
        </w:rPr>
        <w:tab/>
      </w:r>
      <w:r w:rsidRPr="00933276">
        <w:rPr>
          <w:rStyle w:val="style129"/>
          <w:rFonts w:cs="Arial"/>
          <w:sz w:val="22"/>
          <w:szCs w:val="22"/>
          <w:lang w:val="en-US"/>
        </w:rPr>
        <w:t>François R</w:t>
      </w:r>
      <w:r w:rsidR="006F399E">
        <w:rPr>
          <w:rStyle w:val="style129"/>
          <w:rFonts w:cs="Arial"/>
          <w:sz w:val="22"/>
          <w:szCs w:val="22"/>
          <w:lang w:val="en-US"/>
        </w:rPr>
        <w:t>ancy</w:t>
      </w:r>
      <w:r w:rsidRPr="00933276">
        <w:rPr>
          <w:lang w:val="en-US"/>
        </w:rPr>
        <w:br/>
      </w:r>
      <w:r w:rsidRPr="00933276">
        <w:rPr>
          <w:lang w:val="en-US"/>
        </w:rPr>
        <w:tab/>
        <w:t>Director, Radiocommunication Bureau</w:t>
      </w:r>
    </w:p>
    <w:p w:rsidR="005F50DB" w:rsidRPr="00933276" w:rsidRDefault="005F50DB" w:rsidP="005F50DB">
      <w:pPr>
        <w:tabs>
          <w:tab w:val="left" w:pos="284"/>
          <w:tab w:val="left" w:pos="568"/>
        </w:tabs>
        <w:spacing w:before="240" w:after="80"/>
        <w:ind w:right="-1"/>
        <w:rPr>
          <w:b/>
          <w:bCs/>
          <w:lang w:val="en-US"/>
        </w:rPr>
      </w:pPr>
    </w:p>
    <w:p w:rsidR="005F50DB" w:rsidRPr="00933276" w:rsidRDefault="005F50DB" w:rsidP="005F50DB">
      <w:pPr>
        <w:tabs>
          <w:tab w:val="left" w:pos="284"/>
          <w:tab w:val="left" w:pos="568"/>
        </w:tabs>
        <w:spacing w:before="240" w:after="80"/>
        <w:ind w:right="-1"/>
        <w:rPr>
          <w:lang w:val="en-US"/>
        </w:rPr>
      </w:pPr>
      <w:r w:rsidRPr="00933276">
        <w:rPr>
          <w:b/>
          <w:bCs/>
          <w:lang w:val="en-US"/>
        </w:rPr>
        <w:t>Annex</w:t>
      </w:r>
      <w:r w:rsidRPr="00933276">
        <w:rPr>
          <w:lang w:val="en-US"/>
        </w:rPr>
        <w:t>: 1</w:t>
      </w:r>
    </w:p>
    <w:p w:rsidR="005F50DB" w:rsidRPr="00933276" w:rsidRDefault="005F50DB" w:rsidP="005F50DB">
      <w:pPr>
        <w:tabs>
          <w:tab w:val="left" w:pos="284"/>
          <w:tab w:val="left" w:pos="568"/>
        </w:tabs>
        <w:spacing w:before="240" w:after="80"/>
        <w:ind w:right="-1"/>
        <w:rPr>
          <w:b/>
          <w:bCs/>
          <w:sz w:val="18"/>
          <w:szCs w:val="18"/>
          <w:lang w:val="en-US"/>
        </w:rPr>
      </w:pPr>
    </w:p>
    <w:p w:rsidR="005F50DB" w:rsidRPr="00933276" w:rsidRDefault="005F50DB" w:rsidP="005F50DB">
      <w:pPr>
        <w:tabs>
          <w:tab w:val="left" w:pos="284"/>
          <w:tab w:val="left" w:pos="568"/>
        </w:tabs>
        <w:spacing w:before="240" w:after="80"/>
        <w:ind w:right="-1"/>
        <w:rPr>
          <w:b/>
          <w:bCs/>
          <w:sz w:val="18"/>
          <w:szCs w:val="18"/>
          <w:lang w:val="en-US"/>
        </w:rPr>
      </w:pPr>
      <w:r w:rsidRPr="00933276">
        <w:rPr>
          <w:b/>
          <w:bCs/>
          <w:sz w:val="18"/>
          <w:szCs w:val="18"/>
          <w:lang w:val="en-US"/>
        </w:rPr>
        <w:t>Distribution:</w:t>
      </w:r>
    </w:p>
    <w:p w:rsidR="005F50DB" w:rsidRPr="00933276" w:rsidRDefault="005F50DB" w:rsidP="005F50DB">
      <w:pPr>
        <w:tabs>
          <w:tab w:val="left" w:pos="284"/>
        </w:tabs>
        <w:spacing w:before="0"/>
        <w:ind w:right="-1"/>
        <w:rPr>
          <w:sz w:val="18"/>
          <w:szCs w:val="18"/>
          <w:lang w:val="en-US"/>
        </w:rPr>
      </w:pPr>
      <w:r w:rsidRPr="00933276">
        <w:rPr>
          <w:sz w:val="18"/>
          <w:szCs w:val="18"/>
          <w:lang w:val="en-US"/>
        </w:rPr>
        <w:t>–</w:t>
      </w:r>
      <w:r w:rsidRPr="00933276">
        <w:rPr>
          <w:sz w:val="18"/>
          <w:szCs w:val="18"/>
          <w:lang w:val="en-US"/>
        </w:rPr>
        <w:tab/>
        <w:t>Administrations of Member States of ITU</w:t>
      </w:r>
    </w:p>
    <w:p w:rsidR="005F50DB" w:rsidRPr="00933276" w:rsidRDefault="005F50DB" w:rsidP="005F50DB">
      <w:pPr>
        <w:tabs>
          <w:tab w:val="left" w:pos="284"/>
        </w:tabs>
        <w:spacing w:before="0"/>
        <w:ind w:right="-1"/>
        <w:rPr>
          <w:sz w:val="18"/>
          <w:szCs w:val="18"/>
          <w:lang w:val="en-US"/>
        </w:rPr>
      </w:pPr>
      <w:r w:rsidRPr="00933276">
        <w:rPr>
          <w:sz w:val="18"/>
          <w:szCs w:val="18"/>
          <w:lang w:val="en-US"/>
        </w:rPr>
        <w:t>–</w:t>
      </w:r>
      <w:r w:rsidRPr="00933276">
        <w:rPr>
          <w:sz w:val="18"/>
          <w:szCs w:val="18"/>
          <w:lang w:val="en-US"/>
        </w:rPr>
        <w:tab/>
        <w:t>Members of the Radio Regulations Board</w:t>
      </w:r>
    </w:p>
    <w:p w:rsidR="005F50DB" w:rsidRPr="00933276" w:rsidRDefault="005F50DB" w:rsidP="005F50DB">
      <w:pPr>
        <w:tabs>
          <w:tab w:val="left" w:pos="284"/>
        </w:tabs>
        <w:spacing w:before="0"/>
        <w:ind w:right="-1"/>
        <w:rPr>
          <w:sz w:val="18"/>
          <w:szCs w:val="18"/>
          <w:lang w:val="en-US"/>
        </w:rPr>
      </w:pPr>
      <w:r w:rsidRPr="00933276">
        <w:rPr>
          <w:sz w:val="18"/>
          <w:szCs w:val="18"/>
          <w:lang w:val="en-US"/>
        </w:rPr>
        <w:t>–</w:t>
      </w:r>
      <w:r w:rsidRPr="00933276">
        <w:rPr>
          <w:sz w:val="18"/>
          <w:szCs w:val="18"/>
          <w:lang w:val="en-US"/>
        </w:rPr>
        <w:tab/>
        <w:t>Director and Heads of Department of the Radiocommunication Bureau</w:t>
      </w:r>
    </w:p>
    <w:p w:rsidR="005F50DB" w:rsidRPr="00933276" w:rsidRDefault="005F50DB" w:rsidP="005F50DB">
      <w:pPr>
        <w:pStyle w:val="AnnexNotitle"/>
        <w:jc w:val="left"/>
        <w:rPr>
          <w:lang w:val="en-US"/>
        </w:rPr>
        <w:sectPr w:rsidR="005F50DB" w:rsidRPr="00933276" w:rsidSect="00025CD4">
          <w:headerReference w:type="default" r:id="rId10"/>
          <w:footerReference w:type="default" r:id="rId11"/>
          <w:footerReference w:type="first" r:id="rId12"/>
          <w:pgSz w:w="11907" w:h="16834" w:code="9"/>
          <w:pgMar w:top="1134" w:right="1134" w:bottom="1242" w:left="1134" w:header="720" w:footer="720" w:gutter="0"/>
          <w:cols w:space="720"/>
          <w:titlePg/>
          <w:docGrid w:linePitch="326"/>
        </w:sectPr>
      </w:pPr>
    </w:p>
    <w:p w:rsidR="005F50DB" w:rsidRPr="00933276" w:rsidRDefault="005F50DB" w:rsidP="005F50DB">
      <w:pPr>
        <w:pStyle w:val="AnnexNo"/>
        <w:spacing w:before="0"/>
        <w:rPr>
          <w:lang w:val="en-US"/>
        </w:rPr>
      </w:pPr>
      <w:r w:rsidRPr="00933276">
        <w:rPr>
          <w:lang w:val="en-US"/>
        </w:rPr>
        <w:lastRenderedPageBreak/>
        <w:t>ANNEX 1</w:t>
      </w:r>
    </w:p>
    <w:p w:rsidR="005F50DB" w:rsidRPr="00933276" w:rsidRDefault="005F50DB" w:rsidP="005F50DB">
      <w:pPr>
        <w:pStyle w:val="Annextitle"/>
        <w:spacing w:before="0" w:after="0"/>
        <w:rPr>
          <w:szCs w:val="28"/>
          <w:lang w:val="en-US"/>
        </w:rPr>
      </w:pPr>
      <w:r w:rsidRPr="00933276">
        <w:rPr>
          <w:rFonts w:cs="Arial"/>
          <w:color w:val="000000"/>
          <w:szCs w:val="22"/>
          <w:lang w:val="en-US"/>
        </w:rPr>
        <w:t xml:space="preserve"> </w:t>
      </w:r>
      <w:r w:rsidRPr="00933276">
        <w:rPr>
          <w:szCs w:val="28"/>
          <w:lang w:val="en-US"/>
        </w:rPr>
        <w:t xml:space="preserve">Rules concerning </w:t>
      </w:r>
      <w:r w:rsidRPr="00933276">
        <w:rPr>
          <w:lang w:val="en-US"/>
        </w:rPr>
        <w:t>the treatment of change of notifying administration which acts as the notifying administration of a satellite network on behalf of a group of named administrations</w:t>
      </w:r>
      <w:r w:rsidRPr="00933276">
        <w:rPr>
          <w:szCs w:val="28"/>
          <w:lang w:val="en-US"/>
        </w:rPr>
        <w:t xml:space="preserve"> </w:t>
      </w:r>
    </w:p>
    <w:p w:rsidR="005F50DB" w:rsidRPr="00933276" w:rsidRDefault="005F50DB" w:rsidP="005F50DB">
      <w:pPr>
        <w:pStyle w:val="Annextitle"/>
        <w:spacing w:before="0" w:after="0"/>
        <w:rPr>
          <w:sz w:val="24"/>
          <w:szCs w:val="24"/>
          <w:lang w:val="en-US"/>
        </w:rPr>
      </w:pPr>
    </w:p>
    <w:p w:rsidR="005F50DB" w:rsidRPr="00933276" w:rsidRDefault="005F50DB" w:rsidP="005F50DB">
      <w:pPr>
        <w:spacing w:before="0"/>
        <w:rPr>
          <w:szCs w:val="24"/>
          <w:lang w:val="en-US"/>
        </w:rPr>
      </w:pPr>
      <w:r w:rsidRPr="00933276">
        <w:rPr>
          <w:szCs w:val="24"/>
          <w:lang w:val="en-US"/>
        </w:rPr>
        <w:t>ADD</w:t>
      </w:r>
    </w:p>
    <w:p w:rsidR="005F50DB" w:rsidRPr="00933276" w:rsidRDefault="005F50DB" w:rsidP="005F50DB">
      <w:pPr>
        <w:spacing w:before="0"/>
        <w:rPr>
          <w:szCs w:val="24"/>
          <w:lang w:val="en-U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13"/>
      </w:tblGrid>
      <w:tr w:rsidR="005F50DB" w:rsidRPr="00933276" w:rsidTr="00975402">
        <w:tc>
          <w:tcPr>
            <w:tcW w:w="9713" w:type="dxa"/>
          </w:tcPr>
          <w:p w:rsidR="005F50DB" w:rsidRPr="00933276" w:rsidRDefault="005F50DB" w:rsidP="00975402">
            <w:pPr>
              <w:spacing w:before="0"/>
              <w:rPr>
                <w:b/>
                <w:bCs/>
                <w:szCs w:val="24"/>
                <w:lang w:val="en-US"/>
              </w:rPr>
            </w:pPr>
            <w:r w:rsidRPr="00933276">
              <w:rPr>
                <w:b/>
                <w:bCs/>
                <w:szCs w:val="24"/>
                <w:lang w:val="en-US"/>
              </w:rPr>
              <w:t>9.1, 9.6.1, 11.15.1, AP30 (4.1.25, 4.1.3, 4.2.6, 5.1.1), AP30A (4.2.6, 4.1.25, 4.1.3, 5.1.2), AP30B (2.6, 6.1)</w:t>
            </w:r>
          </w:p>
        </w:tc>
      </w:tr>
    </w:tbl>
    <w:p w:rsidR="005F50DB" w:rsidRPr="00933276" w:rsidRDefault="005F50DB" w:rsidP="005F50DB">
      <w:pPr>
        <w:spacing w:before="0"/>
        <w:rPr>
          <w:b/>
          <w:bCs/>
          <w:szCs w:val="24"/>
          <w:lang w:val="en-US"/>
        </w:rPr>
      </w:pPr>
    </w:p>
    <w:p w:rsidR="005F50DB" w:rsidRPr="00933276" w:rsidRDefault="005F50DB" w:rsidP="005F50DB">
      <w:pPr>
        <w:rPr>
          <w:color w:val="000000"/>
          <w:lang w:val="en-US"/>
        </w:rPr>
      </w:pPr>
      <w:r w:rsidRPr="00933276">
        <w:rPr>
          <w:color w:val="000000"/>
          <w:lang w:val="en-US"/>
        </w:rPr>
        <w:t>Certain provisions of the Radio Regulations (</w:t>
      </w:r>
      <w:proofErr w:type="spellStart"/>
      <w:r w:rsidRPr="00933276">
        <w:rPr>
          <w:color w:val="000000"/>
          <w:lang w:val="en-US"/>
        </w:rPr>
        <w:t>Nos</w:t>
      </w:r>
      <w:proofErr w:type="spellEnd"/>
      <w:r w:rsidRPr="00933276">
        <w:rPr>
          <w:color w:val="000000"/>
          <w:lang w:val="en-US"/>
        </w:rPr>
        <w:t xml:space="preserve"> </w:t>
      </w:r>
      <w:r w:rsidRPr="00933276">
        <w:rPr>
          <w:b/>
          <w:bCs/>
          <w:szCs w:val="24"/>
          <w:lang w:val="en-US"/>
        </w:rPr>
        <w:t>9.1, 9.6.1, 11.15.1, AP30 (4.1.25, 4.1.3, 4.2.6, 5.1.1), AP30A (4.2.6, 4.1.25, 4.1.3, 5.1.2), AP30B (2.6, 6.1)</w:t>
      </w:r>
      <w:r w:rsidRPr="00933276">
        <w:rPr>
          <w:color w:val="000000"/>
          <w:lang w:val="en-US"/>
        </w:rPr>
        <w:t>)</w:t>
      </w:r>
      <w:r>
        <w:rPr>
          <w:color w:val="000000"/>
          <w:lang w:val="en-US"/>
        </w:rPr>
        <w:t xml:space="preserve"> allow for an administration to act on behalf of a group of named administrations for the purpose of notifying the Radiocommunication Bureau of frequency assignments to satellite networks. In such cases, the administration acting on behalf of the group is designated notifying administration for the group within the meaning of the Radio Regulations.</w:t>
      </w:r>
    </w:p>
    <w:p w:rsidR="005F50DB" w:rsidRPr="00933276" w:rsidRDefault="005F50DB" w:rsidP="005F50DB">
      <w:pPr>
        <w:rPr>
          <w:color w:val="000000"/>
          <w:lang w:val="en-US"/>
        </w:rPr>
      </w:pPr>
      <w:r>
        <w:rPr>
          <w:color w:val="000000"/>
          <w:lang w:val="en-US"/>
        </w:rPr>
        <w:t>In some cases, the above-mentioned provisions are used for the benefit of an intergovernmental organization (a grouping of States constituted on the basis of an international treaty and having its own common organs)</w:t>
      </w:r>
      <w:r w:rsidRPr="00933276">
        <w:rPr>
          <w:color w:val="000000"/>
          <w:lang w:val="en-US"/>
        </w:rPr>
        <w:t>.</w:t>
      </w:r>
    </w:p>
    <w:p w:rsidR="005F50DB" w:rsidRPr="00933276" w:rsidRDefault="005F50DB" w:rsidP="005F50DB">
      <w:pPr>
        <w:rPr>
          <w:color w:val="000000"/>
          <w:lang w:val="en-US"/>
        </w:rPr>
      </w:pPr>
      <w:r>
        <w:rPr>
          <w:color w:val="000000"/>
          <w:lang w:val="en-US"/>
        </w:rPr>
        <w:t>On several occasions, intergovernmental satellite telecommunication organizations have requested the Bureau to make a change in their notifying administration. In order to clarify the conditions under which the Bureau can effect a change in the name of the notifying administration and update its various databases and the Preface to the BR IFIC (Space Services) (Table 2 and 12A/B), the Board has concluded as follows:</w:t>
      </w:r>
    </w:p>
    <w:p w:rsidR="00A04888" w:rsidRDefault="005F50DB" w:rsidP="00A04888">
      <w:pPr>
        <w:pStyle w:val="enumlev1"/>
        <w:rPr>
          <w:lang w:val="en-US"/>
        </w:rPr>
      </w:pPr>
      <w:r>
        <w:rPr>
          <w:lang w:val="en-US"/>
        </w:rPr>
        <w:sym w:font="Wingdings 2" w:char="F096"/>
      </w:r>
      <w:r>
        <w:rPr>
          <w:lang w:val="en-US"/>
        </w:rPr>
        <w:tab/>
        <w:t xml:space="preserve">When an </w:t>
      </w:r>
      <w:r w:rsidRPr="000B448D">
        <w:rPr>
          <w:lang w:val="en-US"/>
        </w:rPr>
        <w:t>intergovernmental satellite telecommunication organization</w:t>
      </w:r>
      <w:r>
        <w:rPr>
          <w:lang w:val="en-US"/>
        </w:rPr>
        <w:t xml:space="preserve"> wishes to designate a new notifying administration vis-à-vis ITU for its satellite networks, the Bureau shall effect the corresponding modifications upon receipt of due written notification to that effect by the legal representative of the intergovernmental organization in question under the terms of its constitutive Act.</w:t>
      </w:r>
      <w:r w:rsidR="00A04888">
        <w:rPr>
          <w:lang w:val="en-US"/>
        </w:rPr>
        <w:t xml:space="preserve"> This notification shall include the evidence of agreement from the newly named administration to act as the notifying administration on behalf of the intergovernmental organization.</w:t>
      </w:r>
    </w:p>
    <w:p w:rsidR="00A04888" w:rsidRPr="00933276" w:rsidRDefault="00A04888" w:rsidP="00A04888">
      <w:pPr>
        <w:pStyle w:val="enumlev1"/>
        <w:rPr>
          <w:lang w:val="en-US"/>
        </w:rPr>
      </w:pPr>
    </w:p>
    <w:p w:rsidR="005F50DB" w:rsidRPr="00933276" w:rsidRDefault="005F50DB" w:rsidP="00A04888">
      <w:pPr>
        <w:pStyle w:val="Normalaftertitle"/>
        <w:spacing w:before="120"/>
        <w:rPr>
          <w:rFonts w:ascii="Arial" w:hAnsi="Arial" w:cs="Arial"/>
          <w:i/>
          <w:iCs/>
          <w:sz w:val="20"/>
          <w:lang w:val="en-US" w:eastAsia="zh-CN"/>
        </w:rPr>
      </w:pPr>
      <w:r w:rsidRPr="00933276">
        <w:rPr>
          <w:b/>
          <w:bCs/>
          <w:i/>
          <w:iCs/>
          <w:color w:val="000000"/>
          <w:szCs w:val="24"/>
          <w:lang w:val="en-US"/>
        </w:rPr>
        <w:t>Reasons</w:t>
      </w:r>
      <w:r w:rsidRPr="00933276">
        <w:rPr>
          <w:i/>
          <w:iCs/>
          <w:color w:val="000000"/>
          <w:szCs w:val="24"/>
          <w:lang w:val="en-US"/>
        </w:rPr>
        <w:t>:  Request by the Radio Regulation</w:t>
      </w:r>
      <w:r>
        <w:rPr>
          <w:i/>
          <w:iCs/>
          <w:color w:val="000000"/>
          <w:szCs w:val="24"/>
          <w:lang w:val="en-US"/>
        </w:rPr>
        <w:t>s</w:t>
      </w:r>
      <w:r w:rsidRPr="00933276">
        <w:rPr>
          <w:i/>
          <w:iCs/>
          <w:color w:val="000000"/>
          <w:szCs w:val="24"/>
          <w:lang w:val="en-US"/>
        </w:rPr>
        <w:t xml:space="preserve"> Board at its 56</w:t>
      </w:r>
      <w:r w:rsidRPr="00933276">
        <w:rPr>
          <w:i/>
          <w:iCs/>
          <w:color w:val="000000"/>
          <w:szCs w:val="24"/>
          <w:vertAlign w:val="superscript"/>
          <w:lang w:val="en-US"/>
        </w:rPr>
        <w:t>th</w:t>
      </w:r>
      <w:r w:rsidRPr="00933276">
        <w:rPr>
          <w:i/>
          <w:iCs/>
          <w:color w:val="000000"/>
          <w:szCs w:val="24"/>
          <w:lang w:val="en-US"/>
        </w:rPr>
        <w:t xml:space="preserve"> Meeting</w:t>
      </w:r>
      <w:r w:rsidR="00A04888">
        <w:rPr>
          <w:i/>
          <w:iCs/>
          <w:color w:val="000000"/>
          <w:szCs w:val="24"/>
          <w:lang w:val="en-US"/>
        </w:rPr>
        <w:t xml:space="preserve"> (Summary of Decisions, Agenda Item 8, Item 3)</w:t>
      </w:r>
    </w:p>
    <w:p w:rsidR="005F50DB" w:rsidRPr="00933276" w:rsidRDefault="005F50DB" w:rsidP="005F50DB">
      <w:pPr>
        <w:rPr>
          <w:rFonts w:cs="Arial"/>
          <w:i/>
          <w:iCs/>
          <w:color w:val="000000"/>
          <w:szCs w:val="24"/>
          <w:lang w:val="en-US"/>
        </w:rPr>
      </w:pPr>
    </w:p>
    <w:p w:rsidR="005F50DB" w:rsidRPr="00933276" w:rsidRDefault="005F50DB" w:rsidP="005F50DB">
      <w:pPr>
        <w:rPr>
          <w:i/>
          <w:iCs/>
          <w:szCs w:val="24"/>
          <w:lang w:val="en-US"/>
        </w:rPr>
      </w:pPr>
      <w:r w:rsidRPr="00933276">
        <w:rPr>
          <w:i/>
          <w:iCs/>
          <w:color w:val="000000"/>
          <w:szCs w:val="24"/>
          <w:lang w:val="en-US"/>
        </w:rPr>
        <w:t>Effective date of application of the modified Rule:  Immediately after the approval of the Rule.</w:t>
      </w:r>
    </w:p>
    <w:p w:rsidR="001E15AA" w:rsidRDefault="001E15AA" w:rsidP="006F399E">
      <w:pPr>
        <w:tabs>
          <w:tab w:val="clear" w:pos="794"/>
          <w:tab w:val="clear" w:pos="1191"/>
          <w:tab w:val="clear" w:pos="1588"/>
          <w:tab w:val="clear" w:pos="1985"/>
          <w:tab w:val="center" w:pos="7140"/>
        </w:tabs>
      </w:pPr>
    </w:p>
    <w:sectPr w:rsidR="001E15AA" w:rsidSect="00025CD4">
      <w:headerReference w:type="default" r:id="rId13"/>
      <w:headerReference w:type="first" r:id="rId14"/>
      <w:footerReference w:type="first" r:id="rId15"/>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02" w:rsidRDefault="00975402">
      <w:r>
        <w:separator/>
      </w:r>
    </w:p>
  </w:endnote>
  <w:endnote w:type="continuationSeparator" w:id="0">
    <w:p w:rsidR="00975402" w:rsidRDefault="0097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02" w:rsidRPr="001D39E4" w:rsidRDefault="00975402" w:rsidP="00975402">
    <w:pPr>
      <w:pStyle w:val="Footer"/>
      <w:rPr>
        <w:vanish/>
        <w:lang w:val="en-US"/>
      </w:rPr>
    </w:pPr>
    <w:r w:rsidRPr="0007286D">
      <w:rPr>
        <w:vanish/>
      </w:rPr>
      <w:t>X:\SG\C&amp;P\Registre\UIT-R\RRB</w:t>
    </w:r>
    <w:r>
      <w:rPr>
        <w:vanish/>
      </w:rPr>
      <w:t>\CCRR-42e.doc (wo 305092)</w:t>
    </w:r>
    <w:r w:rsidRPr="001D39E4">
      <w:rPr>
        <w:vanish/>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9"/>
      <w:gridCol w:w="2390"/>
      <w:gridCol w:w="2292"/>
    </w:tblGrid>
    <w:tr w:rsidR="00975402" w:rsidTr="00975402">
      <w:trPr>
        <w:cantSplit/>
      </w:trPr>
      <w:tc>
        <w:tcPr>
          <w:tcW w:w="1051" w:type="pct"/>
          <w:tcBorders>
            <w:top w:val="single" w:sz="6" w:space="0" w:color="auto"/>
          </w:tcBorders>
          <w:tcMar>
            <w:top w:w="57" w:type="dxa"/>
          </w:tcMar>
        </w:tcPr>
        <w:p w:rsidR="00975402" w:rsidRDefault="00975402">
          <w:pPr>
            <w:pStyle w:val="itu"/>
          </w:pPr>
          <w:r>
            <w:t>Place des Nations</w:t>
          </w:r>
        </w:p>
      </w:tc>
      <w:tc>
        <w:tcPr>
          <w:tcW w:w="1572" w:type="pct"/>
          <w:tcBorders>
            <w:top w:val="single" w:sz="6" w:space="0" w:color="auto"/>
          </w:tcBorders>
          <w:tcMar>
            <w:top w:w="57" w:type="dxa"/>
          </w:tcMar>
        </w:tcPr>
        <w:p w:rsidR="00975402" w:rsidRDefault="00975402">
          <w:pPr>
            <w:pStyle w:val="itu"/>
          </w:pPr>
          <w:r>
            <w:t>Telephone</w:t>
          </w:r>
          <w:r>
            <w:tab/>
            <w:t>+41 22 730 51 11</w:t>
          </w:r>
        </w:p>
      </w:tc>
      <w:tc>
        <w:tcPr>
          <w:tcW w:w="1213" w:type="pct"/>
          <w:tcBorders>
            <w:top w:val="single" w:sz="6" w:space="0" w:color="auto"/>
          </w:tcBorders>
          <w:tcMar>
            <w:top w:w="57" w:type="dxa"/>
          </w:tcMar>
        </w:tcPr>
        <w:p w:rsidR="00975402" w:rsidRDefault="00975402">
          <w:pPr>
            <w:pStyle w:val="itu"/>
          </w:pPr>
          <w:r>
            <w:t xml:space="preserve">Telex 421 000 </w:t>
          </w:r>
          <w:proofErr w:type="spellStart"/>
          <w:r>
            <w:t>uit</w:t>
          </w:r>
          <w:proofErr w:type="spellEnd"/>
          <w:r>
            <w:t xml:space="preserve"> </w:t>
          </w:r>
          <w:proofErr w:type="spellStart"/>
          <w:r>
            <w:t>ch</w:t>
          </w:r>
          <w:proofErr w:type="spellEnd"/>
        </w:p>
      </w:tc>
      <w:tc>
        <w:tcPr>
          <w:tcW w:w="1163" w:type="pct"/>
          <w:tcBorders>
            <w:top w:val="single" w:sz="6" w:space="0" w:color="auto"/>
          </w:tcBorders>
          <w:tcMar>
            <w:top w:w="57" w:type="dxa"/>
          </w:tcMar>
        </w:tcPr>
        <w:p w:rsidR="00975402" w:rsidRDefault="00975402">
          <w:pPr>
            <w:pStyle w:val="itu"/>
          </w:pPr>
          <w:r>
            <w:t>E-mail:</w:t>
          </w:r>
          <w:r>
            <w:tab/>
            <w:t>itumail@itu.int</w:t>
          </w:r>
        </w:p>
      </w:tc>
    </w:tr>
    <w:tr w:rsidR="00975402" w:rsidTr="00975402">
      <w:trPr>
        <w:cantSplit/>
      </w:trPr>
      <w:tc>
        <w:tcPr>
          <w:tcW w:w="1051" w:type="pct"/>
        </w:tcPr>
        <w:p w:rsidR="00975402" w:rsidRDefault="00975402">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72" w:type="pct"/>
        </w:tcPr>
        <w:p w:rsidR="00975402" w:rsidRDefault="00975402">
          <w:pPr>
            <w:pStyle w:val="itu"/>
          </w:pPr>
          <w:r>
            <w:t>Telefax</w:t>
          </w:r>
          <w:r>
            <w:tab/>
            <w:t>Gr3:</w:t>
          </w:r>
          <w:r>
            <w:tab/>
            <w:t>+41 22 733 72 56</w:t>
          </w:r>
        </w:p>
      </w:tc>
      <w:tc>
        <w:tcPr>
          <w:tcW w:w="1213" w:type="pct"/>
        </w:tcPr>
        <w:p w:rsidR="00975402" w:rsidRDefault="00975402">
          <w:pPr>
            <w:pStyle w:val="itu"/>
          </w:pPr>
          <w:r>
            <w:t>Telegram ITU GENEVE</w:t>
          </w:r>
        </w:p>
      </w:tc>
      <w:tc>
        <w:tcPr>
          <w:tcW w:w="1163" w:type="pct"/>
        </w:tcPr>
        <w:p w:rsidR="00975402" w:rsidRDefault="00975402">
          <w:pPr>
            <w:pStyle w:val="itu"/>
          </w:pPr>
          <w:r>
            <w:tab/>
          </w:r>
          <w:hyperlink r:id="rId1" w:history="1">
            <w:r>
              <w:t>http://www.itu.int/</w:t>
            </w:r>
          </w:hyperlink>
        </w:p>
      </w:tc>
    </w:tr>
    <w:tr w:rsidR="00975402" w:rsidTr="00975402">
      <w:trPr>
        <w:cantSplit/>
      </w:trPr>
      <w:tc>
        <w:tcPr>
          <w:tcW w:w="1051" w:type="pct"/>
        </w:tcPr>
        <w:p w:rsidR="00975402" w:rsidRDefault="00975402">
          <w:pPr>
            <w:pStyle w:val="itu"/>
          </w:pPr>
          <w:smartTag w:uri="urn:schemas-microsoft-com:office:smarttags" w:element="country-region">
            <w:smartTag w:uri="urn:schemas-microsoft-com:office:smarttags" w:element="place">
              <w:r>
                <w:t>Switzerland</w:t>
              </w:r>
            </w:smartTag>
          </w:smartTag>
        </w:p>
      </w:tc>
      <w:tc>
        <w:tcPr>
          <w:tcW w:w="1572" w:type="pct"/>
        </w:tcPr>
        <w:p w:rsidR="00975402" w:rsidRDefault="00975402">
          <w:pPr>
            <w:pStyle w:val="itu"/>
          </w:pPr>
          <w:r>
            <w:tab/>
            <w:t>Gr4:</w:t>
          </w:r>
          <w:r>
            <w:tab/>
            <w:t>+41 22 730 65 00</w:t>
          </w:r>
        </w:p>
      </w:tc>
      <w:tc>
        <w:tcPr>
          <w:tcW w:w="1213" w:type="pct"/>
        </w:tcPr>
        <w:p w:rsidR="00975402" w:rsidRDefault="00975402">
          <w:pPr>
            <w:pStyle w:val="itu"/>
          </w:pPr>
        </w:p>
      </w:tc>
      <w:tc>
        <w:tcPr>
          <w:tcW w:w="1163" w:type="pct"/>
        </w:tcPr>
        <w:p w:rsidR="00975402" w:rsidRDefault="00975402">
          <w:pPr>
            <w:pStyle w:val="itu"/>
          </w:pPr>
        </w:p>
      </w:tc>
    </w:tr>
  </w:tbl>
  <w:p w:rsidR="00975402" w:rsidRPr="00A04888" w:rsidRDefault="00975402" w:rsidP="006F399E">
    <w:pPr>
      <w:spacing w:before="0"/>
      <w:rPr>
        <w:sz w:val="16"/>
        <w:szCs w:val="16"/>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02" w:rsidRDefault="00975402">
    <w:pPr>
      <w:pStyle w:val="Footer"/>
    </w:pPr>
    <w:r>
      <w:tab/>
    </w:r>
    <w:r>
      <w:fldChar w:fldCharType="begin"/>
    </w:r>
    <w:r>
      <w:instrText xml:space="preserve"> SAVEDATE \@ DD.MM.YY </w:instrText>
    </w:r>
    <w:r>
      <w:fldChar w:fldCharType="separate"/>
    </w:r>
    <w:r w:rsidR="008E715B">
      <w:t>04.04.11</w:t>
    </w:r>
    <w:r>
      <w:fldChar w:fldCharType="end"/>
    </w:r>
    <w:r>
      <w:tab/>
    </w:r>
    <w:r>
      <w:fldChar w:fldCharType="begin"/>
    </w:r>
    <w:r>
      <w:instrText xml:space="preserve"> PRINTDATE \@ DD.MM.YY </w:instrText>
    </w:r>
    <w:r>
      <w:fldChar w:fldCharType="separate"/>
    </w:r>
    <w:r w:rsidR="008E715B">
      <w:t>04.04.11</w:t>
    </w:r>
    <w:r>
      <w:fldChar w:fldCharType="end"/>
    </w:r>
  </w:p>
  <w:p w:rsidR="00975402" w:rsidRPr="009E1957" w:rsidRDefault="00975402" w:rsidP="009B78BF">
    <w:pPr>
      <w:pStyle w:val="Foo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02" w:rsidRDefault="00975402">
      <w:r>
        <w:t>____________________</w:t>
      </w:r>
    </w:p>
  </w:footnote>
  <w:footnote w:type="continuationSeparator" w:id="0">
    <w:p w:rsidR="00975402" w:rsidRDefault="00975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02" w:rsidRDefault="00975402" w:rsidP="0097540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B525D">
      <w:rPr>
        <w:rStyle w:val="PageNumber"/>
        <w:noProof/>
      </w:rPr>
      <w:t>2</w:t>
    </w:r>
    <w:r>
      <w:rPr>
        <w:rStyle w:val="PageNumber"/>
      </w:rPr>
      <w:fldChar w:fldCharType="end"/>
    </w:r>
    <w:r>
      <w:rPr>
        <w:rStyle w:val="PageNumber"/>
      </w:rPr>
      <w:t xml:space="preserve"> -</w:t>
    </w:r>
  </w:p>
  <w:p w:rsidR="00975402" w:rsidRDefault="00975402">
    <w:pPr>
      <w:pStyle w:val="Header"/>
      <w:rPr>
        <w:rStyle w:val="PageNumber"/>
      </w:rPr>
    </w:pPr>
    <w:r>
      <w:rPr>
        <w:rStyle w:val="PageNumber"/>
      </w:rPr>
      <w:t>CCRR/39-E</w:t>
    </w:r>
  </w:p>
  <w:p w:rsidR="00975402" w:rsidRPr="001E15AA" w:rsidRDefault="00975402">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02" w:rsidRDefault="0097540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F399E">
      <w:rPr>
        <w:rStyle w:val="PageNumber"/>
        <w:noProof/>
      </w:rPr>
      <w:t>3</w:t>
    </w:r>
    <w:r>
      <w:rPr>
        <w:rStyle w:val="PageNumber"/>
      </w:rPr>
      <w:fldChar w:fldCharType="end"/>
    </w:r>
    <w:r>
      <w:rPr>
        <w:rStyle w:val="PageNumber"/>
      </w:rPr>
      <w:t xml:space="preserve"> -</w:t>
    </w:r>
  </w:p>
  <w:p w:rsidR="00975402" w:rsidRPr="001E15AA" w:rsidRDefault="00975402">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09425"/>
      <w:docPartObj>
        <w:docPartGallery w:val="Page Numbers (Top of Page)"/>
        <w:docPartUnique/>
      </w:docPartObj>
    </w:sdtPr>
    <w:sdtEndPr>
      <w:rPr>
        <w:noProof/>
      </w:rPr>
    </w:sdtEndPr>
    <w:sdtContent>
      <w:p w:rsidR="00975402" w:rsidRDefault="00975402">
        <w:pPr>
          <w:pStyle w:val="Header"/>
        </w:pPr>
        <w:r>
          <w:fldChar w:fldCharType="begin"/>
        </w:r>
        <w:r>
          <w:instrText xml:space="preserve"> PAGE   \* MERGEFORMAT </w:instrText>
        </w:r>
        <w:r>
          <w:fldChar w:fldCharType="separate"/>
        </w:r>
        <w:r w:rsidR="008E715B">
          <w:rPr>
            <w:noProof/>
          </w:rPr>
          <w:t>2</w:t>
        </w:r>
        <w:r>
          <w:rPr>
            <w:noProof/>
          </w:rPr>
          <w:fldChar w:fldCharType="end"/>
        </w:r>
      </w:p>
    </w:sdtContent>
  </w:sdt>
  <w:p w:rsidR="00975402" w:rsidRDefault="00975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847"/>
    <w:multiLevelType w:val="hybridMultilevel"/>
    <w:tmpl w:val="E9E0D418"/>
    <w:lvl w:ilvl="0" w:tplc="07E415D4">
      <w:numFmt w:val="bullet"/>
      <w:lvlText w:val="-"/>
      <w:lvlJc w:val="left"/>
      <w:pPr>
        <w:ind w:left="1800" w:hanging="360"/>
      </w:pPr>
      <w:rPr>
        <w:rFonts w:ascii="Calibri" w:eastAsia="SimSun"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0DB"/>
    <w:rsid w:val="00016557"/>
    <w:rsid w:val="00025CD4"/>
    <w:rsid w:val="000E15C1"/>
    <w:rsid w:val="000E64DA"/>
    <w:rsid w:val="000F527D"/>
    <w:rsid w:val="001E15AA"/>
    <w:rsid w:val="001F1196"/>
    <w:rsid w:val="00210B45"/>
    <w:rsid w:val="002207B6"/>
    <w:rsid w:val="00227F65"/>
    <w:rsid w:val="003D3993"/>
    <w:rsid w:val="003F40D2"/>
    <w:rsid w:val="0044634B"/>
    <w:rsid w:val="004A5AB1"/>
    <w:rsid w:val="004C1881"/>
    <w:rsid w:val="004F26AE"/>
    <w:rsid w:val="0050552C"/>
    <w:rsid w:val="00595800"/>
    <w:rsid w:val="005F130D"/>
    <w:rsid w:val="005F50DB"/>
    <w:rsid w:val="005F7F4C"/>
    <w:rsid w:val="006136BC"/>
    <w:rsid w:val="006B3F95"/>
    <w:rsid w:val="006F399E"/>
    <w:rsid w:val="0071106C"/>
    <w:rsid w:val="00746900"/>
    <w:rsid w:val="007B525D"/>
    <w:rsid w:val="00811467"/>
    <w:rsid w:val="00881D43"/>
    <w:rsid w:val="008D4874"/>
    <w:rsid w:val="008E715B"/>
    <w:rsid w:val="00914EAC"/>
    <w:rsid w:val="0093776F"/>
    <w:rsid w:val="009676DC"/>
    <w:rsid w:val="009746CA"/>
    <w:rsid w:val="00975402"/>
    <w:rsid w:val="009846D5"/>
    <w:rsid w:val="009B78BF"/>
    <w:rsid w:val="009E14F3"/>
    <w:rsid w:val="009E1957"/>
    <w:rsid w:val="00A04888"/>
    <w:rsid w:val="00A06093"/>
    <w:rsid w:val="00A10FF2"/>
    <w:rsid w:val="00AB07C5"/>
    <w:rsid w:val="00AB1815"/>
    <w:rsid w:val="00B57344"/>
    <w:rsid w:val="00B87E04"/>
    <w:rsid w:val="00D35752"/>
    <w:rsid w:val="00D463D0"/>
    <w:rsid w:val="00D61395"/>
    <w:rsid w:val="00D744B4"/>
    <w:rsid w:val="00EC1CAB"/>
    <w:rsid w:val="00EC710F"/>
    <w:rsid w:val="00F00BFA"/>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F50DB"/>
    <w:rPr>
      <w:color w:val="0000FF"/>
      <w:u w:val="single"/>
    </w:rPr>
  </w:style>
  <w:style w:type="character" w:customStyle="1" w:styleId="FooterChar">
    <w:name w:val="Footer Char"/>
    <w:aliases w:val="pie de página Char"/>
    <w:link w:val="Footer"/>
    <w:rsid w:val="005F50DB"/>
    <w:rPr>
      <w:rFonts w:ascii="Times New Roman" w:hAnsi="Times New Roman"/>
      <w:caps/>
      <w:noProof/>
      <w:sz w:val="16"/>
      <w:lang w:val="en-GB" w:eastAsia="en-US"/>
    </w:rPr>
  </w:style>
  <w:style w:type="character" w:customStyle="1" w:styleId="HeaderChar">
    <w:name w:val="Header Char"/>
    <w:aliases w:val="encabezado Char"/>
    <w:link w:val="Header"/>
    <w:uiPriority w:val="99"/>
    <w:rsid w:val="005F50DB"/>
    <w:rPr>
      <w:rFonts w:ascii="Times New Roman" w:hAnsi="Times New Roman"/>
      <w:sz w:val="18"/>
      <w:lang w:val="en-GB" w:eastAsia="en-US"/>
    </w:rPr>
  </w:style>
  <w:style w:type="paragraph" w:customStyle="1" w:styleId="AnnexNo">
    <w:name w:val="Annex_No"/>
    <w:basedOn w:val="Normal"/>
    <w:next w:val="Normal"/>
    <w:rsid w:val="005F50D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5F50D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style129">
    <w:name w:val="style129"/>
    <w:uiPriority w:val="99"/>
    <w:rsid w:val="005F50DB"/>
    <w:rPr>
      <w:rFonts w:cs="Times New Roman"/>
    </w:rPr>
  </w:style>
  <w:style w:type="paragraph" w:styleId="ListParagraph">
    <w:name w:val="List Paragraph"/>
    <w:basedOn w:val="Normal"/>
    <w:uiPriority w:val="34"/>
    <w:qFormat/>
    <w:rsid w:val="00A04888"/>
    <w:pPr>
      <w:tabs>
        <w:tab w:val="clear" w:pos="794"/>
        <w:tab w:val="clear" w:pos="1191"/>
        <w:tab w:val="clear" w:pos="1588"/>
        <w:tab w:val="clear" w:pos="1985"/>
      </w:tabs>
      <w:overflowPunct/>
      <w:autoSpaceDE/>
      <w:autoSpaceDN/>
      <w:adjustRightInd/>
      <w:spacing w:before="0"/>
      <w:ind w:left="720"/>
      <w:textAlignment w:val="auto"/>
    </w:pPr>
    <w:rPr>
      <w:rFonts w:ascii="Calibri" w:eastAsiaTheme="minorEastAsia" w:hAnsi="Calibri" w:cs="Calibri"/>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F50DB"/>
    <w:rPr>
      <w:color w:val="0000FF"/>
      <w:u w:val="single"/>
    </w:rPr>
  </w:style>
  <w:style w:type="character" w:customStyle="1" w:styleId="FooterChar">
    <w:name w:val="Footer Char"/>
    <w:aliases w:val="pie de página Char"/>
    <w:link w:val="Footer"/>
    <w:rsid w:val="005F50DB"/>
    <w:rPr>
      <w:rFonts w:ascii="Times New Roman" w:hAnsi="Times New Roman"/>
      <w:caps/>
      <w:noProof/>
      <w:sz w:val="16"/>
      <w:lang w:val="en-GB" w:eastAsia="en-US"/>
    </w:rPr>
  </w:style>
  <w:style w:type="character" w:customStyle="1" w:styleId="HeaderChar">
    <w:name w:val="Header Char"/>
    <w:aliases w:val="encabezado Char"/>
    <w:link w:val="Header"/>
    <w:uiPriority w:val="99"/>
    <w:rsid w:val="005F50DB"/>
    <w:rPr>
      <w:rFonts w:ascii="Times New Roman" w:hAnsi="Times New Roman"/>
      <w:sz w:val="18"/>
      <w:lang w:val="en-GB" w:eastAsia="en-US"/>
    </w:rPr>
  </w:style>
  <w:style w:type="paragraph" w:customStyle="1" w:styleId="AnnexNo">
    <w:name w:val="Annex_No"/>
    <w:basedOn w:val="Normal"/>
    <w:next w:val="Normal"/>
    <w:rsid w:val="005F50D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5F50D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style129">
    <w:name w:val="style129"/>
    <w:uiPriority w:val="99"/>
    <w:rsid w:val="005F50DB"/>
    <w:rPr>
      <w:rFonts w:cs="Times New Roman"/>
    </w:rPr>
  </w:style>
  <w:style w:type="paragraph" w:styleId="ListParagraph">
    <w:name w:val="List Paragraph"/>
    <w:basedOn w:val="Normal"/>
    <w:uiPriority w:val="34"/>
    <w:qFormat/>
    <w:rsid w:val="00A04888"/>
    <w:pPr>
      <w:tabs>
        <w:tab w:val="clear" w:pos="794"/>
        <w:tab w:val="clear" w:pos="1191"/>
        <w:tab w:val="clear" w:pos="1588"/>
        <w:tab w:val="clear" w:pos="1985"/>
      </w:tabs>
      <w:overflowPunct/>
      <w:autoSpaceDE/>
      <w:autoSpaceDN/>
      <w:adjustRightInd/>
      <w:spacing w:before="0"/>
      <w:ind w:left="720"/>
      <w:textAlignment w:val="auto"/>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28503">
      <w:bodyDiv w:val="1"/>
      <w:marLeft w:val="0"/>
      <w:marRight w:val="0"/>
      <w:marTop w:val="0"/>
      <w:marBottom w:val="0"/>
      <w:divBdr>
        <w:top w:val="none" w:sz="0" w:space="0" w:color="auto"/>
        <w:left w:val="none" w:sz="0" w:space="0" w:color="auto"/>
        <w:bottom w:val="none" w:sz="0" w:space="0" w:color="auto"/>
        <w:right w:val="none" w:sz="0" w:space="0" w:color="auto"/>
      </w:divBdr>
    </w:div>
    <w:div w:id="101083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blue\dfs\refinfo\refinfo\appxchg\steel\Documents%20and%20Settings\gavrilov\Documents%20and%20Settings\steel\Documents%20and%20Settings\gavrilov\Documents%20and%20Settings\kongmark\Documents%20and%20Settings\steel\backup\Documents%20and%20Settings\koker\Local%20Settings\Temporary%20Internet%20Files\OLK11\brmail@itu.in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al\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PE_BRcirc.dotm</Template>
  <TotalTime>4</TotalTime>
  <Pages>2</Pages>
  <Words>536</Words>
  <Characters>3416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3945</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neal</dc:creator>
  <cp:keywords/>
  <dc:description/>
  <cp:lastModifiedBy>gozal</cp:lastModifiedBy>
  <cp:revision>5</cp:revision>
  <cp:lastPrinted>2011-04-04T08:27:00Z</cp:lastPrinted>
  <dcterms:created xsi:type="dcterms:W3CDTF">2011-04-01T12:17:00Z</dcterms:created>
  <dcterms:modified xsi:type="dcterms:W3CDTF">2011-04-04T08:27:00Z</dcterms:modified>
</cp:coreProperties>
</file>