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162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1622" w:rsidRDefault="00F96264" w:rsidP="00F96264">
      <w:pPr>
        <w:tabs>
          <w:tab w:val="left" w:pos="7513"/>
        </w:tabs>
      </w:pPr>
    </w:p>
    <w:p w:rsidR="00F96264" w:rsidRPr="0035162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351622">
        <w:trPr>
          <w:cantSplit/>
        </w:trPr>
        <w:tc>
          <w:tcPr>
            <w:tcW w:w="2802" w:type="dxa"/>
          </w:tcPr>
          <w:p w:rsidR="00F96264" w:rsidRPr="00351622" w:rsidRDefault="00351622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351622">
              <w:rPr>
                <w:b/>
                <w:bCs/>
                <w:lang w:val="fr-FR"/>
              </w:rPr>
              <w:t>Circular</w:t>
            </w:r>
            <w:proofErr w:type="spellEnd"/>
            <w:r w:rsidRPr="0035162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351622">
              <w:rPr>
                <w:b/>
                <w:bCs/>
                <w:lang w:val="fr-FR"/>
              </w:rPr>
              <w:t>Adm</w:t>
            </w:r>
            <w:r w:rsidR="00563214">
              <w:rPr>
                <w:b/>
                <w:bCs/>
                <w:lang w:val="fr-FR"/>
              </w:rPr>
              <w:t>i</w:t>
            </w:r>
            <w:r w:rsidRPr="00351622">
              <w:rPr>
                <w:b/>
                <w:bCs/>
                <w:lang w:val="fr-FR"/>
              </w:rPr>
              <w:t>nistrativa</w:t>
            </w:r>
            <w:proofErr w:type="spellEnd"/>
          </w:p>
          <w:p w:rsidR="00F96264" w:rsidRPr="00351622" w:rsidRDefault="00351622" w:rsidP="00A168E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CAR/3</w:t>
            </w:r>
            <w:r w:rsidR="00A168EA">
              <w:rPr>
                <w:b/>
                <w:bCs/>
                <w:lang w:val="fr-FR"/>
              </w:rPr>
              <w:t>31</w:t>
            </w:r>
          </w:p>
        </w:tc>
        <w:tc>
          <w:tcPr>
            <w:tcW w:w="7218" w:type="dxa"/>
          </w:tcPr>
          <w:p w:rsidR="00F96264" w:rsidRPr="00351622" w:rsidRDefault="00A168EA" w:rsidP="00A168E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15</w:t>
            </w:r>
            <w:r w:rsidR="00351622">
              <w:rPr>
                <w:bCs/>
                <w:lang w:val="fr-FR"/>
              </w:rPr>
              <w:t xml:space="preserve"> de </w:t>
            </w:r>
            <w:proofErr w:type="spellStart"/>
            <w:r>
              <w:rPr>
                <w:bCs/>
                <w:lang w:val="fr-FR"/>
              </w:rPr>
              <w:t>diciembre</w:t>
            </w:r>
            <w:proofErr w:type="spellEnd"/>
            <w:r w:rsidR="00351622">
              <w:rPr>
                <w:bCs/>
                <w:lang w:val="fr-FR"/>
              </w:rPr>
              <w:t xml:space="preserve"> de 201</w:t>
            </w:r>
            <w:r w:rsidR="00563214"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351622" w:rsidRDefault="00F96264" w:rsidP="0056321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351622">
        <w:tab/>
      </w:r>
      <w:bookmarkStart w:id="3" w:name="dtitle1"/>
      <w:bookmarkEnd w:id="3"/>
      <w:r w:rsidR="009526DD" w:rsidRPr="009526DD">
        <w:rPr>
          <w:b/>
        </w:rPr>
        <w:t xml:space="preserve">Comisión de Estudio </w:t>
      </w:r>
      <w:r w:rsidR="00563214">
        <w:rPr>
          <w:b/>
        </w:rPr>
        <w:t>5</w:t>
      </w:r>
      <w:r w:rsidR="009526DD" w:rsidRPr="009526DD">
        <w:rPr>
          <w:b/>
        </w:rPr>
        <w:t xml:space="preserve"> de Radiocomunicaciones</w:t>
      </w:r>
      <w:r w:rsidR="00A168EA">
        <w:rPr>
          <w:b/>
        </w:rPr>
        <w:t xml:space="preserve"> </w:t>
      </w:r>
      <w:r w:rsidR="00A168EA" w:rsidRPr="00A168EA">
        <w:rPr>
          <w:b/>
        </w:rPr>
        <w:t>(Servicios terrenales)</w:t>
      </w:r>
    </w:p>
    <w:p w:rsidR="009526DD" w:rsidRDefault="009526DD" w:rsidP="00563214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240"/>
        <w:ind w:left="2160" w:hanging="2160"/>
        <w:rPr>
          <w:b/>
          <w:bCs/>
        </w:rPr>
      </w:pPr>
      <w:r w:rsidRPr="009526DD">
        <w:rPr>
          <w:b/>
          <w:bCs/>
        </w:rPr>
        <w:tab/>
        <w:t>–</w:t>
      </w:r>
      <w:r w:rsidRPr="009526DD">
        <w:rPr>
          <w:b/>
          <w:bCs/>
        </w:rPr>
        <w:tab/>
        <w:t xml:space="preserve">Propuesta de aprobación de </w:t>
      </w:r>
      <w:r w:rsidR="00563214">
        <w:rPr>
          <w:b/>
          <w:bCs/>
        </w:rPr>
        <w:t>1</w:t>
      </w:r>
      <w:r w:rsidRPr="009526DD">
        <w:rPr>
          <w:b/>
          <w:bCs/>
        </w:rPr>
        <w:t xml:space="preserve"> proyecto de nueva Recomendaci</w:t>
      </w:r>
      <w:r w:rsidR="00563214">
        <w:rPr>
          <w:b/>
          <w:bCs/>
        </w:rPr>
        <w:t>ón</w:t>
      </w:r>
      <w:r w:rsidRPr="009526DD">
        <w:rPr>
          <w:b/>
          <w:bCs/>
        </w:rPr>
        <w:t xml:space="preserve"> </w:t>
      </w:r>
      <w:r w:rsidR="00A168EA">
        <w:rPr>
          <w:b/>
          <w:bCs/>
        </w:rPr>
        <w:t>y 13</w:t>
      </w:r>
      <w:r w:rsidRPr="009526DD">
        <w:rPr>
          <w:b/>
          <w:bCs/>
        </w:rPr>
        <w:t> proyectos de Recomendaciones revisadas</w:t>
      </w:r>
    </w:p>
    <w:p w:rsidR="009526DD" w:rsidRPr="009526DD" w:rsidRDefault="009526DD" w:rsidP="009526DD"/>
    <w:p w:rsidR="009526DD" w:rsidRPr="009526DD" w:rsidRDefault="009526DD" w:rsidP="00A168EA">
      <w:pPr>
        <w:ind w:right="-284"/>
        <w:rPr>
          <w:lang w:val="es-ES"/>
        </w:rPr>
      </w:pPr>
      <w:r w:rsidRPr="009526DD">
        <w:rPr>
          <w:lang w:val="es-ES"/>
        </w:rPr>
        <w:t xml:space="preserve">En la reunión de la Comisión de Estudio </w:t>
      </w:r>
      <w:r w:rsidR="00563214">
        <w:rPr>
          <w:lang w:val="es-ES"/>
        </w:rPr>
        <w:t>5</w:t>
      </w:r>
      <w:r w:rsidRPr="009526DD">
        <w:rPr>
          <w:lang w:val="es-ES"/>
        </w:rPr>
        <w:t xml:space="preserve"> del UIT-R (</w:t>
      </w:r>
      <w:r>
        <w:rPr>
          <w:lang w:val="es-ES"/>
        </w:rPr>
        <w:t xml:space="preserve">Servicios </w:t>
      </w:r>
      <w:r w:rsidR="00563214">
        <w:rPr>
          <w:lang w:val="es-ES"/>
        </w:rPr>
        <w:t>terrenales</w:t>
      </w:r>
      <w:r w:rsidRPr="009526DD">
        <w:rPr>
          <w:lang w:val="es-ES"/>
        </w:rPr>
        <w:t xml:space="preserve">), celebrada </w:t>
      </w:r>
      <w:r w:rsidR="00A168EA">
        <w:rPr>
          <w:lang w:val="es-ES"/>
        </w:rPr>
        <w:t>del 21 al</w:t>
      </w:r>
      <w:r w:rsidR="00F37C01">
        <w:rPr>
          <w:lang w:val="es-ES"/>
        </w:rPr>
        <w:t> </w:t>
      </w:r>
      <w:r w:rsidR="00563214">
        <w:rPr>
          <w:lang w:val="es-ES"/>
        </w:rPr>
        <w:t>23</w:t>
      </w:r>
      <w:r>
        <w:rPr>
          <w:lang w:val="es-ES"/>
        </w:rPr>
        <w:t> </w:t>
      </w:r>
      <w:r w:rsidR="00A168EA">
        <w:rPr>
          <w:lang w:val="es-ES"/>
        </w:rPr>
        <w:t xml:space="preserve">de </w:t>
      </w:r>
      <w:r w:rsidR="00563214">
        <w:rPr>
          <w:lang w:val="es-ES"/>
        </w:rPr>
        <w:t>noviembre</w:t>
      </w:r>
      <w:r w:rsidR="00A168EA">
        <w:rPr>
          <w:lang w:val="es-ES"/>
        </w:rPr>
        <w:t xml:space="preserve"> de 2011</w:t>
      </w:r>
      <w:r w:rsidRPr="009526DD">
        <w:rPr>
          <w:lang w:val="es-ES"/>
        </w:rPr>
        <w:t xml:space="preserve">, la Comisión de Estudio adoptó </w:t>
      </w:r>
      <w:r w:rsidR="00A168EA">
        <w:rPr>
          <w:lang w:val="es-ES"/>
        </w:rPr>
        <w:t>los</w:t>
      </w:r>
      <w:r w:rsidRPr="009526DD">
        <w:rPr>
          <w:lang w:val="es-ES"/>
        </w:rPr>
        <w:t xml:space="preserve"> texto</w:t>
      </w:r>
      <w:r w:rsidR="00A168EA">
        <w:rPr>
          <w:lang w:val="es-ES"/>
        </w:rPr>
        <w:t>s</w:t>
      </w:r>
      <w:r w:rsidRPr="009526DD">
        <w:rPr>
          <w:lang w:val="es-ES"/>
        </w:rPr>
        <w:t xml:space="preserve"> de </w:t>
      </w:r>
      <w:r w:rsidR="00563214">
        <w:rPr>
          <w:lang w:val="es-ES"/>
        </w:rPr>
        <w:t>1</w:t>
      </w:r>
      <w:r w:rsidRPr="009526DD">
        <w:rPr>
          <w:lang w:val="es-ES"/>
        </w:rPr>
        <w:t xml:space="preserve"> proyecto de nueva Recomendaci</w:t>
      </w:r>
      <w:r w:rsidR="00563214">
        <w:rPr>
          <w:lang w:val="es-ES"/>
        </w:rPr>
        <w:t>ón</w:t>
      </w:r>
      <w:r w:rsidRPr="009526DD">
        <w:rPr>
          <w:lang w:val="es-ES"/>
        </w:rPr>
        <w:t xml:space="preserve"> y </w:t>
      </w:r>
      <w:r w:rsidR="00A168EA">
        <w:rPr>
          <w:lang w:val="es-ES"/>
        </w:rPr>
        <w:t>13</w:t>
      </w:r>
      <w:r w:rsidRPr="009526DD">
        <w:rPr>
          <w:lang w:val="es-ES"/>
        </w:rPr>
        <w:t xml:space="preserve"> proyectos de Recomendaciones revisadas y decidió aplicar los procedimientos de la Resolución UIT</w:t>
      </w:r>
      <w:r w:rsidRPr="009526DD">
        <w:rPr>
          <w:lang w:val="es-ES"/>
        </w:rPr>
        <w:noBreakHyphen/>
        <w:t xml:space="preserve">R 1-5 (véase el § 10.4.5) para aprobación de las Recomendaciones </w:t>
      </w:r>
      <w:r w:rsidR="00A168EA">
        <w:rPr>
          <w:lang w:val="es-ES"/>
        </w:rPr>
        <w:t>por consulta. Los títulos y los </w:t>
      </w:r>
      <w:r w:rsidRPr="009526DD">
        <w:rPr>
          <w:lang w:val="es-ES"/>
        </w:rPr>
        <w:t>resúmenes de est</w:t>
      </w:r>
      <w:r w:rsidR="00BF11C4">
        <w:rPr>
          <w:lang w:val="es-ES"/>
        </w:rPr>
        <w:t>os proyectos de Recomendaciones </w:t>
      </w:r>
      <w:r w:rsidRPr="009526DD">
        <w:rPr>
          <w:lang w:val="es-ES"/>
        </w:rPr>
        <w:t>figuran en el Anexo.</w:t>
      </w:r>
      <w:r>
        <w:rPr>
          <w:lang w:val="es-ES"/>
        </w:rPr>
        <w:t xml:space="preserve"> </w:t>
      </w:r>
    </w:p>
    <w:p w:rsidR="009526DD" w:rsidRPr="009526DD" w:rsidRDefault="009526DD" w:rsidP="00A168EA">
      <w:r w:rsidRPr="009526DD">
        <w:t>Habida cuenta de lo dispuesto en el § 10.4.5.2 de la Resolución U</w:t>
      </w:r>
      <w:r w:rsidR="00134A98">
        <w:t>IT</w:t>
      </w:r>
      <w:r w:rsidR="00134A98">
        <w:noBreakHyphen/>
        <w:t>R 1</w:t>
      </w:r>
      <w:r w:rsidR="00134A98">
        <w:noBreakHyphen/>
        <w:t>5, le ruego infor</w:t>
      </w:r>
      <w:r w:rsidR="00114A5B">
        <w:t>me a </w:t>
      </w:r>
      <w:r w:rsidR="00134A98">
        <w:t>la </w:t>
      </w:r>
      <w:r w:rsidRPr="009526DD">
        <w:t>Secretaría (</w:t>
      </w:r>
      <w:hyperlink r:id="rId9" w:history="1">
        <w:r w:rsidRPr="009526DD">
          <w:rPr>
            <w:rStyle w:val="Hyperlink"/>
          </w:rPr>
          <w:t>brsgd@itu.int</w:t>
        </w:r>
      </w:hyperlink>
      <w:r w:rsidRPr="009526DD">
        <w:t xml:space="preserve">), antes del </w:t>
      </w:r>
      <w:r w:rsidR="00A168EA">
        <w:rPr>
          <w:u w:val="single"/>
        </w:rPr>
        <w:t>15</w:t>
      </w:r>
      <w:r>
        <w:rPr>
          <w:u w:val="single"/>
        </w:rPr>
        <w:t xml:space="preserve"> de </w:t>
      </w:r>
      <w:r w:rsidR="00563214">
        <w:rPr>
          <w:u w:val="single"/>
        </w:rPr>
        <w:t>ma</w:t>
      </w:r>
      <w:r w:rsidR="00A168EA">
        <w:rPr>
          <w:u w:val="single"/>
        </w:rPr>
        <w:t>rzo</w:t>
      </w:r>
      <w:r w:rsidRPr="009526DD">
        <w:rPr>
          <w:u w:val="single"/>
        </w:rPr>
        <w:t xml:space="preserve"> de 201</w:t>
      </w:r>
      <w:r w:rsidR="00A168EA">
        <w:rPr>
          <w:u w:val="single"/>
        </w:rPr>
        <w:t>2</w:t>
      </w:r>
      <w:r w:rsidRPr="009526DD">
        <w:t>, si su Administración aprueba o no estos proyectos de Recomendaciones.</w:t>
      </w:r>
    </w:p>
    <w:p w:rsidR="009526DD" w:rsidRPr="009526DD" w:rsidRDefault="009526DD" w:rsidP="009526DD">
      <w:r w:rsidRPr="009526DD">
        <w:t>Se solicita a todo Estado Miembro que eventualmente se pronu</w:t>
      </w:r>
      <w:r w:rsidR="00134A98">
        <w:t>ncie contra la aprobación de un </w:t>
      </w:r>
      <w:r w:rsidRPr="009526DD">
        <w:t>proyecto de Recomendación, que indique a la Secretaría sus motivos y los posibles cambios para facilitar un nuevo examen por parte de la Comisión de Estudio durante el periodo de estudios (§ 10.4.5.5 de la Resolución UIT</w:t>
      </w:r>
      <w:r w:rsidRPr="009526DD">
        <w:noBreakHyphen/>
        <w:t>R 1</w:t>
      </w:r>
      <w:r w:rsidRPr="009526DD">
        <w:noBreakHyphen/>
        <w:t>5).</w:t>
      </w:r>
    </w:p>
    <w:p w:rsidR="009526DD" w:rsidRPr="009526DD" w:rsidRDefault="009526DD" w:rsidP="00134A98">
      <w:pPr>
        <w:ind w:right="-284"/>
      </w:pPr>
      <w:r w:rsidRPr="009526DD">
        <w:t>Tras la fecha límite mencionada, los resultados de esta consulta ser</w:t>
      </w:r>
      <w:r w:rsidR="00134A98">
        <w:t>án comunicados por Circular </w:t>
      </w:r>
      <w:r w:rsidRPr="009526DD">
        <w:t>Administrativa y se adoptarán las disposiciones pertine</w:t>
      </w:r>
      <w:r w:rsidR="00134A98">
        <w:t>ntes para la publicación de las </w:t>
      </w:r>
      <w:r w:rsidRPr="009526DD">
        <w:t>Recomendaciones conforme al § 10.4.7 de la Resolución UIT</w:t>
      </w:r>
      <w:r w:rsidRPr="009526DD">
        <w:noBreakHyphen/>
        <w:t>R 1</w:t>
      </w:r>
      <w:r w:rsidRPr="009526DD">
        <w:noBreakHyphen/>
        <w:t>5.</w:t>
      </w:r>
    </w:p>
    <w:p w:rsidR="009526DD" w:rsidRDefault="009526DD" w:rsidP="009526DD">
      <w:r w:rsidRPr="009526DD">
        <w:br w:type="page"/>
      </w:r>
      <w:r w:rsidRPr="009526DD">
        <w:lastRenderedPageBreak/>
        <w:t>Se ruega a toda organización miembro de la UIT que tenga con</w:t>
      </w:r>
      <w:r w:rsidR="00114A5B">
        <w:t>ocimiento de una patente, de su </w:t>
      </w:r>
      <w:r w:rsidRPr="009526DD">
        <w:t>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Pr="009526DD">
        <w:noBreakHyphen/>
        <w:t>T/UIT</w:t>
      </w:r>
      <w:r w:rsidRPr="009526DD">
        <w:noBreakHyphen/>
        <w:t xml:space="preserve">R/ISO/CEI puede consultarse en </w:t>
      </w:r>
      <w:hyperlink r:id="rId10" w:history="1">
        <w:r w:rsidRPr="009526DD">
          <w:rPr>
            <w:rStyle w:val="Hyperlink"/>
          </w:rPr>
          <w:t>http://web.itu.int/ITU-T/dbase/patent/patent-policy.html</w:t>
        </w:r>
      </w:hyperlink>
      <w:r w:rsidRPr="009526DD">
        <w:t xml:space="preserve">. </w:t>
      </w:r>
    </w:p>
    <w:p w:rsidR="009526DD" w:rsidRPr="009526DD" w:rsidRDefault="009526DD" w:rsidP="009526DD"/>
    <w:p w:rsidR="009526DD" w:rsidRPr="00CD1F0D" w:rsidRDefault="009526DD" w:rsidP="0056321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560"/>
      </w:pPr>
      <w:bookmarkStart w:id="4" w:name="StartTyping_S"/>
      <w:bookmarkEnd w:id="4"/>
      <w:r w:rsidRPr="00CD1F0D">
        <w:tab/>
      </w:r>
      <w:r w:rsidR="00563214" w:rsidRPr="00563214">
        <w:t xml:space="preserve">François </w:t>
      </w:r>
      <w:proofErr w:type="spellStart"/>
      <w:r w:rsidR="00563214" w:rsidRPr="00563214">
        <w:t>Rancy</w:t>
      </w:r>
      <w:proofErr w:type="spellEnd"/>
      <w:r w:rsidRPr="00CD1F0D">
        <w:br/>
      </w:r>
      <w:r w:rsidRPr="00CD1F0D">
        <w:tab/>
        <w:t>Director de la Oficina de Radiocomunicaciones</w:t>
      </w:r>
    </w:p>
    <w:p w:rsidR="009526DD" w:rsidRPr="009526DD" w:rsidRDefault="009526DD" w:rsidP="009526DD"/>
    <w:p w:rsidR="009526DD" w:rsidRPr="009526DD" w:rsidRDefault="009526DD" w:rsidP="009526DD"/>
    <w:p w:rsidR="009526DD" w:rsidRPr="009526DD" w:rsidRDefault="009526DD" w:rsidP="00563214">
      <w:r w:rsidRPr="009526DD">
        <w:rPr>
          <w:b/>
          <w:bCs/>
        </w:rPr>
        <w:t>Anexo:</w:t>
      </w:r>
      <w:r>
        <w:rPr>
          <w:b/>
          <w:bCs/>
        </w:rPr>
        <w:tab/>
      </w:r>
      <w:r>
        <w:tab/>
      </w:r>
      <w:r w:rsidRPr="009526DD">
        <w:t>Títulos y resúmenes de los proyectos de Recomendaci</w:t>
      </w:r>
      <w:r w:rsidR="00A144E0">
        <w:t>ón</w:t>
      </w:r>
    </w:p>
    <w:p w:rsidR="009526DD" w:rsidRPr="009526DD" w:rsidRDefault="009526DD" w:rsidP="009526DD">
      <w:pPr>
        <w:rPr>
          <w:u w:val="single"/>
        </w:rPr>
      </w:pPr>
    </w:p>
    <w:p w:rsidR="009526DD" w:rsidRPr="00A168EA" w:rsidRDefault="009526DD" w:rsidP="00A168EA">
      <w:pPr>
        <w:rPr>
          <w:b/>
          <w:bCs/>
        </w:rPr>
      </w:pPr>
      <w:r w:rsidRPr="009526DD">
        <w:rPr>
          <w:b/>
          <w:bCs/>
        </w:rPr>
        <w:t>Documento</w:t>
      </w:r>
      <w:r>
        <w:rPr>
          <w:b/>
          <w:bCs/>
        </w:rPr>
        <w:t>s</w:t>
      </w:r>
      <w:r w:rsidRPr="009526DD">
        <w:rPr>
          <w:b/>
          <w:bCs/>
        </w:rPr>
        <w:t xml:space="preserve"> adjunto</w:t>
      </w:r>
      <w:r>
        <w:rPr>
          <w:b/>
          <w:bCs/>
        </w:rPr>
        <w:t>s</w:t>
      </w:r>
      <w:r w:rsidRPr="009526DD">
        <w:rPr>
          <w:b/>
          <w:bCs/>
        </w:rPr>
        <w:t>:</w:t>
      </w:r>
      <w:r w:rsidR="00A168EA">
        <w:rPr>
          <w:b/>
          <w:bCs/>
        </w:rPr>
        <w:t xml:space="preserve"> </w:t>
      </w:r>
      <w:r w:rsidRPr="009526DD">
        <w:t>Documento</w:t>
      </w:r>
      <w:r>
        <w:t>s</w:t>
      </w:r>
      <w:r w:rsidRPr="009526DD">
        <w:t xml:space="preserve"> </w:t>
      </w:r>
      <w:r w:rsidR="00563214">
        <w:t>5</w:t>
      </w:r>
      <w:r w:rsidRPr="009526DD">
        <w:t>/</w:t>
      </w:r>
      <w:proofErr w:type="spellStart"/>
      <w:r w:rsidRPr="009526DD">
        <w:t>BL</w:t>
      </w:r>
      <w:proofErr w:type="spellEnd"/>
      <w:r w:rsidRPr="009526DD">
        <w:t>/</w:t>
      </w:r>
      <w:r w:rsidR="00A168EA">
        <w:t>11</w:t>
      </w:r>
      <w:r w:rsidRPr="009526DD">
        <w:t xml:space="preserve"> </w:t>
      </w:r>
      <w:r w:rsidR="00A168EA">
        <w:t>al</w:t>
      </w:r>
      <w:r w:rsidRPr="009526DD">
        <w:t xml:space="preserve"> </w:t>
      </w:r>
      <w:r w:rsidR="00563214">
        <w:t>5</w:t>
      </w:r>
      <w:r w:rsidRPr="009526DD">
        <w:t>/</w:t>
      </w:r>
      <w:proofErr w:type="spellStart"/>
      <w:r w:rsidRPr="009526DD">
        <w:t>BL</w:t>
      </w:r>
      <w:proofErr w:type="spellEnd"/>
      <w:r w:rsidRPr="009526DD">
        <w:t>/</w:t>
      </w:r>
      <w:r w:rsidR="00A168EA">
        <w:t>24</w:t>
      </w:r>
      <w:r w:rsidRPr="009526DD">
        <w:t xml:space="preserve"> en el CD-ROM</w:t>
      </w: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Pr="009526DD" w:rsidRDefault="009526DD" w:rsidP="009526DD">
      <w:pPr>
        <w:rPr>
          <w:u w:val="single"/>
        </w:rPr>
      </w:pPr>
    </w:p>
    <w:p w:rsidR="009526DD" w:rsidRDefault="009526DD" w:rsidP="009526DD">
      <w:pPr>
        <w:spacing w:before="0"/>
        <w:rPr>
          <w:b/>
          <w:bCs/>
          <w:sz w:val="18"/>
          <w:szCs w:val="18"/>
        </w:rPr>
      </w:pPr>
      <w:r w:rsidRPr="009526DD">
        <w:rPr>
          <w:b/>
          <w:bCs/>
          <w:sz w:val="18"/>
          <w:szCs w:val="18"/>
        </w:rPr>
        <w:t>Distribución:</w:t>
      </w:r>
    </w:p>
    <w:p w:rsidR="009526DD" w:rsidRPr="009526DD" w:rsidRDefault="009526DD" w:rsidP="009526DD">
      <w:pPr>
        <w:spacing w:before="0"/>
        <w:rPr>
          <w:b/>
          <w:bCs/>
          <w:sz w:val="18"/>
          <w:szCs w:val="18"/>
        </w:rPr>
      </w:pPr>
    </w:p>
    <w:p w:rsidR="009526DD" w:rsidRPr="009526DD" w:rsidRDefault="009526DD" w:rsidP="009526DD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>Administraciones de los Estados Miembros de la UIT</w:t>
      </w:r>
    </w:p>
    <w:p w:rsidR="009526DD" w:rsidRPr="009526DD" w:rsidRDefault="009526DD" w:rsidP="00563214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563214">
        <w:rPr>
          <w:sz w:val="18"/>
          <w:szCs w:val="18"/>
        </w:rPr>
        <w:t>5</w:t>
      </w:r>
      <w:r w:rsidRPr="009526DD">
        <w:rPr>
          <w:sz w:val="18"/>
          <w:szCs w:val="18"/>
        </w:rPr>
        <w:t xml:space="preserve"> de Radiocomunicaciones</w:t>
      </w:r>
    </w:p>
    <w:p w:rsidR="009526DD" w:rsidRDefault="009526DD" w:rsidP="0056321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Asociados del UIT-R que participan en los trabajos de la Comisión de Estudio </w:t>
      </w:r>
      <w:r w:rsidR="00563214">
        <w:rPr>
          <w:sz w:val="18"/>
          <w:szCs w:val="18"/>
        </w:rPr>
        <w:t>5</w:t>
      </w:r>
      <w:r w:rsidRPr="009526DD">
        <w:rPr>
          <w:sz w:val="18"/>
          <w:szCs w:val="18"/>
        </w:rPr>
        <w:t xml:space="preserve"> de Radiocomunicaciones</w:t>
      </w:r>
    </w:p>
    <w:p w:rsidR="00A168EA" w:rsidRPr="00A926AA" w:rsidRDefault="00A168EA" w:rsidP="00A168E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926AA">
        <w:rPr>
          <w:sz w:val="18"/>
          <w:szCs w:val="18"/>
        </w:rPr>
        <w:t>–</w:t>
      </w:r>
      <w:r w:rsidRPr="00A926AA">
        <w:rPr>
          <w:sz w:val="18"/>
          <w:szCs w:val="18"/>
        </w:rPr>
        <w:tab/>
        <w:t>Sectores académicos del UIT-R</w:t>
      </w:r>
    </w:p>
    <w:p w:rsidR="00A168EA" w:rsidRPr="009526DD" w:rsidRDefault="00A168EA" w:rsidP="0056321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</w:p>
    <w:p w:rsidR="00BF11C4" w:rsidRDefault="009526DD" w:rsidP="00BF11C4">
      <w:pPr>
        <w:rPr>
          <w:sz w:val="18"/>
          <w:szCs w:val="18"/>
        </w:rPr>
      </w:pPr>
      <w:r w:rsidRPr="009526DD">
        <w:rPr>
          <w:sz w:val="18"/>
          <w:szCs w:val="18"/>
        </w:rPr>
        <w:br w:type="page"/>
      </w:r>
      <w:bookmarkStart w:id="5" w:name="dbreak"/>
      <w:bookmarkEnd w:id="5"/>
    </w:p>
    <w:p w:rsidR="00C25639" w:rsidRPr="00D1397D" w:rsidRDefault="00C25639" w:rsidP="00C25639">
      <w:pPr>
        <w:pStyle w:val="AnnexNoTitle0"/>
      </w:pPr>
      <w:r w:rsidRPr="00D1397D">
        <w:t>Anexo</w:t>
      </w:r>
      <w:r w:rsidRPr="00D1397D">
        <w:br/>
      </w:r>
      <w:r w:rsidRPr="00D1397D">
        <w:br/>
        <w:t xml:space="preserve">Títulos y resúmenes de los proyectos de Recomendación adoptados </w:t>
      </w:r>
      <w:r w:rsidRPr="00D1397D">
        <w:br/>
        <w:t>por la Comisión de Estudio 5 de Radiocomunicaciones</w:t>
      </w:r>
    </w:p>
    <w:p w:rsidR="00C25639" w:rsidRPr="00D1397D" w:rsidRDefault="00C25639" w:rsidP="00C25639"/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 xml:space="preserve">Proyecto </w:t>
      </w:r>
      <w:r w:rsidR="00514625">
        <w:rPr>
          <w:u w:val="single"/>
          <w:lang w:val="es-ES_tradnl"/>
        </w:rPr>
        <w:t>de nueva Recomendación ITU-R M</w:t>
      </w:r>
      <w:proofErr w:type="gramStart"/>
      <w:r w:rsidR="00514625">
        <w:rPr>
          <w:u w:val="single"/>
          <w:lang w:val="es-ES_tradnl"/>
        </w:rPr>
        <w:t>.</w:t>
      </w:r>
      <w:r w:rsidRPr="00D1397D">
        <w:rPr>
          <w:u w:val="single"/>
          <w:lang w:val="es-ES_tradnl"/>
        </w:rPr>
        <w:t>[</w:t>
      </w:r>
      <w:proofErr w:type="spellStart"/>
      <w:proofErr w:type="gramEnd"/>
      <w:r w:rsidRPr="00D1397D">
        <w:rPr>
          <w:u w:val="single"/>
          <w:lang w:val="es-ES_tradnl"/>
        </w:rPr>
        <w:t>LMS.PPDR.UHF</w:t>
      </w:r>
      <w:proofErr w:type="spellEnd"/>
      <w:r w:rsidRPr="00D1397D">
        <w:rPr>
          <w:u w:val="single"/>
          <w:lang w:val="es-ES_tradnl"/>
        </w:rPr>
        <w:t>]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/11</w:t>
      </w:r>
    </w:p>
    <w:p w:rsidR="00C25639" w:rsidRPr="00D1397D" w:rsidRDefault="00C25639" w:rsidP="00C25639">
      <w:pPr>
        <w:pStyle w:val="Rectitle"/>
      </w:pPr>
      <w:r w:rsidRPr="00D1397D">
        <w:t>Disposición de frecuencias para sistemas de radiocomunicaciones</w:t>
      </w:r>
      <w:r w:rsidRPr="00D1397D">
        <w:br/>
        <w:t>de protección pública y operaciones de socorro</w:t>
      </w:r>
      <w:r>
        <w:t xml:space="preserve"> en caso</w:t>
      </w:r>
      <w:r>
        <w:br/>
        <w:t xml:space="preserve">de catástrofe </w:t>
      </w:r>
      <w:r w:rsidRPr="00D1397D">
        <w:t xml:space="preserve">en las bandas de ondas </w:t>
      </w:r>
      <w:proofErr w:type="spellStart"/>
      <w:r w:rsidRPr="00D1397D">
        <w:t>decimétricas</w:t>
      </w:r>
      <w:proofErr w:type="spellEnd"/>
      <w:r>
        <w:br/>
      </w:r>
      <w:r w:rsidRPr="00D1397D">
        <w:t>con arreglo a la Resolución 646 (CMR-03)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En esta Recomendación se proporcionan orientaciones sobre la disposición de frecuencias para radiocomunicaciones de protección pública y operaciones de socorro en caso de catástrofe en determinadas regiones en algunas de las bandas por debajo de 1 GHz indicadas en la Resolución 646 (CMR</w:t>
      </w:r>
      <w:r w:rsidRPr="00876583">
        <w:rPr>
          <w:lang w:val="es-ES_tradnl"/>
        </w:rPr>
        <w:noBreakHyphen/>
        <w:t>03). Actualmente, la Recomendación trata de las disposiciones en las gamas de 380</w:t>
      </w:r>
      <w:r w:rsidRPr="00876583">
        <w:rPr>
          <w:lang w:val="es-ES_tradnl"/>
        </w:rPr>
        <w:noBreakHyphen/>
        <w:t>470 MHz en ciertos países de la Región 1, en las bandas de 746</w:t>
      </w:r>
      <w:r w:rsidRPr="00876583">
        <w:rPr>
          <w:lang w:val="es-ES_tradnl"/>
        </w:rPr>
        <w:noBreakHyphen/>
        <w:t>806 MHz y 806</w:t>
      </w:r>
      <w:r w:rsidRPr="00876583">
        <w:rPr>
          <w:lang w:val="es-ES_tradnl"/>
        </w:rPr>
        <w:noBreakHyphen/>
        <w:t>869 MHz de la Región 2, y en las bandas de 806</w:t>
      </w:r>
      <w:r w:rsidRPr="00876583">
        <w:rPr>
          <w:lang w:val="es-ES_tradnl"/>
        </w:rPr>
        <w:noBreakHyphen/>
        <w:t>824/851</w:t>
      </w:r>
      <w:r w:rsidRPr="00876583">
        <w:rPr>
          <w:lang w:val="es-ES_tradnl"/>
        </w:rPr>
        <w:noBreakHyphen/>
        <w:t>869 MHz en ciertos países de la Región 3, con arreglo a las Resoluciones UIT</w:t>
      </w:r>
      <w:r w:rsidRPr="00876583">
        <w:rPr>
          <w:lang w:val="es-ES_tradnl"/>
        </w:rPr>
        <w:noBreakHyphen/>
        <w:t>R 53, UIT</w:t>
      </w:r>
      <w:r w:rsidRPr="00876583">
        <w:rPr>
          <w:lang w:val="es-ES_tradnl"/>
        </w:rPr>
        <w:noBreakHyphen/>
        <w:t>R 55 y las Resoluciones 644 (Rev.CMR</w:t>
      </w:r>
      <w:r w:rsidRPr="00876583">
        <w:rPr>
          <w:lang w:val="es-ES_tradnl"/>
        </w:rPr>
        <w:noBreakHyphen/>
        <w:t>07), 646 (CMR</w:t>
      </w:r>
      <w:r w:rsidRPr="00876583">
        <w:rPr>
          <w:lang w:val="es-ES_tradnl"/>
        </w:rPr>
        <w:noBreakHyphen/>
        <w:t>03), y 647 (CMR</w:t>
      </w:r>
      <w:r w:rsidRPr="00876583">
        <w:rPr>
          <w:lang w:val="es-ES_tradnl"/>
        </w:rPr>
        <w:noBreakHyphen/>
        <w:t>07).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F.636-3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/12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 w:rsidRPr="00D1397D">
        <w:br/>
        <w:t>que funcionan en la banda de 15 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 xml:space="preserve">Además de las mejoras/actualizaciones </w:t>
      </w:r>
      <w:proofErr w:type="spellStart"/>
      <w:r w:rsidRPr="00876583">
        <w:rPr>
          <w:lang w:val="es-ES_tradnl"/>
        </w:rPr>
        <w:t>redaccionales</w:t>
      </w:r>
      <w:proofErr w:type="spellEnd"/>
      <w:r w:rsidRPr="00876583">
        <w:rPr>
          <w:lang w:val="es-ES_tradnl"/>
        </w:rPr>
        <w:t>, 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suprimido el Anexo 1 por ser obsoleto y porque ya no se utiliza;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han añadido nuevas disposiciones de 56 MHz homogéneas con las de 14 y 28 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incluido un nuevo Anexo que describe otra disposi</w:t>
      </w:r>
      <w:r w:rsidR="00114A5B">
        <w:t>ción de canales basándose en el </w:t>
      </w:r>
      <w:r w:rsidRPr="00D1397D">
        <w:t>modelo homogéneo de 2,5 MHz.</w:t>
      </w:r>
    </w:p>
    <w:p w:rsidR="00C25639" w:rsidRPr="00D1397D" w:rsidRDefault="00C25639" w:rsidP="00C25639">
      <w:pPr>
        <w:pStyle w:val="Normalaftertitle0"/>
        <w:keepNext/>
        <w:keepLines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F.384-10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/13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 digitales</w:t>
      </w:r>
      <w:r w:rsidRPr="00D1397D">
        <w:br/>
        <w:t>de media y gran capacidad que funcionan en la parte superior</w:t>
      </w:r>
      <w:r w:rsidRPr="00D1397D">
        <w:br/>
      </w:r>
      <w:r>
        <w:t>de la banda de 6 GHz (6 425</w:t>
      </w:r>
      <w:r>
        <w:noBreakHyphen/>
        <w:t>7 125 </w:t>
      </w:r>
      <w:r w:rsidRPr="00D1397D">
        <w:t xml:space="preserve">MHz) 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 incluido una disposición para la posible utilización </w:t>
      </w:r>
      <w:r>
        <w:t>de dos canales adyacentes de 40 </w:t>
      </w:r>
      <w:r w:rsidRPr="00D1397D">
        <w:t>MHz para sistemas de muy alta capacidad;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actualizado la utilización obsoleta de la polarización y la conexión a una sola antena;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han añadido un nuevo recomienda y un </w:t>
      </w:r>
      <w:r>
        <w:t>A</w:t>
      </w:r>
      <w:r w:rsidRPr="00D1397D">
        <w:t>nexo para la división de los canales de 30 MHz en canales</w:t>
      </w:r>
      <w:r>
        <w:t xml:space="preserve"> de menor tamaño de 3,5, 7 y 14 </w:t>
      </w:r>
      <w:r w:rsidRPr="00D1397D">
        <w:t>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han introducido otras mejoras y actualizaciones </w:t>
      </w:r>
      <w:proofErr w:type="spellStart"/>
      <w:r w:rsidRPr="00D1397D">
        <w:t>redaccionales</w:t>
      </w:r>
      <w:proofErr w:type="spellEnd"/>
      <w:r w:rsidRPr="00D1397D">
        <w:t>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F.595-9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/14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>
        <w:br/>
      </w:r>
      <w:r w:rsidRPr="00D1397D">
        <w:t>que funcionan e</w:t>
      </w:r>
      <w:r>
        <w:t>n la banda de frecuencias de 18 </w:t>
      </w:r>
      <w:r w:rsidRPr="00D1397D">
        <w:t>GHz</w:t>
      </w:r>
    </w:p>
    <w:p w:rsidR="00C25639" w:rsidRPr="00D1397D" w:rsidRDefault="00C25639" w:rsidP="00C25639">
      <w:r>
        <w:t>En e</w:t>
      </w:r>
      <w:r w:rsidRPr="00D1397D">
        <w:t>sta revisión</w:t>
      </w:r>
      <w:r>
        <w:t xml:space="preserve"> se</w:t>
      </w:r>
      <w:r w:rsidRPr="00D1397D">
        <w:t xml:space="preserve"> ha</w:t>
      </w:r>
      <w:r>
        <w:t>n</w:t>
      </w:r>
      <w:r w:rsidRPr="00D1397D">
        <w:t xml:space="preserve"> actualizado las disposiciones de can</w:t>
      </w:r>
      <w:r>
        <w:t>al que se presentan en el Anexo </w:t>
      </w:r>
      <w:r w:rsidRPr="00D1397D">
        <w:t xml:space="preserve">4, </w:t>
      </w:r>
      <w:r w:rsidR="00114A5B">
        <w:t>y se </w:t>
      </w:r>
      <w:r>
        <w:t>han suprimi</w:t>
      </w:r>
      <w:r w:rsidRPr="00D1397D">
        <w:t>do las disposiciones obsoletas que ya no se utilizan.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F.747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/15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>
        <w:br/>
      </w:r>
      <w:r w:rsidRPr="00D1397D">
        <w:t>que funcionan en la band</w:t>
      </w:r>
      <w:r>
        <w:t>a de frecuencias de 10 </w:t>
      </w:r>
      <w:r w:rsidRPr="00D1397D">
        <w:t>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</w:r>
      <w:r w:rsidR="00514625">
        <w:t>s</w:t>
      </w:r>
      <w:r w:rsidRPr="00D1397D">
        <w:t>e ha añadido la parte del alcance</w:t>
      </w:r>
      <w:r w:rsidR="00514625">
        <w:t>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</w:r>
      <w:r w:rsidR="00514625">
        <w:t>s</w:t>
      </w:r>
      <w:r w:rsidRPr="00D1397D">
        <w:t>e han añadido nuevos Anexos 3 y 4;</w:t>
      </w:r>
    </w:p>
    <w:p w:rsidR="00C25639" w:rsidRPr="00D1397D" w:rsidRDefault="00C25639" w:rsidP="00C25639">
      <w:pPr>
        <w:pStyle w:val="enumlev2"/>
      </w:pPr>
      <w:r w:rsidRPr="00D1397D">
        <w:t>–</w:t>
      </w:r>
      <w:r w:rsidRPr="00D1397D">
        <w:tab/>
        <w:t>que recomiendan disposiciones de radiocanales basadas en patrones homogéneos de 3,5 MHz en toda la banda 10,0</w:t>
      </w:r>
      <w:r w:rsidRPr="00D1397D">
        <w:noBreakHyphen/>
        <w:t xml:space="preserve">10,68 GHz; </w:t>
      </w:r>
    </w:p>
    <w:p w:rsidR="00C25639" w:rsidRPr="00D1397D" w:rsidRDefault="00C25639" w:rsidP="00C25639">
      <w:pPr>
        <w:pStyle w:val="enumlev2"/>
      </w:pPr>
      <w:r w:rsidRPr="00D1397D">
        <w:t>–</w:t>
      </w:r>
      <w:r w:rsidRPr="00D1397D">
        <w:tab/>
        <w:t>que proporcionan disposiciones de radiocanales específicas utilizando separaciones de canal de 3,5, 7, 14 y 28 MHz;</w:t>
      </w:r>
    </w:p>
    <w:p w:rsidR="00C25639" w:rsidRPr="00D1397D" w:rsidRDefault="00C25639" w:rsidP="00C25639">
      <w:pPr>
        <w:pStyle w:val="enumlev2"/>
      </w:pPr>
      <w:r w:rsidRPr="00D1397D">
        <w:t>–</w:t>
      </w:r>
      <w:r w:rsidRPr="00D1397D">
        <w:tab/>
        <w:t>que contemplan la posible utilización de dos canales adyacentes de 28 MHz para sistemas de muy alta capacidad;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</w:r>
      <w:r w:rsidR="00514625">
        <w:t>s</w:t>
      </w:r>
      <w:r w:rsidRPr="00D1397D">
        <w:t xml:space="preserve">e han introducido otras mejoras y actualizaciones </w:t>
      </w:r>
      <w:proofErr w:type="spellStart"/>
      <w:r w:rsidRPr="00D1397D">
        <w:t>redaccionales</w:t>
      </w:r>
      <w:proofErr w:type="spellEnd"/>
      <w:r w:rsidRPr="00D1397D">
        <w:t>.</w:t>
      </w:r>
    </w:p>
    <w:p w:rsidR="00C25639" w:rsidRPr="00D1397D" w:rsidRDefault="00C25639" w:rsidP="00C25639">
      <w:pPr>
        <w:pStyle w:val="Normalaftertitle0"/>
        <w:keepNext/>
        <w:keepLines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F.637-3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/16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>
        <w:br/>
      </w:r>
      <w:r w:rsidRPr="00D1397D">
        <w:t>que funcionan en la banda de frecuencias de 23 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 actualizado el </w:t>
      </w:r>
      <w:r w:rsidRPr="00876583">
        <w:rPr>
          <w:i/>
          <w:iCs/>
        </w:rPr>
        <w:t>considerando</w:t>
      </w:r>
      <w:r w:rsidR="00514625">
        <w:t>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en el Anexo 1, se ha suprimido la </w:t>
      </w:r>
      <w:r w:rsidR="00514625">
        <w:t>referencia a un país específico;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el actual Anexo 2 se ha suprimido porque esta disposición ya no se emplea en el país de referencia debido a que la banda 21,4</w:t>
      </w:r>
      <w:r w:rsidRPr="00D1397D">
        <w:noBreakHyphen/>
        <w:t>22,0 GHz fue atribuida al servicio de radiodifusión por satélite (</w:t>
      </w:r>
      <w:proofErr w:type="spellStart"/>
      <w:r w:rsidRPr="00D1397D">
        <w:t>SRS</w:t>
      </w:r>
      <w:proofErr w:type="spellEnd"/>
      <w:r w:rsidRPr="00D1397D">
        <w:t>) a título</w:t>
      </w:r>
      <w:r w:rsidR="00514625">
        <w:t xml:space="preserve"> primario en las Regiones 1 y 3;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en el actual Anexo 3 (nuevo Anexo 2) se han añadido disposicio</w:t>
      </w:r>
      <w:r w:rsidR="00514625">
        <w:t>nes de radiocanales adicionales;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revisado el actual Anexo 4 (nuevo Anexo 3) para que refleje de manera más adecuada el uso de la banda en América del Norte.</w:t>
      </w:r>
    </w:p>
    <w:p w:rsidR="00E0490D" w:rsidRDefault="00E049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F.749-2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/17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>
        <w:br/>
      </w:r>
      <w:r w:rsidRPr="00D1397D">
        <w:t xml:space="preserve">que funcionan en la banda de </w:t>
      </w:r>
      <w:r>
        <w:t>frecuencias de 38 </w:t>
      </w:r>
      <w:r w:rsidRPr="00D1397D">
        <w:t>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cambiado la separación obsoleta de canales de 140 MHz, de forma similar a otras bandas por encima de 18 GHz, por la separación más utilizada actualmente de 112 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la disposición genérica existente para la utilización de las bandas de guarda y la separación central se ha expandido explícitamente en un número específico de «canales adicionales» de 3,5, 7, 14 y 28 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han introducido otras mejoras y actualizaciones </w:t>
      </w:r>
      <w:proofErr w:type="spellStart"/>
      <w:r w:rsidRPr="00D1397D">
        <w:t>redaccionales</w:t>
      </w:r>
      <w:proofErr w:type="spellEnd"/>
      <w:r w:rsidRPr="00D1397D">
        <w:t>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F.387-11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/18</w:t>
      </w:r>
    </w:p>
    <w:p w:rsidR="00C25639" w:rsidRPr="00D1397D" w:rsidRDefault="00C25639" w:rsidP="00C25639">
      <w:pPr>
        <w:pStyle w:val="Rectitle"/>
      </w:pPr>
      <w:r w:rsidRPr="00D1397D">
        <w:t>Disposiciones de radiocanales para sistemas inalámbricos fijos</w:t>
      </w:r>
      <w:r>
        <w:br/>
      </w:r>
      <w:r w:rsidRPr="00D1397D">
        <w:t xml:space="preserve">que </w:t>
      </w:r>
      <w:r>
        <w:t>funcionan en la banda de 11 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añadido una disposición para la posible utilización de dos canales adyacentes de 40 MHz para sistemas de muy alta capacidad;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suprimido la disposición de radiocanales que figura</w:t>
      </w:r>
      <w:r w:rsidR="00114A5B">
        <w:t xml:space="preserve"> en el actual Anexo 1 porque es </w:t>
      </w:r>
      <w:r w:rsidRPr="00D1397D">
        <w:t>obsoleta y ya no se utiliza;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en el actual Anexo 5 (</w:t>
      </w:r>
      <w:proofErr w:type="spellStart"/>
      <w:r w:rsidRPr="00D1397D">
        <w:t>renumerado</w:t>
      </w:r>
      <w:proofErr w:type="spellEnd"/>
      <w:r w:rsidRPr="00D1397D">
        <w:t xml:space="preserve"> como 4), se han añadido nuevas disposiciones de canales de 7, 14 y 28 MHz con separación dúplex de 490 MHz a las actuales disposiciones de radiocanales con separación dúplex de 530 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han introducido otras mejoras y actualizaciones </w:t>
      </w:r>
      <w:proofErr w:type="spellStart"/>
      <w:r w:rsidRPr="00D1397D">
        <w:t>redaccionales</w:t>
      </w:r>
      <w:proofErr w:type="spellEnd"/>
      <w:r w:rsidRPr="00D1397D">
        <w:t>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F.385-9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/19</w:t>
      </w:r>
    </w:p>
    <w:p w:rsidR="00C25639" w:rsidRPr="00D1397D" w:rsidRDefault="00C25639" w:rsidP="00C25639">
      <w:pPr>
        <w:pStyle w:val="Rectitle"/>
      </w:pPr>
      <w:r w:rsidRPr="00D1397D">
        <w:t>Disposición de radiocanales para sistemas inalámbricos fijos</w:t>
      </w:r>
      <w:r w:rsidRPr="00D1397D">
        <w:br/>
        <w:t>que funcionan en la banda de 7 GHz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La revisión del Anexo 1 de la presente Recomendación se ha modificado como sigue: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 añadido una nueva </w:t>
      </w:r>
      <w:proofErr w:type="spellStart"/>
      <w:r w:rsidRPr="00D1397D">
        <w:t>subbanda</w:t>
      </w:r>
      <w:proofErr w:type="spellEnd"/>
      <w:r w:rsidRPr="00D1397D">
        <w:t xml:space="preserve"> 7 125</w:t>
      </w:r>
      <w:r w:rsidRPr="00D1397D">
        <w:noBreakHyphen/>
        <w:t>7 425 MHz, sim</w:t>
      </w:r>
      <w:r w:rsidR="00114A5B">
        <w:t>ilar a la que ya existe para la </w:t>
      </w:r>
      <w:r w:rsidRPr="00D1397D">
        <w:t>banda 7 425</w:t>
      </w:r>
      <w:r w:rsidRPr="00D1397D">
        <w:noBreakHyphen/>
        <w:t>7 725 MHz;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han añadido disposiciones de radiocanales con separación de canales de 14, 7, 3,5 y 1,75 MHz.</w:t>
      </w:r>
    </w:p>
    <w:p w:rsidR="00E0490D" w:rsidRDefault="00E049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M.1580-3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/20</w:t>
      </w:r>
    </w:p>
    <w:p w:rsidR="00C25639" w:rsidRPr="00D1397D" w:rsidRDefault="00C25639" w:rsidP="00C25639">
      <w:pPr>
        <w:pStyle w:val="Rectitle"/>
      </w:pPr>
      <w:r w:rsidRPr="00D1397D">
        <w:t>Características genéricas de las emisiones no deseadas procedentes de estaciones de base que utilizan las interfaces radioe</w:t>
      </w:r>
      <w:r>
        <w:t>léctricas terrenales de las IMT</w:t>
      </w:r>
      <w:r>
        <w:noBreakHyphen/>
      </w:r>
      <w:r w:rsidRPr="00D1397D">
        <w:t>2000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 xml:space="preserve">Esta revisión incluye la adición de una frase en la parte del alcance, la supresión del </w:t>
      </w:r>
      <w:r w:rsidRPr="00876583">
        <w:rPr>
          <w:i/>
          <w:iCs/>
          <w:lang w:val="es-ES_tradnl"/>
        </w:rPr>
        <w:t>considerando </w:t>
      </w:r>
      <w:r w:rsidRPr="00514625">
        <w:rPr>
          <w:lang w:val="es-ES_tradnl"/>
        </w:rPr>
        <w:t>k)</w:t>
      </w:r>
      <w:r w:rsidRPr="00876583">
        <w:rPr>
          <w:lang w:val="es-ES_tradnl"/>
        </w:rPr>
        <w:t xml:space="preserve"> y la adición de los </w:t>
      </w:r>
      <w:r w:rsidRPr="00876583">
        <w:rPr>
          <w:i/>
          <w:iCs/>
          <w:lang w:val="es-ES_tradnl"/>
        </w:rPr>
        <w:t xml:space="preserve">considerando </w:t>
      </w:r>
      <w:r w:rsidRPr="00514625">
        <w:rPr>
          <w:lang w:val="es-ES_tradnl"/>
        </w:rPr>
        <w:t>l)</w:t>
      </w:r>
      <w:r w:rsidRPr="00876583">
        <w:rPr>
          <w:lang w:val="es-ES_tradnl"/>
        </w:rPr>
        <w:t xml:space="preserve"> y </w:t>
      </w:r>
      <w:r w:rsidRPr="00514625">
        <w:rPr>
          <w:lang w:val="es-ES_tradnl"/>
        </w:rPr>
        <w:t>m)</w:t>
      </w:r>
      <w:r w:rsidRPr="00876583">
        <w:rPr>
          <w:lang w:val="es-ES_tradnl"/>
        </w:rPr>
        <w:t xml:space="preserve">, la adición del </w:t>
      </w:r>
      <w:r w:rsidRPr="00876583">
        <w:rPr>
          <w:i/>
          <w:iCs/>
          <w:lang w:val="es-ES_tradnl"/>
        </w:rPr>
        <w:t xml:space="preserve">observando </w:t>
      </w:r>
      <w:r w:rsidRPr="00514625">
        <w:rPr>
          <w:lang w:val="es-ES_tradnl"/>
        </w:rPr>
        <w:t>c)</w:t>
      </w:r>
      <w:r w:rsidRPr="00876583">
        <w:rPr>
          <w:lang w:val="es-ES_tradnl"/>
        </w:rPr>
        <w:t xml:space="preserve">, modificaciones en las NOTAS 2, 3, 4 y 5 y la adición de una nueva NOTA 7. También se han actualizado los anexos. Todas las bandas de frecuencias o partes de las bandas a las que se hace referencia en esta Recomendación que no están identificadas para </w:t>
      </w:r>
      <w:proofErr w:type="spellStart"/>
      <w:r w:rsidRPr="00876583">
        <w:rPr>
          <w:lang w:val="es-ES_tradnl"/>
        </w:rPr>
        <w:t>IMT</w:t>
      </w:r>
      <w:proofErr w:type="spellEnd"/>
      <w:r w:rsidRPr="00876583">
        <w:rPr>
          <w:lang w:val="es-ES_tradnl"/>
        </w:rPr>
        <w:t xml:space="preserve"> en el Reglamento de Radiocomunicaciones de la UIT se han señalado con «#».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M.1581-3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/21</w:t>
      </w:r>
    </w:p>
    <w:p w:rsidR="00C25639" w:rsidRPr="00D1397D" w:rsidRDefault="00C25639" w:rsidP="00C25639">
      <w:pPr>
        <w:pStyle w:val="Rectitle"/>
      </w:pPr>
      <w:r w:rsidRPr="00D1397D">
        <w:t>Características genéricas de las emisiones no deseadas procedentes de estaciones móviles que utilizan las interfaces radioe</w:t>
      </w:r>
      <w:r>
        <w:t>léctricas terrenales de las IMT</w:t>
      </w:r>
      <w:r>
        <w:noBreakHyphen/>
      </w:r>
      <w:r w:rsidRPr="00D1397D">
        <w:t>2000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 xml:space="preserve">Esta revisión incluye la adición de una frase en la parte del alcance, la supresión del </w:t>
      </w:r>
      <w:r w:rsidRPr="00876583">
        <w:rPr>
          <w:i/>
          <w:iCs/>
          <w:lang w:val="es-ES_tradnl"/>
        </w:rPr>
        <w:t>considerando </w:t>
      </w:r>
      <w:r w:rsidRPr="00514625">
        <w:rPr>
          <w:lang w:val="es-ES_tradnl"/>
        </w:rPr>
        <w:t>m)</w:t>
      </w:r>
      <w:r w:rsidRPr="00876583">
        <w:rPr>
          <w:lang w:val="es-ES_tradnl"/>
        </w:rPr>
        <w:t xml:space="preserve">, la adición de los </w:t>
      </w:r>
      <w:r w:rsidRPr="00876583">
        <w:rPr>
          <w:i/>
          <w:iCs/>
          <w:lang w:val="es-ES_tradnl"/>
        </w:rPr>
        <w:t xml:space="preserve">considerando </w:t>
      </w:r>
      <w:r w:rsidRPr="00514625">
        <w:rPr>
          <w:lang w:val="es-ES_tradnl"/>
        </w:rPr>
        <w:t>n)</w:t>
      </w:r>
      <w:r w:rsidRPr="00876583">
        <w:rPr>
          <w:lang w:val="es-ES_tradnl"/>
        </w:rPr>
        <w:t xml:space="preserve"> y </w:t>
      </w:r>
      <w:r w:rsidRPr="00514625">
        <w:rPr>
          <w:lang w:val="es-ES_tradnl"/>
        </w:rPr>
        <w:t>o)</w:t>
      </w:r>
      <w:r w:rsidRPr="00876583">
        <w:rPr>
          <w:lang w:val="es-ES_tradnl"/>
        </w:rPr>
        <w:t xml:space="preserve"> y de los </w:t>
      </w:r>
      <w:r w:rsidRPr="00876583">
        <w:rPr>
          <w:i/>
          <w:iCs/>
          <w:lang w:val="es-ES_tradnl"/>
        </w:rPr>
        <w:t xml:space="preserve">observando </w:t>
      </w:r>
      <w:r w:rsidRPr="00514625">
        <w:rPr>
          <w:lang w:val="es-ES_tradnl"/>
        </w:rPr>
        <w:t>b)</w:t>
      </w:r>
      <w:r w:rsidRPr="00876583">
        <w:rPr>
          <w:lang w:val="es-ES_tradnl"/>
        </w:rPr>
        <w:t xml:space="preserve"> y </w:t>
      </w:r>
      <w:bookmarkStart w:id="6" w:name="_GoBack"/>
      <w:r w:rsidRPr="00514625">
        <w:rPr>
          <w:lang w:val="es-ES_tradnl"/>
        </w:rPr>
        <w:t>c)</w:t>
      </w:r>
      <w:bookmarkEnd w:id="6"/>
      <w:r w:rsidRPr="00876583">
        <w:rPr>
          <w:lang w:val="es-ES_tradnl"/>
        </w:rPr>
        <w:t xml:space="preserve">, modificaciones de las NOTAS 2, 3, 4, 5 y la adición de la nueva NOTA 7. También se han actualizado los </w:t>
      </w:r>
      <w:r>
        <w:rPr>
          <w:lang w:val="es-ES_tradnl"/>
        </w:rPr>
        <w:t>A</w:t>
      </w:r>
      <w:r w:rsidRPr="00876583">
        <w:rPr>
          <w:lang w:val="es-ES_tradnl"/>
        </w:rPr>
        <w:t xml:space="preserve">nexos. Todas las bandas de frecuencias o partes de las bandas a las que se hace referencia en esta Recomendación que no están identificadas para </w:t>
      </w:r>
      <w:proofErr w:type="spellStart"/>
      <w:r w:rsidRPr="00876583">
        <w:rPr>
          <w:lang w:val="es-ES_tradnl"/>
        </w:rPr>
        <w:t>IMT</w:t>
      </w:r>
      <w:proofErr w:type="spellEnd"/>
      <w:r w:rsidRPr="00876583">
        <w:rPr>
          <w:lang w:val="es-ES_tradnl"/>
        </w:rPr>
        <w:t xml:space="preserve"> en el Reglamento de Radiocomunicaciones de la UIT se han señalado con «#».</w:t>
      </w:r>
    </w:p>
    <w:p w:rsidR="00C25639" w:rsidRPr="00D1397D" w:rsidRDefault="00C25639" w:rsidP="00C25639">
      <w:pPr>
        <w:pStyle w:val="Normalaftertitle0"/>
        <w:keepNext/>
        <w:keepLines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M.1224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/22</w:t>
      </w:r>
    </w:p>
    <w:p w:rsidR="00C25639" w:rsidRPr="00D1397D" w:rsidRDefault="00C25639" w:rsidP="00C25639">
      <w:pPr>
        <w:pStyle w:val="Rectitle"/>
      </w:pPr>
      <w:r w:rsidRPr="00D1397D">
        <w:t>Vocabulario de términos de las telecomunicaciones</w:t>
      </w:r>
      <w:r w:rsidRPr="00D1397D">
        <w:br/>
        <w:t>móviles internacionales-2000 (IMT-2000)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actualiza los términos, definiciones, abreviaturas y siglas relativas a las IMT</w:t>
      </w:r>
      <w:r w:rsidRPr="00876583">
        <w:rPr>
          <w:lang w:val="es-ES_tradnl"/>
        </w:rPr>
        <w:noBreakHyphen/>
        <w:t xml:space="preserve">2000 y añade las relativas a las </w:t>
      </w:r>
      <w:proofErr w:type="spellStart"/>
      <w:r w:rsidRPr="00876583">
        <w:rPr>
          <w:lang w:val="es-ES_tradnl"/>
        </w:rPr>
        <w:t>IMT</w:t>
      </w:r>
      <w:proofErr w:type="spellEnd"/>
      <w:r w:rsidRPr="00876583">
        <w:rPr>
          <w:lang w:val="es-ES_tradnl"/>
        </w:rPr>
        <w:t>-Avanzadas. Se han satisfecho l</w:t>
      </w:r>
      <w:r w:rsidR="00114A5B">
        <w:rPr>
          <w:lang w:val="es-ES_tradnl"/>
        </w:rPr>
        <w:t>os requisitos contenidos en las </w:t>
      </w:r>
      <w:r w:rsidRPr="00876583">
        <w:rPr>
          <w:lang w:val="es-ES_tradnl"/>
        </w:rPr>
        <w:t>Resoluciones UIT</w:t>
      </w:r>
      <w:r w:rsidRPr="00876583">
        <w:rPr>
          <w:lang w:val="es-ES_tradnl"/>
        </w:rPr>
        <w:noBreakHyphen/>
        <w:t>R 33-2, UIT</w:t>
      </w:r>
      <w:r w:rsidRPr="00876583">
        <w:rPr>
          <w:lang w:val="es-ES_tradnl"/>
        </w:rPr>
        <w:noBreakHyphen/>
        <w:t>R 34</w:t>
      </w:r>
      <w:r w:rsidRPr="00876583">
        <w:rPr>
          <w:lang w:val="es-ES_tradnl"/>
        </w:rPr>
        <w:noBreakHyphen/>
        <w:t>2, UIT</w:t>
      </w:r>
      <w:r w:rsidRPr="00876583">
        <w:rPr>
          <w:lang w:val="es-ES_tradnl"/>
        </w:rPr>
        <w:noBreakHyphen/>
        <w:t>R 35</w:t>
      </w:r>
      <w:r w:rsidRPr="00876583">
        <w:rPr>
          <w:lang w:val="es-ES_tradnl"/>
        </w:rPr>
        <w:noBreakHyphen/>
        <w:t>2 y UIT</w:t>
      </w:r>
      <w:r w:rsidRPr="00876583">
        <w:rPr>
          <w:lang w:val="es-ES_tradnl"/>
        </w:rPr>
        <w:noBreakHyphen/>
        <w:t>R 36</w:t>
      </w:r>
      <w:r w:rsidRPr="00876583">
        <w:rPr>
          <w:lang w:val="es-ES_tradnl"/>
        </w:rPr>
        <w:noBreakHyphen/>
        <w:t>2. Empleados en el mismo contexto, los términos y definiciones descritos en el presente docu</w:t>
      </w:r>
      <w:r w:rsidR="00114A5B">
        <w:rPr>
          <w:lang w:val="es-ES_tradnl"/>
        </w:rPr>
        <w:t>mento no se contradicen con los </w:t>
      </w:r>
      <w:r w:rsidRPr="00876583">
        <w:rPr>
          <w:lang w:val="es-ES_tradnl"/>
        </w:rPr>
        <w:t>términos y definiciones que ya se utilizan en otras Recomendaciones UIT</w:t>
      </w:r>
      <w:r w:rsidRPr="00876583">
        <w:rPr>
          <w:lang w:val="es-ES_tradnl"/>
        </w:rPr>
        <w:noBreakHyphen/>
        <w:t xml:space="preserve">R. </w:t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revisión de la Recomendación UIT-R M.1579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/23</w:t>
      </w:r>
    </w:p>
    <w:p w:rsidR="00C25639" w:rsidRPr="00D1397D" w:rsidRDefault="00C25639" w:rsidP="00C25639">
      <w:pPr>
        <w:pStyle w:val="Rectitle"/>
      </w:pPr>
      <w:r w:rsidRPr="00D1397D">
        <w:t>Circulación a nive</w:t>
      </w:r>
      <w:r>
        <w:t>l mundial de los terminales IMT</w:t>
      </w:r>
      <w:r>
        <w:noBreakHyphen/>
      </w:r>
      <w:r w:rsidRPr="00D1397D">
        <w:t xml:space="preserve">2000 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de la Recomendación UIT</w:t>
      </w:r>
      <w:r w:rsidRPr="00876583">
        <w:rPr>
          <w:lang w:val="es-ES_tradnl"/>
        </w:rPr>
        <w:noBreakHyphen/>
        <w:t>R M.1579 suprime la información relativa a la componente de satélite de las IMT</w:t>
      </w:r>
      <w:r w:rsidRPr="00876583">
        <w:rPr>
          <w:lang w:val="es-ES_tradnl"/>
        </w:rPr>
        <w:noBreakHyphen/>
        <w:t>2000. La información pertinente sobre la compo</w:t>
      </w:r>
      <w:r w:rsidR="00114A5B">
        <w:rPr>
          <w:lang w:val="es-ES_tradnl"/>
        </w:rPr>
        <w:t>nente de satélite relativa a la </w:t>
      </w:r>
      <w:r w:rsidRPr="00876583">
        <w:rPr>
          <w:lang w:val="es-ES_tradnl"/>
        </w:rPr>
        <w:t xml:space="preserve">circulación mundial se ha abordado en un documento distinto que es competencia del </w:t>
      </w:r>
      <w:proofErr w:type="spellStart"/>
      <w:r w:rsidRPr="00876583">
        <w:rPr>
          <w:lang w:val="es-ES_tradnl"/>
        </w:rPr>
        <w:t>GT</w:t>
      </w:r>
      <w:proofErr w:type="spellEnd"/>
      <w:r w:rsidRPr="00876583">
        <w:rPr>
          <w:lang w:val="es-ES_tradnl"/>
        </w:rPr>
        <w:t xml:space="preserve"> 4B. Este trabajo se ha llevado a cabo en coordinación con el </w:t>
      </w:r>
      <w:proofErr w:type="spellStart"/>
      <w:r w:rsidRPr="00876583">
        <w:rPr>
          <w:lang w:val="es-ES_tradnl"/>
        </w:rPr>
        <w:t>GT</w:t>
      </w:r>
      <w:proofErr w:type="spellEnd"/>
      <w:r w:rsidRPr="00876583">
        <w:rPr>
          <w:lang w:val="es-ES_tradnl"/>
        </w:rPr>
        <w:t> 4B.</w:t>
      </w:r>
    </w:p>
    <w:p w:rsidR="00E0490D" w:rsidRDefault="00E049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25639" w:rsidRPr="00D1397D" w:rsidRDefault="00C25639" w:rsidP="00C25639">
      <w:pPr>
        <w:pStyle w:val="Normalaftertitle0"/>
        <w:tabs>
          <w:tab w:val="right" w:pos="9639"/>
        </w:tabs>
        <w:rPr>
          <w:lang w:val="es-ES_tradnl"/>
        </w:rPr>
      </w:pPr>
      <w:r w:rsidRPr="00D1397D">
        <w:rPr>
          <w:u w:val="single"/>
          <w:lang w:val="es-ES_tradnl"/>
        </w:rPr>
        <w:t>Proyecto de revi</w:t>
      </w:r>
      <w:r>
        <w:rPr>
          <w:u w:val="single"/>
          <w:lang w:val="es-ES_tradnl"/>
        </w:rPr>
        <w:t>sión de la Recomendación UIT-R F</w:t>
      </w:r>
      <w:r w:rsidRPr="00D1397D">
        <w:rPr>
          <w:u w:val="single"/>
          <w:lang w:val="es-ES_tradnl"/>
        </w:rPr>
        <w:t>.758-4</w:t>
      </w:r>
      <w:r w:rsidRPr="00D1397D">
        <w:rPr>
          <w:lang w:val="es-ES_tradnl"/>
        </w:rPr>
        <w:tab/>
        <w:t>Doc. 5/</w:t>
      </w:r>
      <w:proofErr w:type="spellStart"/>
      <w:r w:rsidRPr="00D1397D">
        <w:rPr>
          <w:lang w:val="es-ES_tradnl"/>
        </w:rPr>
        <w:t>BL</w:t>
      </w:r>
      <w:proofErr w:type="spellEnd"/>
      <w:r w:rsidRPr="00D1397D">
        <w:rPr>
          <w:lang w:val="es-ES_tradnl"/>
        </w:rPr>
        <w:t>/24</w:t>
      </w:r>
    </w:p>
    <w:p w:rsidR="00C25639" w:rsidRPr="00D1397D" w:rsidRDefault="00C25639" w:rsidP="00C25639">
      <w:pPr>
        <w:pStyle w:val="Rectitle"/>
      </w:pPr>
      <w:r w:rsidRPr="00D1397D">
        <w:t>Consideraciones relativas a la elaboración de criterios para la compartición</w:t>
      </w:r>
      <w:r w:rsidRPr="00D1397D">
        <w:br/>
        <w:t xml:space="preserve">entre el servicio fijo terrenal y otros servicios </w:t>
      </w:r>
    </w:p>
    <w:p w:rsidR="00C25639" w:rsidRPr="00876583" w:rsidRDefault="00C25639" w:rsidP="00C25639">
      <w:pPr>
        <w:pStyle w:val="Normalaftertitle0"/>
        <w:rPr>
          <w:lang w:val="es-ES_tradnl"/>
        </w:rPr>
      </w:pPr>
      <w:r w:rsidRPr="00876583">
        <w:rPr>
          <w:lang w:val="es-ES_tradnl"/>
        </w:rPr>
        <w:t>Esta revisión incluye los elementos siguientes: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revisado la parte del alcance;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 mejorado el texto de los </w:t>
      </w:r>
      <w:r w:rsidRPr="00876583">
        <w:rPr>
          <w:i/>
          <w:iCs/>
        </w:rPr>
        <w:t>considerando</w:t>
      </w:r>
      <w:r w:rsidRPr="00D1397D">
        <w:t xml:space="preserve"> y </w:t>
      </w:r>
      <w:r w:rsidRPr="00876583">
        <w:rPr>
          <w:i/>
          <w:iCs/>
        </w:rPr>
        <w:t>observando</w:t>
      </w:r>
      <w:r w:rsidRPr="00D1397D">
        <w:t>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sustituido el Anexo 1 por un texto totalmente nuevo sobre las consideraciones relativas a la definición de criterios para la compartición, atendiendo a los objetivos de funcionamiento/disponibilidad elaborados tras la aprobación</w:t>
      </w:r>
      <w:r w:rsidR="00114A5B">
        <w:t xml:space="preserve"> de la versión anterior de esta </w:t>
      </w:r>
      <w:r w:rsidRPr="00D1397D">
        <w:t>Recomendación;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han sustituido los Anexos 2 y 3 por los nuevos textos e informaciones actualizadas sobre los parámetros de los sistemas del servicio fijo, y se ha trasladado la antigua información sobre dichos parámetros al Informe UIT</w:t>
      </w:r>
      <w:r w:rsidRPr="00D1397D">
        <w:noBreakHyphen/>
        <w:t>R F.2108;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>se ha eliminado el Anexo 4, cuya información también se ha trasladado al Informe UIT</w:t>
      </w:r>
      <w:r w:rsidRPr="00D1397D">
        <w:noBreakHyphen/>
        <w:t>R F.2108;</w:t>
      </w:r>
    </w:p>
    <w:p w:rsidR="00C25639" w:rsidRPr="00D1397D" w:rsidRDefault="00C25639" w:rsidP="00C25639">
      <w:pPr>
        <w:pStyle w:val="enumlev1"/>
      </w:pPr>
      <w:r w:rsidRPr="00D1397D">
        <w:t>–</w:t>
      </w:r>
      <w:r>
        <w:tab/>
        <w:t>en el Anexo </w:t>
      </w:r>
      <w:r w:rsidRPr="00D1397D">
        <w:t>1 se han insertado aclaraciones sobre la interfer</w:t>
      </w:r>
      <w:r w:rsidR="00114A5B">
        <w:t>encia «de larga duración» y «de </w:t>
      </w:r>
      <w:r w:rsidRPr="00D1397D">
        <w:t>corta duración» relativas a la característica de error y de disponibilidad;</w:t>
      </w:r>
    </w:p>
    <w:p w:rsidR="00C25639" w:rsidRPr="00D1397D" w:rsidRDefault="00C25639" w:rsidP="00C25639">
      <w:pPr>
        <w:pStyle w:val="enumlev1"/>
      </w:pPr>
      <w:r w:rsidRPr="00D1397D">
        <w:t>–</w:t>
      </w:r>
      <w:r w:rsidRPr="00D1397D">
        <w:tab/>
        <w:t xml:space="preserve">se ha incluido un nuevo § 1.1.2.2. </w:t>
      </w:r>
      <w:proofErr w:type="gramStart"/>
      <w:r w:rsidRPr="00D1397D">
        <w:t>en</w:t>
      </w:r>
      <w:proofErr w:type="gramEnd"/>
      <w:r w:rsidRPr="00D1397D">
        <w:t xml:space="preserve"> el Anexo 1 que aborda </w:t>
      </w:r>
      <w:r w:rsidR="00114A5B">
        <w:t>consideraciones relativas a las </w:t>
      </w:r>
      <w:r w:rsidRPr="00D1397D">
        <w:t>aplicaciones prácticas;</w:t>
      </w:r>
    </w:p>
    <w:p w:rsidR="00C25639" w:rsidRDefault="00C25639" w:rsidP="00C25639">
      <w:pPr>
        <w:pStyle w:val="enumlev1"/>
      </w:pPr>
      <w:r w:rsidRPr="00D1397D">
        <w:t>–</w:t>
      </w:r>
      <w:r w:rsidRPr="00D1397D">
        <w:tab/>
        <w:t xml:space="preserve">se han resumido los valores del criterio </w:t>
      </w:r>
      <w:r w:rsidRPr="00876583">
        <w:rPr>
          <w:i/>
          <w:iCs/>
        </w:rPr>
        <w:t>I</w:t>
      </w:r>
      <w:r w:rsidRPr="00D1397D">
        <w:t>/</w:t>
      </w:r>
      <w:r w:rsidRPr="00876583">
        <w:rPr>
          <w:i/>
          <w:iCs/>
        </w:rPr>
        <w:t>N</w:t>
      </w:r>
      <w:r w:rsidRPr="00D1397D">
        <w:t xml:space="preserve"> a la luz de los estudios anteriores de compartición/compatibilidad.</w:t>
      </w:r>
    </w:p>
    <w:p w:rsidR="00C25639" w:rsidRDefault="00C25639" w:rsidP="00C25639">
      <w:pPr>
        <w:pStyle w:val="enumlev1"/>
      </w:pPr>
    </w:p>
    <w:p w:rsidR="00E0490D" w:rsidRPr="00D1397D" w:rsidRDefault="00E0490D" w:rsidP="00C25639">
      <w:pPr>
        <w:pStyle w:val="enumlev1"/>
      </w:pPr>
    </w:p>
    <w:p w:rsidR="00C25639" w:rsidRDefault="00C25639" w:rsidP="00C25639">
      <w:pPr>
        <w:jc w:val="center"/>
      </w:pPr>
      <w:r>
        <w:t>______________</w:t>
      </w:r>
    </w:p>
    <w:p w:rsidR="000308F8" w:rsidRPr="00770CF6" w:rsidRDefault="000308F8" w:rsidP="000308F8"/>
    <w:sectPr w:rsidR="000308F8" w:rsidRPr="00770CF6" w:rsidSect="00CF0AB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F8" w:rsidRDefault="000308F8">
      <w:r>
        <w:separator/>
      </w:r>
    </w:p>
  </w:endnote>
  <w:endnote w:type="continuationSeparator" w:id="0">
    <w:p w:rsidR="000308F8" w:rsidRDefault="000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F8" w:rsidRDefault="00114A5B" w:rsidP="00114A5B">
    <w:pPr>
      <w:pStyle w:val="Footer"/>
    </w:pPr>
    <w:fldSimple w:instr=" FILENAME \p \* MERGEFORMAT ">
      <w:r w:rsidR="00134A98">
        <w:t>Y:\APP\BR\CIRCS_DMS\CAR\300\331\331s.docx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0308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0308F8">
      <w:trPr>
        <w:cantSplit/>
      </w:trPr>
      <w:tc>
        <w:tcPr>
          <w:tcW w:w="1062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0308F8">
      <w:trPr>
        <w:cantSplit/>
      </w:trPr>
      <w:tc>
        <w:tcPr>
          <w:tcW w:w="1062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0308F8" w:rsidRDefault="000308F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0308F8" w:rsidRDefault="000308F8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0308F8" w:rsidRDefault="000308F8">
          <w:pPr>
            <w:pStyle w:val="itu"/>
            <w:rPr>
              <w:lang w:val="es-ES_tradnl"/>
            </w:rPr>
          </w:pPr>
        </w:p>
      </w:tc>
    </w:tr>
  </w:tbl>
  <w:p w:rsidR="000308F8" w:rsidRDefault="000308F8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F8" w:rsidRDefault="000308F8">
      <w:r>
        <w:t>____________________</w:t>
      </w:r>
    </w:p>
  </w:footnote>
  <w:footnote w:type="continuationSeparator" w:id="0">
    <w:p w:rsidR="000308F8" w:rsidRDefault="0003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F8" w:rsidRDefault="000308F8">
    <w:pPr>
      <w:pStyle w:val="Header"/>
      <w:rPr>
        <w:rStyle w:val="PageNumber"/>
      </w:rPr>
    </w:pPr>
    <w:r>
      <w:rPr>
        <w:lang w:val="en-US"/>
      </w:rPr>
      <w:t xml:space="preserve">- </w:t>
    </w:r>
    <w:r w:rsidR="00A777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777F8">
      <w:rPr>
        <w:rStyle w:val="PageNumber"/>
      </w:rPr>
      <w:fldChar w:fldCharType="separate"/>
    </w:r>
    <w:r w:rsidR="00514625">
      <w:rPr>
        <w:rStyle w:val="PageNumber"/>
        <w:noProof/>
      </w:rPr>
      <w:t>6</w:t>
    </w:r>
    <w:r w:rsidR="00A777F8">
      <w:rPr>
        <w:rStyle w:val="PageNumber"/>
      </w:rPr>
      <w:fldChar w:fldCharType="end"/>
    </w:r>
    <w:r>
      <w:rPr>
        <w:rStyle w:val="PageNumber"/>
      </w:rPr>
      <w:t xml:space="preserve"> -</w:t>
    </w:r>
  </w:p>
  <w:p w:rsidR="000308F8" w:rsidRPr="00F96264" w:rsidRDefault="000308F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DD"/>
    <w:rsid w:val="000308F8"/>
    <w:rsid w:val="00045027"/>
    <w:rsid w:val="000F0571"/>
    <w:rsid w:val="00114A5B"/>
    <w:rsid w:val="00131358"/>
    <w:rsid w:val="00134A98"/>
    <w:rsid w:val="00240010"/>
    <w:rsid w:val="002A240E"/>
    <w:rsid w:val="003244E2"/>
    <w:rsid w:val="00351622"/>
    <w:rsid w:val="00514625"/>
    <w:rsid w:val="00563214"/>
    <w:rsid w:val="00655A81"/>
    <w:rsid w:val="006B43F3"/>
    <w:rsid w:val="00724FEC"/>
    <w:rsid w:val="007A5196"/>
    <w:rsid w:val="007B00B1"/>
    <w:rsid w:val="008546AE"/>
    <w:rsid w:val="00864801"/>
    <w:rsid w:val="008D5CD3"/>
    <w:rsid w:val="0091539B"/>
    <w:rsid w:val="009526DD"/>
    <w:rsid w:val="009B202C"/>
    <w:rsid w:val="009F7F78"/>
    <w:rsid w:val="00A144E0"/>
    <w:rsid w:val="00A168EA"/>
    <w:rsid w:val="00A777F8"/>
    <w:rsid w:val="00AE07DC"/>
    <w:rsid w:val="00BD0273"/>
    <w:rsid w:val="00BE2644"/>
    <w:rsid w:val="00BF11C4"/>
    <w:rsid w:val="00C25639"/>
    <w:rsid w:val="00CF0AB6"/>
    <w:rsid w:val="00D04A11"/>
    <w:rsid w:val="00E0490D"/>
    <w:rsid w:val="00E23C4D"/>
    <w:rsid w:val="00E32794"/>
    <w:rsid w:val="00E522A5"/>
    <w:rsid w:val="00F37C01"/>
    <w:rsid w:val="00F9626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  <w:style w:type="character" w:customStyle="1" w:styleId="h21">
    <w:name w:val="h21"/>
    <w:basedOn w:val="DefaultParagraphFont"/>
    <w:rsid w:val="00A168EA"/>
    <w:rPr>
      <w:b/>
      <w:bCs/>
      <w:color w:val="3366CC"/>
      <w:sz w:val="36"/>
      <w:szCs w:val="36"/>
    </w:rPr>
  </w:style>
  <w:style w:type="paragraph" w:customStyle="1" w:styleId="AnnexNoTitle0">
    <w:name w:val="Annex_NoTitle"/>
    <w:basedOn w:val="Normal"/>
    <w:next w:val="Normalaftertitle"/>
    <w:rsid w:val="00C2563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rsid w:val="00C25639"/>
    <w:pPr>
      <w:overflowPunct/>
      <w:autoSpaceDE/>
      <w:autoSpaceDN/>
      <w:adjustRightInd/>
      <w:spacing w:before="320"/>
      <w:textAlignment w:val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  <w:style w:type="character" w:customStyle="1" w:styleId="h21">
    <w:name w:val="h21"/>
    <w:basedOn w:val="DefaultParagraphFont"/>
    <w:rsid w:val="00A168EA"/>
    <w:rPr>
      <w:b/>
      <w:bCs/>
      <w:color w:val="3366CC"/>
      <w:sz w:val="36"/>
      <w:szCs w:val="36"/>
    </w:rPr>
  </w:style>
  <w:style w:type="paragraph" w:customStyle="1" w:styleId="AnnexNoTitle0">
    <w:name w:val="Annex_NoTitle"/>
    <w:basedOn w:val="Normal"/>
    <w:next w:val="Normalaftertitle"/>
    <w:rsid w:val="00C2563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rsid w:val="00C25639"/>
    <w:pPr>
      <w:overflowPunct/>
      <w:autoSpaceDE/>
      <w:autoSpaceDN/>
      <w:adjustRightInd/>
      <w:spacing w:before="320"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88EE-68AC-4E55-8490-3769F607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27</TotalTime>
  <Pages>7</Pages>
  <Words>1994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12753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bonnici</cp:lastModifiedBy>
  <cp:revision>8</cp:revision>
  <cp:lastPrinted>2011-12-05T13:45:00Z</cp:lastPrinted>
  <dcterms:created xsi:type="dcterms:W3CDTF">2011-12-05T13:33:00Z</dcterms:created>
  <dcterms:modified xsi:type="dcterms:W3CDTF">2011-12-13T13:37:00Z</dcterms:modified>
</cp:coreProperties>
</file>