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D35752" w:rsidTr="00E519E8">
        <w:tc>
          <w:tcPr>
            <w:tcW w:w="9039" w:type="dxa"/>
            <w:vAlign w:val="center"/>
          </w:tcPr>
          <w:p w:rsidR="00F96264" w:rsidRPr="00D35752" w:rsidRDefault="00F96264" w:rsidP="00E519E8">
            <w:pPr>
              <w:spacing w:before="0"/>
            </w:pPr>
            <w:bookmarkStart w:id="0" w:name="_GoBack"/>
            <w:bookmarkEnd w:id="0"/>
            <w:r w:rsidRPr="00E519E8">
              <w:rPr>
                <w:rFonts w:ascii="Futura Lt BT" w:hAnsi="Futura Lt BT"/>
                <w:spacing w:val="5"/>
                <w:sz w:val="44"/>
              </w:rPr>
              <w:t>U</w:t>
            </w:r>
            <w:r w:rsidRPr="00E519E8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E519E8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E519E8">
              <w:rPr>
                <w:rFonts w:ascii="Futura Lt BT" w:hAnsi="Futura Lt BT"/>
                <w:spacing w:val="5"/>
                <w:sz w:val="44"/>
              </w:rPr>
              <w:t>I</w:t>
            </w:r>
            <w:r w:rsidRPr="00E519E8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E519E8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E519E8">
              <w:rPr>
                <w:rFonts w:ascii="Futura Lt BT" w:hAnsi="Futura Lt BT"/>
                <w:spacing w:val="5"/>
                <w:sz w:val="44"/>
              </w:rPr>
              <w:t>T</w:t>
            </w:r>
            <w:r w:rsidRPr="00E519E8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842394" w:rsidP="00E519E8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C551E4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C551E4" w:rsidRDefault="00F96264" w:rsidP="00F96264">
      <w:pPr>
        <w:tabs>
          <w:tab w:val="left" w:pos="7513"/>
        </w:tabs>
      </w:pPr>
    </w:p>
    <w:p w:rsidR="00F96264" w:rsidRPr="00C551E4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661B16" w:rsidTr="00661B16">
        <w:trPr>
          <w:cantSplit/>
        </w:trPr>
        <w:tc>
          <w:tcPr>
            <w:tcW w:w="2802" w:type="dxa"/>
          </w:tcPr>
          <w:p w:rsidR="00F96264" w:rsidRPr="00661B16" w:rsidRDefault="009F7F74" w:rsidP="00AC756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letter"/>
            <w:bookmarkEnd w:id="1"/>
            <w:r w:rsidRPr="00661B16">
              <w:rPr>
                <w:b/>
                <w:bCs/>
              </w:rPr>
              <w:t>Circular Administrativa</w:t>
            </w:r>
            <w:bookmarkStart w:id="2" w:name="dnum"/>
            <w:bookmarkEnd w:id="2"/>
            <w:r w:rsidR="00661B16" w:rsidRPr="00661B16">
              <w:rPr>
                <w:b/>
                <w:bCs/>
              </w:rPr>
              <w:br/>
            </w:r>
            <w:r w:rsidRPr="00661B16">
              <w:rPr>
                <w:b/>
                <w:bCs/>
              </w:rPr>
              <w:t>CAR/</w:t>
            </w:r>
            <w:r w:rsidR="00AC756D">
              <w:rPr>
                <w:b/>
                <w:bCs/>
              </w:rPr>
              <w:t>323</w:t>
            </w:r>
          </w:p>
        </w:tc>
        <w:tc>
          <w:tcPr>
            <w:tcW w:w="7218" w:type="dxa"/>
          </w:tcPr>
          <w:p w:rsidR="00F96264" w:rsidRPr="00661B16" w:rsidRDefault="00176D70" w:rsidP="00AC756D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1</w:t>
            </w:r>
            <w:r w:rsidR="00AC756D">
              <w:rPr>
                <w:bCs/>
              </w:rPr>
              <w:t>2</w:t>
            </w:r>
            <w:r w:rsidR="00661B16">
              <w:rPr>
                <w:bCs/>
              </w:rPr>
              <w:t xml:space="preserve"> de </w:t>
            </w:r>
            <w:r w:rsidR="00AC756D">
              <w:rPr>
                <w:bCs/>
              </w:rPr>
              <w:t>octubre</w:t>
            </w:r>
            <w:r w:rsidR="009F7F74" w:rsidRPr="00661B16">
              <w:rPr>
                <w:bCs/>
              </w:rPr>
              <w:t xml:space="preserve"> de 20</w:t>
            </w:r>
            <w:r w:rsidR="00E6700F">
              <w:rPr>
                <w:bCs/>
              </w:rPr>
              <w:t>1</w:t>
            </w:r>
            <w:r w:rsidR="00AC756D">
              <w:rPr>
                <w:bCs/>
              </w:rPr>
              <w:t>1</w:t>
            </w:r>
          </w:p>
        </w:tc>
      </w:tr>
    </w:tbl>
    <w:p w:rsidR="009F7F74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A las Administraciones de los Estados Miembros de la UIT</w:t>
      </w:r>
    </w:p>
    <w:p w:rsidR="009F7F74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</w:rPr>
      </w:pPr>
    </w:p>
    <w:p w:rsidR="009F7F74" w:rsidRDefault="009F7F74" w:rsidP="00D02E6F">
      <w:pPr>
        <w:ind w:left="1185" w:hanging="1185"/>
      </w:pPr>
      <w:r>
        <w:rPr>
          <w:b/>
        </w:rPr>
        <w:t>Asunto</w:t>
      </w:r>
      <w:r>
        <w:t>:</w:t>
      </w:r>
      <w:r>
        <w:tab/>
      </w:r>
      <w:bookmarkStart w:id="4" w:name="body"/>
      <w:bookmarkStart w:id="5" w:name="objet"/>
      <w:bookmarkStart w:id="6" w:name="circ"/>
      <w:bookmarkEnd w:id="4"/>
      <w:bookmarkEnd w:id="5"/>
      <w:bookmarkEnd w:id="6"/>
      <w:r>
        <w:rPr>
          <w:b/>
          <w:bCs/>
        </w:rPr>
        <w:t>Comisión de Estu</w:t>
      </w:r>
      <w:r w:rsidR="00C666C7">
        <w:rPr>
          <w:b/>
          <w:bCs/>
        </w:rPr>
        <w:t>dio </w:t>
      </w:r>
      <w:r w:rsidR="00D02E6F">
        <w:rPr>
          <w:b/>
          <w:bCs/>
        </w:rPr>
        <w:t>4</w:t>
      </w:r>
      <w:r>
        <w:rPr>
          <w:b/>
          <w:bCs/>
        </w:rPr>
        <w:t xml:space="preserve"> de Radiocomu</w:t>
      </w:r>
      <w:smartTag w:uri="urn:schemas-microsoft-com:office:smarttags" w:element="PersonName">
        <w:r>
          <w:rPr>
            <w:b/>
            <w:bCs/>
          </w:rPr>
          <w:t>nic</w:t>
        </w:r>
      </w:smartTag>
      <w:r>
        <w:rPr>
          <w:b/>
          <w:bCs/>
        </w:rPr>
        <w:t>aciones</w:t>
      </w:r>
      <w:r w:rsidR="00AC756D">
        <w:rPr>
          <w:b/>
          <w:bCs/>
        </w:rPr>
        <w:t xml:space="preserve"> (Servicios por satélite)</w:t>
      </w:r>
    </w:p>
    <w:p w:rsidR="009F7F74" w:rsidRDefault="006F4CBE" w:rsidP="00AC756D">
      <w:pPr>
        <w:ind w:left="1588" w:hanging="403"/>
        <w:rPr>
          <w:b/>
          <w:bCs/>
        </w:rPr>
      </w:pPr>
      <w:r w:rsidRPr="006F4CBE">
        <w:rPr>
          <w:b/>
          <w:bCs/>
        </w:rPr>
        <w:t>–</w:t>
      </w:r>
      <w:r>
        <w:rPr>
          <w:b/>
          <w:bCs/>
        </w:rPr>
        <w:tab/>
      </w:r>
      <w:r w:rsidR="009F7F74" w:rsidRPr="001F571D">
        <w:rPr>
          <w:b/>
          <w:bCs/>
        </w:rPr>
        <w:t xml:space="preserve">Propuesta de aprobación </w:t>
      </w:r>
      <w:r w:rsidR="00D02E6F">
        <w:rPr>
          <w:b/>
          <w:bCs/>
        </w:rPr>
        <w:t xml:space="preserve">de </w:t>
      </w:r>
      <w:r w:rsidR="00AC756D">
        <w:rPr>
          <w:b/>
          <w:bCs/>
        </w:rPr>
        <w:t>4</w:t>
      </w:r>
      <w:r w:rsidR="00E6700F">
        <w:rPr>
          <w:b/>
          <w:bCs/>
        </w:rPr>
        <w:t xml:space="preserve"> proyecto</w:t>
      </w:r>
      <w:r w:rsidR="00AC756D">
        <w:rPr>
          <w:b/>
          <w:bCs/>
        </w:rPr>
        <w:t>s</w:t>
      </w:r>
      <w:r w:rsidR="00E6700F">
        <w:rPr>
          <w:b/>
          <w:bCs/>
        </w:rPr>
        <w:t xml:space="preserve"> de nueva</w:t>
      </w:r>
      <w:r w:rsidR="00AC756D">
        <w:rPr>
          <w:b/>
          <w:bCs/>
        </w:rPr>
        <w:t>s Recomendacio</w:t>
      </w:r>
      <w:r w:rsidR="00E6700F">
        <w:rPr>
          <w:b/>
          <w:bCs/>
        </w:rPr>
        <w:t>n</w:t>
      </w:r>
      <w:r w:rsidR="00AC756D">
        <w:rPr>
          <w:b/>
          <w:bCs/>
        </w:rPr>
        <w:t>es</w:t>
      </w:r>
      <w:r w:rsidR="00D02E6F">
        <w:rPr>
          <w:b/>
          <w:bCs/>
        </w:rPr>
        <w:t xml:space="preserve"> y </w:t>
      </w:r>
      <w:r w:rsidR="00661B16">
        <w:rPr>
          <w:b/>
          <w:bCs/>
        </w:rPr>
        <w:t xml:space="preserve">de </w:t>
      </w:r>
      <w:r w:rsidR="00AC756D">
        <w:rPr>
          <w:b/>
          <w:bCs/>
        </w:rPr>
        <w:t>3</w:t>
      </w:r>
      <w:r w:rsidR="00C666C7" w:rsidRPr="00405881">
        <w:rPr>
          <w:b/>
        </w:rPr>
        <w:t> proyectos de Recomendaciones revisadas</w:t>
      </w:r>
      <w:r w:rsidR="00C666C7">
        <w:rPr>
          <w:b/>
          <w:bCs/>
        </w:rPr>
        <w:t xml:space="preserve"> </w:t>
      </w:r>
      <w:r w:rsidR="001C1AA0">
        <w:rPr>
          <w:b/>
          <w:bCs/>
        </w:rPr>
        <w:t xml:space="preserve">y </w:t>
      </w:r>
      <w:r w:rsidR="009F7F74" w:rsidRPr="001F571D">
        <w:rPr>
          <w:b/>
          <w:bCs/>
        </w:rPr>
        <w:t xml:space="preserve">su aprobación simultánea por correspondencia de </w:t>
      </w:r>
      <w:r w:rsidR="009F7F74">
        <w:rPr>
          <w:b/>
          <w:bCs/>
        </w:rPr>
        <w:t>conformidad con el § 10.3 de la </w:t>
      </w:r>
      <w:r w:rsidR="009F7F74" w:rsidRPr="001F571D">
        <w:rPr>
          <w:b/>
          <w:bCs/>
        </w:rPr>
        <w:t>Resolución UIT</w:t>
      </w:r>
      <w:r w:rsidR="009F7F74" w:rsidRPr="001F571D">
        <w:rPr>
          <w:b/>
          <w:bCs/>
        </w:rPr>
        <w:noBreakHyphen/>
        <w:t>R 1</w:t>
      </w:r>
      <w:r w:rsidR="009F7F74" w:rsidRPr="001F571D">
        <w:rPr>
          <w:b/>
          <w:bCs/>
        </w:rPr>
        <w:noBreakHyphen/>
      </w:r>
      <w:r w:rsidR="009F7F74">
        <w:rPr>
          <w:b/>
          <w:bCs/>
        </w:rPr>
        <w:t>5</w:t>
      </w:r>
      <w:r w:rsidR="009F7F74" w:rsidRPr="001F571D">
        <w:rPr>
          <w:b/>
          <w:bCs/>
        </w:rPr>
        <w:t xml:space="preserve"> (Procedimiento para la adopción y aprobación simultáneas por correspondencia)</w:t>
      </w:r>
    </w:p>
    <w:p w:rsidR="006F4CBE" w:rsidRDefault="006F4CBE" w:rsidP="00AC756D">
      <w:pPr>
        <w:ind w:left="1588" w:hanging="403"/>
        <w:rPr>
          <w:b/>
          <w:bCs/>
        </w:rPr>
      </w:pPr>
      <w:r w:rsidRPr="006F4CBE">
        <w:rPr>
          <w:b/>
          <w:bCs/>
        </w:rPr>
        <w:t>–</w:t>
      </w:r>
      <w:r>
        <w:rPr>
          <w:b/>
          <w:bCs/>
        </w:rPr>
        <w:tab/>
      </w:r>
      <w:r w:rsidR="00C666C7">
        <w:rPr>
          <w:b/>
          <w:bCs/>
        </w:rPr>
        <w:t xml:space="preserve">Propuesta de supresión de </w:t>
      </w:r>
      <w:r w:rsidR="00AC756D">
        <w:rPr>
          <w:b/>
          <w:bCs/>
        </w:rPr>
        <w:t>2</w:t>
      </w:r>
      <w:r w:rsidR="00E6700F">
        <w:rPr>
          <w:b/>
          <w:bCs/>
        </w:rPr>
        <w:t xml:space="preserve"> Recomendaciones</w:t>
      </w:r>
    </w:p>
    <w:p w:rsidR="000410AE" w:rsidRDefault="000410AE" w:rsidP="000410AE"/>
    <w:p w:rsidR="009F7F74" w:rsidRDefault="009F7F74" w:rsidP="00AC756D">
      <w:pPr>
        <w:pStyle w:val="Normalaftertitle"/>
        <w:ind w:right="-142"/>
      </w:pPr>
      <w:r>
        <w:t>En la reu</w:t>
      </w:r>
      <w:r w:rsidR="00C666C7">
        <w:t>nión de la Comisión de Estudio </w:t>
      </w:r>
      <w:r w:rsidR="00D02E6F">
        <w:t>4</w:t>
      </w:r>
      <w:r>
        <w:t xml:space="preserve"> de Radiocomu</w:t>
      </w:r>
      <w:smartTag w:uri="urn:schemas-microsoft-com:office:smarttags" w:element="PersonName">
        <w:r>
          <w:t>nic</w:t>
        </w:r>
      </w:smartTag>
      <w:r>
        <w:t xml:space="preserve">aciones celebrada </w:t>
      </w:r>
      <w:r w:rsidR="00AC756D">
        <w:t>los</w:t>
      </w:r>
      <w:r w:rsidR="00690D17">
        <w:t xml:space="preserve"> día</w:t>
      </w:r>
      <w:r w:rsidR="00AC756D">
        <w:t>s</w:t>
      </w:r>
      <w:r w:rsidR="00661B16">
        <w:t xml:space="preserve"> </w:t>
      </w:r>
      <w:r w:rsidR="00AC756D">
        <w:t>29</w:t>
      </w:r>
      <w:r w:rsidR="00690D17">
        <w:t xml:space="preserve"> </w:t>
      </w:r>
      <w:r w:rsidR="00AC756D">
        <w:t xml:space="preserve">y </w:t>
      </w:r>
      <w:r w:rsidR="00AC756D">
        <w:br/>
        <w:t xml:space="preserve">30 </w:t>
      </w:r>
      <w:r w:rsidR="00690D17">
        <w:t xml:space="preserve">de </w:t>
      </w:r>
      <w:r w:rsidR="00AC756D">
        <w:t>septiembre</w:t>
      </w:r>
      <w:r w:rsidR="00690D17">
        <w:t xml:space="preserve"> de 201</w:t>
      </w:r>
      <w:r w:rsidR="00AC756D">
        <w:t>1</w:t>
      </w:r>
      <w:r>
        <w:t xml:space="preserve">, la Comisión de Estudio decidió solicitar la adopción </w:t>
      </w:r>
      <w:r w:rsidR="00690D17">
        <w:t xml:space="preserve">de </w:t>
      </w:r>
      <w:r w:rsidR="00AC756D">
        <w:t>4</w:t>
      </w:r>
      <w:r w:rsidR="00690D17">
        <w:t xml:space="preserve"> proyecto</w:t>
      </w:r>
      <w:r w:rsidR="00AC756D">
        <w:t>s</w:t>
      </w:r>
      <w:r w:rsidR="00D02E6F">
        <w:t xml:space="preserve"> de nueva</w:t>
      </w:r>
      <w:r w:rsidR="00AC756D">
        <w:t>s</w:t>
      </w:r>
      <w:r w:rsidR="00D02E6F" w:rsidRPr="00690D17">
        <w:t xml:space="preserve"> </w:t>
      </w:r>
      <w:r w:rsidR="00AC756D">
        <w:t>Recomendacio</w:t>
      </w:r>
      <w:r w:rsidR="00690D17" w:rsidRPr="00690D17">
        <w:t>n</w:t>
      </w:r>
      <w:r w:rsidR="00AC756D">
        <w:t>es</w:t>
      </w:r>
      <w:r w:rsidR="00D02E6F">
        <w:t xml:space="preserve"> y </w:t>
      </w:r>
      <w:r>
        <w:t>de </w:t>
      </w:r>
      <w:r w:rsidR="00AC756D">
        <w:t>3</w:t>
      </w:r>
      <w:r w:rsidR="00C666C7" w:rsidRPr="00C666C7">
        <w:t xml:space="preserve"> proyectos de Recomendaciones revisadas </w:t>
      </w:r>
      <w:r w:rsidRPr="00C666C7">
        <w:t>por</w:t>
      </w:r>
      <w:r>
        <w:t xml:space="preserve"> correspondencia (§ 10.2.3 de la Resolución UIT</w:t>
      </w:r>
      <w:r>
        <w:noBreakHyphen/>
        <w:t>R 1-5) y además decidió aplicar el procedimiento para la adopción y aprobación simultáneas por correspondencia (PAAS), (§ 10.3 de la Resolución UIT</w:t>
      </w:r>
      <w:r>
        <w:noBreakHyphen/>
        <w:t>R 1</w:t>
      </w:r>
      <w:r>
        <w:noBreakHyphen/>
        <w:t xml:space="preserve">5). </w:t>
      </w:r>
      <w:r w:rsidR="00507D28">
        <w:t>Los</w:t>
      </w:r>
      <w:r w:rsidR="00AC756D">
        <w:t> </w:t>
      </w:r>
      <w:r>
        <w:t>título</w:t>
      </w:r>
      <w:r w:rsidR="00507D28">
        <w:t>s</w:t>
      </w:r>
      <w:r>
        <w:t xml:space="preserve"> y</w:t>
      </w:r>
      <w:r w:rsidR="00484EF6">
        <w:t xml:space="preserve"> </w:t>
      </w:r>
      <w:r>
        <w:t>res</w:t>
      </w:r>
      <w:r w:rsidR="00507D28">
        <w:t xml:space="preserve">úmenes </w:t>
      </w:r>
      <w:r>
        <w:t>de</w:t>
      </w:r>
      <w:r w:rsidR="00507D28">
        <w:t xml:space="preserve"> los</w:t>
      </w:r>
      <w:r>
        <w:t xml:space="preserve"> proyecto</w:t>
      </w:r>
      <w:r w:rsidR="00507D28">
        <w:t>s</w:t>
      </w:r>
      <w:r w:rsidR="000410AE">
        <w:t xml:space="preserve"> de </w:t>
      </w:r>
      <w:r w:rsidR="0099447C">
        <w:t>Recomendacio</w:t>
      </w:r>
      <w:r w:rsidR="00F5042B">
        <w:t>n</w:t>
      </w:r>
      <w:r w:rsidR="0099447C">
        <w:t>es</w:t>
      </w:r>
      <w:r>
        <w:t xml:space="preserve"> aparecen en el Anexo 1.</w:t>
      </w:r>
      <w:r w:rsidR="00AC756D">
        <w:t xml:space="preserve"> Además, la </w:t>
      </w:r>
      <w:r w:rsidR="00507D28">
        <w:t xml:space="preserve">Comisión de Estudio propuso la supresión de </w:t>
      </w:r>
      <w:r w:rsidR="00AC756D">
        <w:t>2</w:t>
      </w:r>
      <w:r w:rsidR="00690D17">
        <w:t xml:space="preserve"> Recomendaciones</w:t>
      </w:r>
      <w:r w:rsidR="00507D28">
        <w:t xml:space="preserve"> que se enumera</w:t>
      </w:r>
      <w:r w:rsidR="00690D17">
        <w:t>n</w:t>
      </w:r>
      <w:r w:rsidR="00507D28">
        <w:t xml:space="preserve"> en el Anexo 2.</w:t>
      </w:r>
    </w:p>
    <w:p w:rsidR="009F7F74" w:rsidRDefault="009F7F74" w:rsidP="00AC756D">
      <w:r>
        <w:t xml:space="preserve">El periodo de consideración se extenderá durante </w:t>
      </w:r>
      <w:r w:rsidRPr="001F571D">
        <w:t xml:space="preserve">3 meses finalizando el </w:t>
      </w:r>
      <w:r w:rsidR="00176D70">
        <w:rPr>
          <w:u w:val="single"/>
        </w:rPr>
        <w:t>1</w:t>
      </w:r>
      <w:r w:rsidR="00AC756D">
        <w:rPr>
          <w:u w:val="single"/>
        </w:rPr>
        <w:t>2</w:t>
      </w:r>
      <w:r w:rsidR="00661B16">
        <w:rPr>
          <w:u w:val="single"/>
        </w:rPr>
        <w:t xml:space="preserve"> de </w:t>
      </w:r>
      <w:r w:rsidR="00AC756D">
        <w:rPr>
          <w:u w:val="single"/>
        </w:rPr>
        <w:t>enero</w:t>
      </w:r>
      <w:r w:rsidR="00905A4D">
        <w:rPr>
          <w:u w:val="single"/>
        </w:rPr>
        <w:t xml:space="preserve"> de 20</w:t>
      </w:r>
      <w:r w:rsidR="00D02E6F">
        <w:rPr>
          <w:u w:val="single"/>
        </w:rPr>
        <w:t>1</w:t>
      </w:r>
      <w:r w:rsidR="00AC756D">
        <w:rPr>
          <w:u w:val="single"/>
        </w:rPr>
        <w:t>2</w:t>
      </w:r>
      <w:r w:rsidRPr="003A714B">
        <w:t>.</w:t>
      </w:r>
      <w:r>
        <w:t xml:space="preserve"> Si durante este periodo no se reciben objeciones de los Estados</w:t>
      </w:r>
      <w:r w:rsidR="0072405F">
        <w:t xml:space="preserve"> Miembros, se considerará que los</w:t>
      </w:r>
      <w:r>
        <w:t xml:space="preserve"> proyecto</w:t>
      </w:r>
      <w:r w:rsidR="000410AE">
        <w:t>s de Recomendaciones</w:t>
      </w:r>
      <w:r w:rsidR="0072405F">
        <w:t xml:space="preserve"> serán</w:t>
      </w:r>
      <w:r>
        <w:t xml:space="preserve"> adoptado</w:t>
      </w:r>
      <w:r w:rsidR="0072405F">
        <w:t>s</w:t>
      </w:r>
      <w:r w:rsidR="00C666C7">
        <w:t xml:space="preserve"> por la Comisión de Estudio </w:t>
      </w:r>
      <w:r w:rsidR="00D02E6F">
        <w:t>4. Además, como se ha </w:t>
      </w:r>
      <w:r>
        <w:t xml:space="preserve">seguido el PAAS, </w:t>
      </w:r>
      <w:r w:rsidR="00905A4D">
        <w:t>los</w:t>
      </w:r>
      <w:r>
        <w:t xml:space="preserve"> proyecto</w:t>
      </w:r>
      <w:r w:rsidR="00905A4D">
        <w:t>s</w:t>
      </w:r>
      <w:r w:rsidR="000410AE">
        <w:t xml:space="preserve"> de Recomendaciones</w:t>
      </w:r>
      <w:r>
        <w:t xml:space="preserve"> también se considerará</w:t>
      </w:r>
      <w:r w:rsidR="00905A4D">
        <w:t>n</w:t>
      </w:r>
      <w:r>
        <w:t xml:space="preserve"> aprobado</w:t>
      </w:r>
      <w:r w:rsidR="00905A4D">
        <w:t>s</w:t>
      </w:r>
      <w:r w:rsidR="00D02E6F">
        <w:t>. No </w:t>
      </w:r>
      <w:r>
        <w:t xml:space="preserve">obstante, si se recibe alguna objeción de un Estado Miembro </w:t>
      </w:r>
      <w:r w:rsidR="00D02E6F">
        <w:t>durante el periodo señalado, se </w:t>
      </w:r>
      <w:r>
        <w:t>aplicarán los procedimientos indicados en el § 10.2.1.2 de la Resolución UIT</w:t>
      </w:r>
      <w:r>
        <w:noBreakHyphen/>
        <w:t>R 1</w:t>
      </w:r>
      <w:r>
        <w:noBreakHyphen/>
        <w:t>5.</w:t>
      </w:r>
    </w:p>
    <w:p w:rsidR="009F7F74" w:rsidRDefault="009F7F74" w:rsidP="00EF1BBB">
      <w:r>
        <w:t xml:space="preserve">Tras la fecha límite mencionada, los resultados del PAAS serán comunicados mediante </w:t>
      </w:r>
      <w:r>
        <w:br/>
        <w:t>una Circular Administrativa (CACE) y se publicará</w:t>
      </w:r>
      <w:r w:rsidR="00EF1BBB">
        <w:t>n</w:t>
      </w:r>
      <w:r>
        <w:t xml:space="preserve"> la</w:t>
      </w:r>
      <w:r w:rsidR="00EF1BBB">
        <w:t>s Recomendaciones</w:t>
      </w:r>
      <w:r>
        <w:t xml:space="preserve"> aprobada</w:t>
      </w:r>
      <w:r w:rsidR="00EF1BBB">
        <w:t>s</w:t>
      </w:r>
      <w:r>
        <w:t xml:space="preserve"> tan pronto como sea posible.</w:t>
      </w:r>
    </w:p>
    <w:p w:rsidR="009F7F74" w:rsidRDefault="00C85C95" w:rsidP="00312A36">
      <w:r>
        <w:br w:type="page"/>
      </w:r>
      <w:r w:rsidR="009F7F74" w:rsidRPr="00CC3874">
        <w:lastRenderedPageBreak/>
        <w:t xml:space="preserve">Se solicita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</w:t>
      </w:r>
      <w:r w:rsidR="009F7F74" w:rsidRPr="006D7897">
        <w:t xml:space="preserve">La Política común de patentes </w:t>
      </w:r>
      <w:r w:rsidR="009F7F74">
        <w:t>de</w:t>
      </w:r>
      <w:r w:rsidR="009F7F74" w:rsidRPr="00CC3874">
        <w:t xml:space="preserve"> UIT</w:t>
      </w:r>
      <w:r w:rsidR="009F7F74" w:rsidRPr="00CC3874">
        <w:noBreakHyphen/>
        <w:t>T/UIT</w:t>
      </w:r>
      <w:r w:rsidR="009F7F74" w:rsidRPr="00CC3874">
        <w:noBreakHyphen/>
        <w:t xml:space="preserve">R/ISO/CEI </w:t>
      </w:r>
      <w:r w:rsidR="009F7F74" w:rsidRPr="006D7897">
        <w:t xml:space="preserve">puede consultarse en </w:t>
      </w:r>
      <w:hyperlink r:id="rId10" w:history="1">
        <w:r w:rsidR="009F7F74" w:rsidRPr="006D7897">
          <w:rPr>
            <w:rStyle w:val="Hyperlink"/>
            <w:szCs w:val="24"/>
          </w:rPr>
          <w:t>http://web.itu.int/ITU-T/dbase/patent/patent-policy.html</w:t>
        </w:r>
      </w:hyperlink>
      <w:r w:rsidR="009F7F74" w:rsidRPr="006D7897">
        <w:t>.</w:t>
      </w:r>
      <w:r w:rsidR="009F7F74">
        <w:t xml:space="preserve"> </w:t>
      </w:r>
    </w:p>
    <w:p w:rsidR="009F7F74" w:rsidRDefault="009F7F74" w:rsidP="00AC756D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18"/>
      </w:pPr>
      <w:r>
        <w:tab/>
      </w:r>
      <w:r w:rsidR="00AC756D">
        <w:t xml:space="preserve">François </w:t>
      </w:r>
      <w:proofErr w:type="spellStart"/>
      <w:r w:rsidR="00AC756D">
        <w:t>Rancy</w:t>
      </w:r>
      <w:proofErr w:type="spellEnd"/>
    </w:p>
    <w:p w:rsidR="009F7F74" w:rsidRDefault="009F7F74" w:rsidP="009F7F7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</w:pPr>
      <w:r>
        <w:tab/>
        <w:t>Director de la Oficina de Radiocomunicaciones</w:t>
      </w:r>
    </w:p>
    <w:p w:rsidR="009F7F74" w:rsidRDefault="009F7F74" w:rsidP="009F7F74"/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Default="009F7F74" w:rsidP="00661B16">
      <w:pPr>
        <w:ind w:left="1191" w:hanging="1191"/>
        <w:rPr>
          <w:bCs/>
        </w:rPr>
      </w:pPr>
      <w:r w:rsidRPr="00292899">
        <w:rPr>
          <w:b/>
          <w:bCs/>
        </w:rPr>
        <w:t>Anexo</w:t>
      </w:r>
      <w:r w:rsidR="00241B1F">
        <w:rPr>
          <w:b/>
          <w:bCs/>
        </w:rPr>
        <w:t xml:space="preserve"> 1</w:t>
      </w:r>
      <w:r w:rsidRPr="00292899">
        <w:rPr>
          <w:b/>
          <w:bCs/>
        </w:rPr>
        <w:t>:</w:t>
      </w:r>
      <w:r w:rsidRPr="00292899">
        <w:t xml:space="preserve"> </w:t>
      </w:r>
      <w:r w:rsidRPr="00292899">
        <w:tab/>
      </w:r>
      <w:r>
        <w:t>Título</w:t>
      </w:r>
      <w:r w:rsidR="00241B1F">
        <w:t>s</w:t>
      </w:r>
      <w:r>
        <w:t xml:space="preserve"> y </w:t>
      </w:r>
      <w:r w:rsidR="00241B1F">
        <w:rPr>
          <w:lang w:val="es-ES"/>
        </w:rPr>
        <w:t xml:space="preserve">resúmenes </w:t>
      </w:r>
      <w:r w:rsidR="0072405F">
        <w:rPr>
          <w:lang w:val="es-ES"/>
        </w:rPr>
        <w:t>de los</w:t>
      </w:r>
      <w:r>
        <w:rPr>
          <w:lang w:val="es-ES"/>
        </w:rPr>
        <w:t xml:space="preserve"> </w:t>
      </w:r>
      <w:r>
        <w:rPr>
          <w:bCs/>
        </w:rPr>
        <w:t>proyecto</w:t>
      </w:r>
      <w:r w:rsidR="0072405F">
        <w:rPr>
          <w:bCs/>
        </w:rPr>
        <w:t>s</w:t>
      </w:r>
      <w:r w:rsidR="007220B9">
        <w:rPr>
          <w:bCs/>
        </w:rPr>
        <w:t xml:space="preserve"> de Recomendaciones</w:t>
      </w:r>
    </w:p>
    <w:p w:rsidR="00241B1F" w:rsidRPr="00F102BB" w:rsidRDefault="00241B1F" w:rsidP="00670EB2">
      <w:pPr>
        <w:ind w:left="1191" w:hanging="1191"/>
        <w:rPr>
          <w:bCs/>
        </w:rPr>
      </w:pPr>
      <w:r>
        <w:rPr>
          <w:b/>
        </w:rPr>
        <w:t>Anexo 2:</w:t>
      </w:r>
      <w:r>
        <w:rPr>
          <w:b/>
        </w:rPr>
        <w:tab/>
      </w:r>
      <w:r w:rsidR="00D02E6F">
        <w:rPr>
          <w:bCs/>
        </w:rPr>
        <w:t>Recomendaci</w:t>
      </w:r>
      <w:r w:rsidR="00670EB2">
        <w:rPr>
          <w:bCs/>
        </w:rPr>
        <w:t>ones</w:t>
      </w:r>
      <w:r w:rsidR="00905A4D" w:rsidRPr="00F102BB">
        <w:rPr>
          <w:bCs/>
        </w:rPr>
        <w:t xml:space="preserve"> cuya supresión se propone</w:t>
      </w:r>
    </w:p>
    <w:p w:rsidR="009F7F74" w:rsidRDefault="009F7F74" w:rsidP="009F7F74">
      <w:pPr>
        <w:ind w:left="1191" w:hanging="1191"/>
      </w:pPr>
    </w:p>
    <w:p w:rsidR="009F7F74" w:rsidRPr="00292899" w:rsidRDefault="009F7F74" w:rsidP="00AC756D">
      <w:pPr>
        <w:tabs>
          <w:tab w:val="left" w:pos="2410"/>
        </w:tabs>
        <w:ind w:left="2410" w:hanging="2410"/>
        <w:rPr>
          <w:u w:val="single"/>
        </w:rPr>
      </w:pPr>
      <w:r w:rsidRPr="005F2036">
        <w:rPr>
          <w:b/>
          <w:bCs/>
        </w:rPr>
        <w:t>Documento</w:t>
      </w:r>
      <w:r w:rsidR="00241B1F">
        <w:rPr>
          <w:b/>
          <w:bCs/>
        </w:rPr>
        <w:t>s</w:t>
      </w:r>
      <w:r w:rsidRPr="005F2036">
        <w:rPr>
          <w:b/>
          <w:bCs/>
        </w:rPr>
        <w:t xml:space="preserve"> adjunto</w:t>
      </w:r>
      <w:r w:rsidR="00241B1F">
        <w:rPr>
          <w:b/>
          <w:bCs/>
        </w:rPr>
        <w:t>s</w:t>
      </w:r>
      <w:r w:rsidRPr="005F2036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690D17" w:rsidRPr="00690D17">
        <w:t>Document</w:t>
      </w:r>
      <w:r w:rsidR="00AC756D">
        <w:t>o</w:t>
      </w:r>
      <w:r w:rsidR="00690D17" w:rsidRPr="00690D17">
        <w:t>s 4/1</w:t>
      </w:r>
      <w:r w:rsidR="00AC756D">
        <w:t>75</w:t>
      </w:r>
      <w:r w:rsidR="00690D17" w:rsidRPr="00690D17">
        <w:t>(R</w:t>
      </w:r>
      <w:r w:rsidR="00690D17">
        <w:t>e</w:t>
      </w:r>
      <w:r w:rsidR="00690D17" w:rsidRPr="00690D17">
        <w:t>v.1), 4/1</w:t>
      </w:r>
      <w:r w:rsidR="00AC756D">
        <w:t>76</w:t>
      </w:r>
      <w:r w:rsidR="00690D17" w:rsidRPr="00690D17">
        <w:t>(R</w:t>
      </w:r>
      <w:r w:rsidR="00690D17">
        <w:t>e</w:t>
      </w:r>
      <w:r w:rsidR="00690D17" w:rsidRPr="00690D17">
        <w:t>v.1), 4/1</w:t>
      </w:r>
      <w:r w:rsidR="00AC756D">
        <w:t>81</w:t>
      </w:r>
      <w:r w:rsidR="00690D17" w:rsidRPr="00690D17">
        <w:t>(R</w:t>
      </w:r>
      <w:r w:rsidR="00690D17">
        <w:t>e</w:t>
      </w:r>
      <w:r w:rsidR="00690D17" w:rsidRPr="00690D17">
        <w:t>v.1)</w:t>
      </w:r>
      <w:r w:rsidR="00AC756D">
        <w:t>, 4/188(Rev.1), 4/198(Rev.1), 4/199(Rev.1) y 4/200(Rev.1)</w:t>
      </w:r>
      <w:r w:rsidR="00690D17" w:rsidRPr="00690D17">
        <w:t xml:space="preserve"> </w:t>
      </w:r>
      <w:r w:rsidRPr="00292899">
        <w:t xml:space="preserve">en </w:t>
      </w:r>
      <w:r w:rsidR="00C93106">
        <w:t xml:space="preserve">el </w:t>
      </w:r>
      <w:r w:rsidRPr="00292899">
        <w:t>CD-ROM</w:t>
      </w:r>
    </w:p>
    <w:p w:rsidR="009F7F74" w:rsidRPr="00292899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Pr="00292899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Pr="00D02E6F" w:rsidRDefault="009F7F74" w:rsidP="009F7F7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D02E6F">
        <w:rPr>
          <w:b/>
          <w:bCs/>
          <w:sz w:val="18"/>
          <w:szCs w:val="18"/>
        </w:rPr>
        <w:t>Distribución:</w:t>
      </w:r>
    </w:p>
    <w:p w:rsidR="009F7F74" w:rsidRPr="00D02E6F" w:rsidRDefault="009F7F74" w:rsidP="009F7F74">
      <w:pPr>
        <w:numPr>
          <w:ilvl w:val="0"/>
          <w:numId w:val="1"/>
        </w:numPr>
        <w:tabs>
          <w:tab w:val="left" w:pos="284"/>
          <w:tab w:val="left" w:pos="568"/>
        </w:tabs>
        <w:overflowPunct/>
        <w:autoSpaceDE/>
        <w:autoSpaceDN/>
        <w:adjustRightInd/>
        <w:spacing w:before="0"/>
        <w:ind w:hanging="720"/>
        <w:textAlignment w:val="auto"/>
        <w:rPr>
          <w:sz w:val="18"/>
          <w:szCs w:val="18"/>
        </w:rPr>
      </w:pPr>
      <w:r w:rsidRPr="00D02E6F">
        <w:rPr>
          <w:sz w:val="18"/>
          <w:szCs w:val="18"/>
        </w:rPr>
        <w:t>Administraciones de los Estados Miembros de la UIT</w:t>
      </w:r>
    </w:p>
    <w:p w:rsidR="009F7F74" w:rsidRPr="00D02E6F" w:rsidRDefault="009F7F74" w:rsidP="00D02E6F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</w:rPr>
      </w:pPr>
      <w:r w:rsidRPr="00D02E6F">
        <w:rPr>
          <w:sz w:val="18"/>
          <w:szCs w:val="18"/>
        </w:rPr>
        <w:t>–</w:t>
      </w:r>
      <w:r w:rsidRPr="00D02E6F">
        <w:rPr>
          <w:sz w:val="18"/>
          <w:szCs w:val="18"/>
        </w:rPr>
        <w:tab/>
        <w:t>Miembros del Sector de Radiocomu</w:t>
      </w:r>
      <w:smartTag w:uri="urn:schemas-microsoft-com:office:smarttags" w:element="PersonName">
        <w:r w:rsidRPr="00D02E6F">
          <w:rPr>
            <w:sz w:val="18"/>
            <w:szCs w:val="18"/>
          </w:rPr>
          <w:t>nic</w:t>
        </w:r>
      </w:smartTag>
      <w:r w:rsidRPr="00D02E6F">
        <w:rPr>
          <w:sz w:val="18"/>
          <w:szCs w:val="18"/>
        </w:rPr>
        <w:t>aciones que participan en los trab</w:t>
      </w:r>
      <w:r w:rsidR="00C93106" w:rsidRPr="00D02E6F">
        <w:rPr>
          <w:sz w:val="18"/>
          <w:szCs w:val="18"/>
        </w:rPr>
        <w:t>ajos de la Comisión de Estudio </w:t>
      </w:r>
      <w:r w:rsidR="00D02E6F">
        <w:rPr>
          <w:sz w:val="18"/>
          <w:szCs w:val="18"/>
        </w:rPr>
        <w:t>4</w:t>
      </w:r>
      <w:r w:rsidRPr="00D02E6F">
        <w:rPr>
          <w:sz w:val="18"/>
          <w:szCs w:val="18"/>
        </w:rPr>
        <w:t xml:space="preserve"> de Radiocomu</w:t>
      </w:r>
      <w:smartTag w:uri="urn:schemas-microsoft-com:office:smarttags" w:element="PersonName">
        <w:r w:rsidRPr="00D02E6F">
          <w:rPr>
            <w:sz w:val="18"/>
            <w:szCs w:val="18"/>
          </w:rPr>
          <w:t>nic</w:t>
        </w:r>
      </w:smartTag>
      <w:r w:rsidRPr="00D02E6F">
        <w:rPr>
          <w:sz w:val="18"/>
          <w:szCs w:val="18"/>
        </w:rPr>
        <w:t xml:space="preserve">aciones </w:t>
      </w:r>
    </w:p>
    <w:p w:rsidR="009F7F74" w:rsidRDefault="009F7F74" w:rsidP="00D02E6F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</w:rPr>
      </w:pPr>
      <w:r w:rsidRPr="00D02E6F">
        <w:rPr>
          <w:sz w:val="18"/>
          <w:szCs w:val="18"/>
        </w:rPr>
        <w:t>–</w:t>
      </w:r>
      <w:r w:rsidRPr="00D02E6F">
        <w:rPr>
          <w:sz w:val="18"/>
          <w:szCs w:val="18"/>
        </w:rPr>
        <w:tab/>
        <w:t>Asociados del UIT</w:t>
      </w:r>
      <w:r w:rsidRPr="00D02E6F">
        <w:rPr>
          <w:sz w:val="18"/>
          <w:szCs w:val="18"/>
        </w:rPr>
        <w:noBreakHyphen/>
        <w:t>R que participan en los trab</w:t>
      </w:r>
      <w:r w:rsidR="00C93106" w:rsidRPr="00D02E6F">
        <w:rPr>
          <w:sz w:val="18"/>
          <w:szCs w:val="18"/>
        </w:rPr>
        <w:t>ajos de la Comisión de Estudio </w:t>
      </w:r>
      <w:r w:rsidR="00D02E6F">
        <w:rPr>
          <w:sz w:val="18"/>
          <w:szCs w:val="18"/>
        </w:rPr>
        <w:t>4</w:t>
      </w:r>
      <w:r w:rsidRPr="00D02E6F">
        <w:rPr>
          <w:sz w:val="18"/>
          <w:szCs w:val="18"/>
        </w:rPr>
        <w:t xml:space="preserve"> de Radiocomu</w:t>
      </w:r>
      <w:smartTag w:uri="urn:schemas-microsoft-com:office:smarttags" w:element="PersonName">
        <w:r w:rsidRPr="00D02E6F">
          <w:rPr>
            <w:sz w:val="18"/>
            <w:szCs w:val="18"/>
          </w:rPr>
          <w:t>nic</w:t>
        </w:r>
      </w:smartTag>
      <w:r w:rsidRPr="00D02E6F">
        <w:rPr>
          <w:sz w:val="18"/>
          <w:szCs w:val="18"/>
        </w:rPr>
        <w:t>aciones</w:t>
      </w:r>
    </w:p>
    <w:p w:rsidR="00AC756D" w:rsidRPr="00D02E6F" w:rsidRDefault="00AC756D" w:rsidP="00D02E6F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Sectores académicos</w:t>
      </w:r>
      <w:r w:rsidR="00C44DCE">
        <w:rPr>
          <w:sz w:val="18"/>
          <w:szCs w:val="18"/>
        </w:rPr>
        <w:t xml:space="preserve"> del UIT-R</w:t>
      </w:r>
    </w:p>
    <w:p w:rsidR="00E832DF" w:rsidRDefault="009F7F74" w:rsidP="00E832DF">
      <w:pPr>
        <w:pStyle w:val="AnnexNoTitle0"/>
      </w:pPr>
      <w:r>
        <w:br w:type="page"/>
      </w:r>
      <w:r w:rsidR="00E832DF">
        <w:lastRenderedPageBreak/>
        <w:t>Anexo 1</w:t>
      </w:r>
      <w:r w:rsidR="00E832DF">
        <w:br/>
      </w:r>
      <w:r w:rsidR="00E832DF">
        <w:br/>
        <w:t>Títulos y resúmenes de los proyectos de Recomendaciones</w:t>
      </w:r>
    </w:p>
    <w:p w:rsidR="00C551E4" w:rsidRDefault="00C551E4" w:rsidP="00CD230A">
      <w:pPr>
        <w:pStyle w:val="Normalaftertitle"/>
        <w:tabs>
          <w:tab w:val="right" w:pos="9639"/>
        </w:tabs>
        <w:rPr>
          <w:u w:val="single"/>
        </w:rPr>
      </w:pPr>
    </w:p>
    <w:p w:rsidR="00C551E4" w:rsidRPr="00A011F0" w:rsidRDefault="00C551E4" w:rsidP="00CD230A">
      <w:pPr>
        <w:pStyle w:val="Normalaftertitle"/>
        <w:tabs>
          <w:tab w:val="right" w:pos="9639"/>
        </w:tabs>
      </w:pPr>
      <w:r w:rsidRPr="00294F54">
        <w:rPr>
          <w:u w:val="single"/>
        </w:rPr>
        <w:t>Proyecto de nueva Recomendación UIT-R S.[CROSS_LAYER]</w:t>
      </w:r>
      <w:r w:rsidRPr="00A011F0">
        <w:tab/>
        <w:t>Doc. 4/188(Rev.1)</w:t>
      </w:r>
    </w:p>
    <w:p w:rsidR="00C551E4" w:rsidRPr="00EF2523" w:rsidRDefault="00C551E4" w:rsidP="00CD230A">
      <w:pPr>
        <w:pStyle w:val="Rectitle"/>
      </w:pPr>
      <w:r w:rsidRPr="00EF2523">
        <w:t xml:space="preserve">Configuración de la </w:t>
      </w:r>
      <w:proofErr w:type="spellStart"/>
      <w:r w:rsidRPr="00EF2523">
        <w:t>QoS</w:t>
      </w:r>
      <w:proofErr w:type="spellEnd"/>
      <w:r w:rsidRPr="00EF2523">
        <w:t xml:space="preserve"> a través de las capas </w:t>
      </w:r>
      <w:r>
        <w:br/>
      </w:r>
      <w:r w:rsidRPr="00EF2523">
        <w:t xml:space="preserve">en redes </w:t>
      </w:r>
      <w:r>
        <w:t xml:space="preserve">terrenales de </w:t>
      </w:r>
      <w:r w:rsidRPr="00EF2523">
        <w:t xml:space="preserve">satélite </w:t>
      </w:r>
      <w:r>
        <w:t xml:space="preserve">híbridas con </w:t>
      </w:r>
      <w:r w:rsidRPr="00EF2523">
        <w:t>IP</w:t>
      </w:r>
    </w:p>
    <w:p w:rsidR="00C551E4" w:rsidRPr="00EF2523" w:rsidRDefault="00C551E4" w:rsidP="00C551E4">
      <w:pPr>
        <w:spacing w:before="240"/>
      </w:pPr>
      <w:r w:rsidRPr="00EF2523">
        <w:t xml:space="preserve">Este proyecto de nueva Recomendación sobre configuración de la </w:t>
      </w:r>
      <w:proofErr w:type="spellStart"/>
      <w:r w:rsidRPr="00EF2523">
        <w:t>QoS</w:t>
      </w:r>
      <w:proofErr w:type="spellEnd"/>
      <w:r w:rsidRPr="00EF2523">
        <w:t xml:space="preserve"> a través de las capas en redes de satélite con IP proporciona orientaciones sobre la aplicación de enfoques de diseño a través de las capas con objeto de mejorar el rendimiento de las aplicaciones multimedios en redes de satélite (autónomas o híbridas).</w:t>
      </w:r>
    </w:p>
    <w:p w:rsidR="00C551E4" w:rsidRPr="00A011F0" w:rsidRDefault="00C551E4" w:rsidP="00CD230A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Proyecto de nueva Recomendación </w:t>
      </w:r>
      <w:r>
        <w:rPr>
          <w:u w:val="single"/>
        </w:rPr>
        <w:t>UIT</w:t>
      </w:r>
      <w:r w:rsidRPr="00A011F0">
        <w:rPr>
          <w:u w:val="single"/>
        </w:rPr>
        <w:t xml:space="preserve">-R </w:t>
      </w:r>
      <w:r w:rsidRPr="00A011F0">
        <w:rPr>
          <w:u w:val="single"/>
          <w:lang w:eastAsia="ja-JP"/>
        </w:rPr>
        <w:t>BO.[PFD_TERRESTRIAL]</w:t>
      </w:r>
      <w:r w:rsidRPr="00A011F0">
        <w:rPr>
          <w:lang w:eastAsia="ja-JP"/>
        </w:rPr>
        <w:tab/>
        <w:t>Doc. 4/198(Rev.1)</w:t>
      </w:r>
    </w:p>
    <w:p w:rsidR="00C551E4" w:rsidRPr="000C0CFE" w:rsidRDefault="00C551E4" w:rsidP="00C551E4">
      <w:pPr>
        <w:pStyle w:val="Rectitle"/>
      </w:pPr>
      <w:r w:rsidRPr="000C0CFE">
        <w:t>Valor de</w:t>
      </w:r>
      <w:r>
        <w:t xml:space="preserve"> </w:t>
      </w:r>
      <w:r w:rsidRPr="000C0CFE">
        <w:t>l</w:t>
      </w:r>
      <w:r>
        <w:t>a</w:t>
      </w:r>
      <w:r w:rsidRPr="000C0CFE">
        <w:t xml:space="preserve"> densida</w:t>
      </w:r>
      <w:r>
        <w:t>d de flujo de potencia necesaria</w:t>
      </w:r>
      <w:r w:rsidRPr="000C0CFE">
        <w:t xml:space="preserve"> para </w:t>
      </w:r>
      <w:r>
        <w:t>proteger las</w:t>
      </w:r>
      <w:r w:rsidRPr="000C0CFE">
        <w:t xml:space="preserve"> estaciones terrenas receptoras del servicio de radiodifusión por satélite en las Regiones 1 y</w:t>
      </w:r>
      <w:r>
        <w:t> </w:t>
      </w:r>
      <w:r w:rsidRPr="000C0CFE">
        <w:t>3 contra las emisiones de una estaci</w:t>
      </w:r>
      <w:r>
        <w:t>ón de los servicios fijo y/o móvil</w:t>
      </w:r>
      <w:r>
        <w:br/>
        <w:t>en la banda 21,4-22 GHz</w:t>
      </w:r>
    </w:p>
    <w:p w:rsidR="00C551E4" w:rsidRPr="003016A1" w:rsidRDefault="00C551E4" w:rsidP="00F955C5">
      <w:pPr>
        <w:spacing w:before="240"/>
        <w:rPr>
          <w:lang w:eastAsia="ja-JP"/>
        </w:rPr>
      </w:pPr>
      <w:r w:rsidRPr="003016A1">
        <w:rPr>
          <w:lang w:eastAsia="ja-JP"/>
        </w:rPr>
        <w:t>En la preparación del punto 1.13 del orden del d</w:t>
      </w:r>
      <w:r>
        <w:rPr>
          <w:lang w:eastAsia="ja-JP"/>
        </w:rPr>
        <w:t xml:space="preserve">ía de la CMR-12, se examinó la compartición entre el SRS y los servicios terrenales en la banda 21,4-22 GHz. Durante el debate se consideraron diversos métodos destinados a proteger las estaciones terrenas receptoras del SRS contra los transmisores terrenales. Uno de los posibles métodos para alcanzar ese objetivo consiste en establecer </w:t>
      </w:r>
      <w:r w:rsidR="00F955C5">
        <w:rPr>
          <w:lang w:eastAsia="ja-JP"/>
        </w:rPr>
        <w:t xml:space="preserve">el valor de </w:t>
      </w:r>
      <w:r>
        <w:rPr>
          <w:lang w:eastAsia="ja-JP"/>
        </w:rPr>
        <w:t xml:space="preserve">densidad de flujo de potencia producida por las emisiones de una estación en el servicio fijo y el servicio móvil con miras a proteger la red de radiodifusión por satélite en las Regiones 1 y 3 en la banda </w:t>
      </w:r>
      <w:r w:rsidRPr="003016A1">
        <w:rPr>
          <w:lang w:eastAsia="ja-JP"/>
        </w:rPr>
        <w:t>21</w:t>
      </w:r>
      <w:r>
        <w:rPr>
          <w:lang w:eastAsia="ja-JP"/>
        </w:rPr>
        <w:t>,</w:t>
      </w:r>
      <w:r w:rsidRPr="003016A1">
        <w:rPr>
          <w:lang w:eastAsia="ja-JP"/>
        </w:rPr>
        <w:t>4-22 GHz</w:t>
      </w:r>
      <w:r>
        <w:rPr>
          <w:lang w:eastAsia="ja-JP"/>
        </w:rPr>
        <w:t xml:space="preserve">. Este valor de flujo de potencia puede utilizarse como </w:t>
      </w:r>
      <w:r w:rsidR="00F955C5">
        <w:rPr>
          <w:lang w:eastAsia="ja-JP"/>
        </w:rPr>
        <w:t>estricto</w:t>
      </w:r>
      <w:r w:rsidR="00F955C5">
        <w:rPr>
          <w:lang w:eastAsia="ja-JP"/>
        </w:rPr>
        <w:t xml:space="preserve"> </w:t>
      </w:r>
      <w:r>
        <w:rPr>
          <w:lang w:eastAsia="ja-JP"/>
        </w:rPr>
        <w:t>límite para garantizar la protección permanente de la red de radiodifusión por satélite en las Regiones 1 y 3 o como umbral de coordinación para aplicar el procedimiento de coordinación en dicha banda, llegado el caso. La aplicación d</w:t>
      </w:r>
      <w:r w:rsidR="00F955C5">
        <w:rPr>
          <w:lang w:eastAsia="ja-JP"/>
        </w:rPr>
        <w:t xml:space="preserve">el valor de </w:t>
      </w:r>
      <w:r>
        <w:rPr>
          <w:lang w:eastAsia="ja-JP"/>
        </w:rPr>
        <w:t>densidad de flujo de potencia es un asunto de carácter reglamentario que está fuera del alcance de este proyecto de nueva Recomendación.</w:t>
      </w:r>
    </w:p>
    <w:p w:rsidR="00C551E4" w:rsidRDefault="00C551E4" w:rsidP="00F955C5">
      <w:pPr>
        <w:rPr>
          <w:lang w:eastAsia="ja-JP"/>
        </w:rPr>
      </w:pPr>
      <w:r>
        <w:t>Este p</w:t>
      </w:r>
      <w:r w:rsidRPr="00CB16E0">
        <w:t xml:space="preserve">royecto de nueva Recomendación </w:t>
      </w:r>
      <w:r>
        <w:rPr>
          <w:lang w:eastAsia="ja-JP"/>
        </w:rPr>
        <w:t>servirá de orientación a las Administraciones en sus negociaciones bilaterales o multilaterales destinadas a establecer la metodología detallada y el valor de densidad de flujo de potencia obtenido.</w:t>
      </w:r>
    </w:p>
    <w:p w:rsidR="00E50EC1" w:rsidRDefault="00E50E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C551E4" w:rsidRPr="00A011F0" w:rsidRDefault="00C551E4" w:rsidP="00CD230A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Proyecto de nueva Recomendación </w:t>
      </w:r>
      <w:r>
        <w:rPr>
          <w:u w:val="single"/>
        </w:rPr>
        <w:t>UIT</w:t>
      </w:r>
      <w:r w:rsidRPr="00A011F0">
        <w:rPr>
          <w:u w:val="single"/>
        </w:rPr>
        <w:t>-R S.[ISS-NON-GSO]</w:t>
      </w:r>
      <w:r w:rsidRPr="00A011F0">
        <w:tab/>
        <w:t>Doc. 4/199(Rev.1)</w:t>
      </w:r>
    </w:p>
    <w:p w:rsidR="00C551E4" w:rsidRPr="007F4867" w:rsidRDefault="00C551E4" w:rsidP="00C551E4">
      <w:pPr>
        <w:pStyle w:val="Rectitle"/>
      </w:pPr>
      <w:r w:rsidRPr="007F4867">
        <w:t xml:space="preserve">Criterios de protección y métodos de evaluación de la interferencia </w:t>
      </w:r>
      <w:r>
        <w:t>para</w:t>
      </w:r>
      <w:r>
        <w:br/>
      </w:r>
      <w:r w:rsidRPr="007F4867">
        <w:t>enlaces entre satélites no OSG</w:t>
      </w:r>
      <w:r>
        <w:t xml:space="preserve"> en la banda </w:t>
      </w:r>
      <w:r w:rsidRPr="007F4867">
        <w:t>23</w:t>
      </w:r>
      <w:r>
        <w:t>,</w:t>
      </w:r>
      <w:r w:rsidRPr="007F4867">
        <w:t>183-23</w:t>
      </w:r>
      <w:r>
        <w:t>,</w:t>
      </w:r>
      <w:r w:rsidRPr="007F4867">
        <w:t>377 GHz</w:t>
      </w:r>
      <w:r>
        <w:br/>
        <w:t>con respecto al servicio de investigación espacial</w:t>
      </w:r>
    </w:p>
    <w:p w:rsidR="00C551E4" w:rsidRPr="009B63D3" w:rsidRDefault="00F955C5" w:rsidP="00F955C5">
      <w:pPr>
        <w:spacing w:before="240"/>
      </w:pPr>
      <w:r>
        <w:t>Este</w:t>
      </w:r>
      <w:r w:rsidR="00C551E4" w:rsidRPr="009B63D3">
        <w:t xml:space="preserve"> proyecto de nueva Recomendación </w:t>
      </w:r>
      <w:r w:rsidR="00C551E4">
        <w:t xml:space="preserve">presenta criterios </w:t>
      </w:r>
      <w:r w:rsidR="00C551E4" w:rsidRPr="009B63D3">
        <w:t>de protección y métodos de evaluación de la interferencia para enlaces entre satélites no OSG en la banda 23,183</w:t>
      </w:r>
      <w:r w:rsidR="00C551E4">
        <w:noBreakHyphen/>
      </w:r>
      <w:r w:rsidR="00C551E4" w:rsidRPr="009B63D3">
        <w:t>23,377 GHz con respecto al serv</w:t>
      </w:r>
      <w:r w:rsidR="00C551E4">
        <w:t xml:space="preserve">icio de investigación espacial. Estos criterios y métodos se han definido gracias a una amplia cooperación entre el GT 4A y el GT 7B y ya se han utilizado en algunos estudios mencionados en el Informe de la RPC a la CMR-12. El presente proyecto de nueva Recomendación presenta estos criterios para que sean utilizados en futuros estudios. </w:t>
      </w:r>
    </w:p>
    <w:p w:rsidR="00C551E4" w:rsidRPr="00F955C5" w:rsidRDefault="00C551E4" w:rsidP="00CD230A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Proyecto de nueva Recomendación </w:t>
      </w:r>
      <w:r>
        <w:rPr>
          <w:u w:val="single"/>
        </w:rPr>
        <w:t>UIT</w:t>
      </w:r>
      <w:r w:rsidRPr="00A011F0">
        <w:rPr>
          <w:u w:val="single"/>
        </w:rPr>
        <w:t xml:space="preserve">-R </w:t>
      </w:r>
      <w:r w:rsidRPr="00A011F0">
        <w:rPr>
          <w:u w:val="single"/>
          <w:lang w:eastAsia="ko-KR"/>
        </w:rPr>
        <w:t>BO.</w:t>
      </w:r>
      <w:r w:rsidR="0006321A">
        <w:rPr>
          <w:u w:val="single"/>
          <w:lang w:eastAsia="ja-JP"/>
        </w:rPr>
        <w:t>[</w:t>
      </w:r>
      <w:r w:rsidRPr="00F955C5">
        <w:rPr>
          <w:u w:val="single"/>
          <w:lang w:eastAsia="ja-JP"/>
        </w:rPr>
        <w:t>BSS_ANT_PATT]</w:t>
      </w:r>
      <w:r w:rsidRPr="00F955C5">
        <w:rPr>
          <w:lang w:eastAsia="ja-JP"/>
        </w:rPr>
        <w:tab/>
        <w:t>Doc. 4/200(Rev.1)</w:t>
      </w:r>
    </w:p>
    <w:p w:rsidR="00C551E4" w:rsidRPr="00263C90" w:rsidRDefault="00C551E4" w:rsidP="00CD230A">
      <w:pPr>
        <w:pStyle w:val="Rectitle"/>
      </w:pPr>
      <w:r w:rsidRPr="00263C90">
        <w:t>Diagramas de antena de estación terrena receptora de referencia</w:t>
      </w:r>
      <w:r w:rsidRPr="00263C90">
        <w:br/>
        <w:t xml:space="preserve">que </w:t>
      </w:r>
      <w:r>
        <w:t xml:space="preserve">deben </w:t>
      </w:r>
      <w:r w:rsidRPr="00263C90">
        <w:t>utilizarse para el servicio de radiodifus</w:t>
      </w:r>
      <w:r>
        <w:t>ión por</w:t>
      </w:r>
      <w:r>
        <w:br/>
        <w:t xml:space="preserve">satélite en la banda </w:t>
      </w:r>
      <w:r w:rsidRPr="00263C90">
        <w:t>21</w:t>
      </w:r>
      <w:r>
        <w:t>,</w:t>
      </w:r>
      <w:r w:rsidRPr="00263C90">
        <w:t>4-22 GHz</w:t>
      </w:r>
      <w:r>
        <w:t xml:space="preserve"> en las Regiones 1 y 3</w:t>
      </w:r>
    </w:p>
    <w:p w:rsidR="00C551E4" w:rsidRPr="009609CE" w:rsidRDefault="00F955C5" w:rsidP="00C551E4">
      <w:pPr>
        <w:spacing w:before="240"/>
        <w:rPr>
          <w:lang w:eastAsia="zh-CN"/>
        </w:rPr>
      </w:pPr>
      <w:r>
        <w:t>Este</w:t>
      </w:r>
      <w:r w:rsidRPr="009B63D3">
        <w:t xml:space="preserve"> proyecto de nueva Recomendación</w:t>
      </w:r>
      <w:r w:rsidRPr="009609CE">
        <w:rPr>
          <w:lang w:eastAsia="zh-CN"/>
        </w:rPr>
        <w:t xml:space="preserve"> </w:t>
      </w:r>
      <w:r w:rsidR="00C551E4" w:rsidRPr="009609CE">
        <w:rPr>
          <w:lang w:eastAsia="zh-CN"/>
        </w:rPr>
        <w:t xml:space="preserve">define los </w:t>
      </w:r>
      <w:r w:rsidR="00C551E4">
        <w:rPr>
          <w:lang w:eastAsia="zh-CN"/>
        </w:rPr>
        <w:t>d</w:t>
      </w:r>
      <w:r w:rsidR="00C551E4" w:rsidRPr="009609CE">
        <w:rPr>
          <w:lang w:eastAsia="zh-CN"/>
        </w:rPr>
        <w:t>iagramas de antena de estación terrena receptora de referencia</w:t>
      </w:r>
      <w:r w:rsidR="00C551E4">
        <w:rPr>
          <w:lang w:eastAsia="zh-CN"/>
        </w:rPr>
        <w:t xml:space="preserve"> que deben </w:t>
      </w:r>
      <w:r w:rsidR="00C551E4" w:rsidRPr="009609CE">
        <w:rPr>
          <w:lang w:eastAsia="zh-CN"/>
        </w:rPr>
        <w:t>utilizarse para el servicio de radiodifusión por</w:t>
      </w:r>
      <w:r w:rsidR="00C551E4">
        <w:rPr>
          <w:lang w:eastAsia="zh-CN"/>
        </w:rPr>
        <w:t xml:space="preserve"> satélite en la banda </w:t>
      </w:r>
      <w:r w:rsidR="00C551E4" w:rsidRPr="009609CE">
        <w:rPr>
          <w:lang w:eastAsia="zh-CN"/>
        </w:rPr>
        <w:t>21,4</w:t>
      </w:r>
      <w:r w:rsidR="00C551E4">
        <w:rPr>
          <w:lang w:eastAsia="zh-CN"/>
        </w:rPr>
        <w:noBreakHyphen/>
      </w:r>
      <w:r w:rsidR="00C551E4" w:rsidRPr="009609CE">
        <w:rPr>
          <w:lang w:eastAsia="zh-CN"/>
        </w:rPr>
        <w:t>22</w:t>
      </w:r>
      <w:r w:rsidR="00C551E4">
        <w:rPr>
          <w:lang w:eastAsia="zh-CN"/>
        </w:rPr>
        <w:t> </w:t>
      </w:r>
      <w:r w:rsidR="00C551E4" w:rsidRPr="009609CE">
        <w:rPr>
          <w:lang w:eastAsia="zh-CN"/>
        </w:rPr>
        <w:t>GHz en las Regiones 1 y 3</w:t>
      </w:r>
      <w:r w:rsidR="00C551E4">
        <w:rPr>
          <w:lang w:eastAsia="zh-CN"/>
        </w:rPr>
        <w:t xml:space="preserve"> con objeto de llevar a cabo estudios de compartición. Se han elaborado teniendo en cuenta los resultados de las mediciones proporcionados al UIT-R y se estima que representan una calidad de funcionamiento de las antenas receptoras del SRS representativas que es posible alcanzar en dicha banda de frecuencias. </w:t>
      </w:r>
    </w:p>
    <w:p w:rsidR="00C551E4" w:rsidRPr="00A011F0" w:rsidRDefault="00C551E4" w:rsidP="00CD230A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Proyecto de </w:t>
      </w:r>
      <w:r>
        <w:rPr>
          <w:u w:val="single"/>
        </w:rPr>
        <w:t xml:space="preserve">revisión de la </w:t>
      </w:r>
      <w:r w:rsidRPr="00A011F0">
        <w:rPr>
          <w:u w:val="single"/>
        </w:rPr>
        <w:t xml:space="preserve">Recomendación </w:t>
      </w:r>
      <w:r>
        <w:rPr>
          <w:u w:val="single"/>
        </w:rPr>
        <w:t>UIT</w:t>
      </w:r>
      <w:r w:rsidRPr="00A011F0">
        <w:rPr>
          <w:u w:val="single"/>
        </w:rPr>
        <w:t>-R M.1478-1</w:t>
      </w:r>
      <w:r w:rsidRPr="00A011F0">
        <w:tab/>
        <w:t>Doc. 4/175(Rev.1)</w:t>
      </w:r>
    </w:p>
    <w:p w:rsidR="00C551E4" w:rsidRPr="00C372AD" w:rsidRDefault="00C551E4" w:rsidP="00CD230A">
      <w:pPr>
        <w:pStyle w:val="Rectitle"/>
        <w:rPr>
          <w:lang w:val="es-ES"/>
        </w:rPr>
      </w:pPr>
      <w:r w:rsidRPr="00C372AD">
        <w:rPr>
          <w:lang w:val="es-ES"/>
        </w:rPr>
        <w:t xml:space="preserve">Criterios de protección de los instrumentos </w:t>
      </w:r>
      <w:proofErr w:type="spellStart"/>
      <w:r w:rsidRPr="00C372AD">
        <w:rPr>
          <w:lang w:val="es-ES"/>
        </w:rPr>
        <w:t>Cospas-Sarsat</w:t>
      </w:r>
      <w:proofErr w:type="spellEnd"/>
      <w:r w:rsidRPr="00C372AD">
        <w:rPr>
          <w:lang w:val="es-ES"/>
        </w:rPr>
        <w:br/>
        <w:t>de búsqueda y salvamento en la banda 406-406,1 MHz</w:t>
      </w:r>
    </w:p>
    <w:p w:rsidR="00C551E4" w:rsidRDefault="00F955C5" w:rsidP="00F955C5">
      <w:pPr>
        <w:spacing w:before="240"/>
      </w:pPr>
      <w:r>
        <w:t>Este</w:t>
      </w:r>
      <w:r w:rsidR="00C551E4">
        <w:t xml:space="preserve"> p</w:t>
      </w:r>
      <w:r w:rsidR="00C551E4" w:rsidRPr="00296F22">
        <w:t>royecto de revisión de la Recomendación UIT-R M.1478-1</w:t>
      </w:r>
      <w:r w:rsidR="00C551E4">
        <w:t xml:space="preserve"> define criterios de protección en la banda 406-406,1 MHz del servicio </w:t>
      </w:r>
      <w:r w:rsidR="00C551E4" w:rsidRPr="00BB37C7">
        <w:t>Electro GEOSAR/GLONASS MEOSAR</w:t>
      </w:r>
      <w:r w:rsidR="00C551E4">
        <w:t xml:space="preserve"> del sistema </w:t>
      </w:r>
      <w:proofErr w:type="spellStart"/>
      <w:r w:rsidR="00C551E4" w:rsidRPr="00BB37C7">
        <w:t>Cospas</w:t>
      </w:r>
      <w:r w:rsidR="00C551E4">
        <w:noBreakHyphen/>
      </w:r>
      <w:r w:rsidR="00C551E4" w:rsidRPr="00BB37C7">
        <w:t>Sarsat</w:t>
      </w:r>
      <w:proofErr w:type="spellEnd"/>
      <w:r w:rsidR="00C551E4">
        <w:t xml:space="preserve"> que recibe señales de radiobalizas de socorro.</w:t>
      </w:r>
    </w:p>
    <w:p w:rsidR="00C551E4" w:rsidRDefault="00C551E4" w:rsidP="00F955C5">
      <w:pPr>
        <w:ind w:right="-426"/>
      </w:pPr>
      <w:r>
        <w:t xml:space="preserve">En el análisis efectuado en el Anexo 8 se establecen criterios de protección en la banda </w:t>
      </w:r>
      <w:r w:rsidRPr="00BB37C7">
        <w:t>406</w:t>
      </w:r>
      <w:r>
        <w:noBreakHyphen/>
      </w:r>
      <w:r w:rsidRPr="00BB37C7">
        <w:t>406,1</w:t>
      </w:r>
      <w:r>
        <w:t> </w:t>
      </w:r>
      <w:r w:rsidRPr="00BB37C7">
        <w:t>MHz</w:t>
      </w:r>
      <w:r>
        <w:t xml:space="preserve"> para los servicios </w:t>
      </w:r>
      <w:r w:rsidRPr="00BB37C7">
        <w:t>Electro GEOSAR</w:t>
      </w:r>
      <w:r>
        <w:t>.</w:t>
      </w:r>
    </w:p>
    <w:p w:rsidR="00C551E4" w:rsidRDefault="00C551E4" w:rsidP="00C551E4">
      <w:pPr>
        <w:ind w:right="-426"/>
      </w:pPr>
      <w:r w:rsidRPr="00BB37C7">
        <w:t xml:space="preserve">En el análisis efectuado en el Anexo </w:t>
      </w:r>
      <w:r>
        <w:t>9</w:t>
      </w:r>
      <w:r w:rsidRPr="00BB37C7">
        <w:t xml:space="preserve"> se establecen criterios de protección en la banda 406</w:t>
      </w:r>
      <w:r>
        <w:noBreakHyphen/>
      </w:r>
      <w:r w:rsidRPr="00BB37C7">
        <w:t>406,1</w:t>
      </w:r>
      <w:r>
        <w:t> </w:t>
      </w:r>
      <w:r w:rsidRPr="00BB37C7">
        <w:t>MHz para los servicios GLONASS MEOSAR</w:t>
      </w:r>
      <w:r>
        <w:t>.</w:t>
      </w:r>
    </w:p>
    <w:p w:rsidR="00C551E4" w:rsidRDefault="00C551E4" w:rsidP="00C021E5">
      <w:pPr>
        <w:tabs>
          <w:tab w:val="right" w:pos="9639"/>
        </w:tabs>
      </w:pPr>
      <w:r>
        <w:t>También se ha añadido su campo de aplicación.</w:t>
      </w:r>
    </w:p>
    <w:p w:rsidR="00E50EC1" w:rsidRDefault="00E50E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551E4" w:rsidRPr="00A011F0" w:rsidRDefault="00C551E4" w:rsidP="00CD230A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Proyecto de </w:t>
      </w:r>
      <w:r>
        <w:rPr>
          <w:u w:val="single"/>
        </w:rPr>
        <w:t xml:space="preserve">revisión de la </w:t>
      </w:r>
      <w:r w:rsidRPr="00A011F0">
        <w:rPr>
          <w:u w:val="single"/>
        </w:rPr>
        <w:t xml:space="preserve">Recomendación </w:t>
      </w:r>
      <w:r>
        <w:rPr>
          <w:u w:val="single"/>
        </w:rPr>
        <w:t>UIT</w:t>
      </w:r>
      <w:r w:rsidRPr="00A011F0">
        <w:rPr>
          <w:u w:val="single"/>
        </w:rPr>
        <w:t>-R M.1731-1</w:t>
      </w:r>
      <w:r w:rsidRPr="00A011F0">
        <w:tab/>
        <w:t>Doc. 4/176(Rev.1)</w:t>
      </w:r>
    </w:p>
    <w:p w:rsidR="00C551E4" w:rsidRPr="008B6AAD" w:rsidRDefault="00C551E4" w:rsidP="00583DCB">
      <w:pPr>
        <w:pStyle w:val="Rectitle"/>
      </w:pPr>
      <w:r w:rsidRPr="008B6AAD">
        <w:t xml:space="preserve">Criterios de protección para los terminales de usuario local del sistema </w:t>
      </w:r>
      <w:proofErr w:type="spellStart"/>
      <w:r w:rsidRPr="008B6AAD">
        <w:t>Cospas</w:t>
      </w:r>
      <w:r>
        <w:noBreakHyphen/>
      </w:r>
      <w:r w:rsidRPr="008B6AAD">
        <w:t>Sarsat</w:t>
      </w:r>
      <w:proofErr w:type="spellEnd"/>
      <w:r w:rsidRPr="008B6AAD">
        <w:t xml:space="preserve"> en la banda 1 544-1 545 MHz</w:t>
      </w:r>
    </w:p>
    <w:p w:rsidR="00C551E4" w:rsidRPr="0076331D" w:rsidRDefault="00F955C5" w:rsidP="00C551E4">
      <w:pPr>
        <w:spacing w:before="240"/>
      </w:pPr>
      <w:r>
        <w:t>Este</w:t>
      </w:r>
      <w:r w:rsidR="00C551E4">
        <w:t xml:space="preserve"> p</w:t>
      </w:r>
      <w:r w:rsidR="00C551E4" w:rsidRPr="0076331D">
        <w:t>royecto de revisión de la Recomendación UIT-R M.1731-1</w:t>
      </w:r>
      <w:r w:rsidR="00C551E4">
        <w:t xml:space="preserve"> describe criterios de protección en la banda </w:t>
      </w:r>
      <w:r w:rsidR="00C551E4" w:rsidRPr="00F43496">
        <w:t>1 544-1 545 MHz</w:t>
      </w:r>
      <w:r w:rsidR="00C551E4">
        <w:t xml:space="preserve"> para los terminales GEOLUT</w:t>
      </w:r>
      <w:r w:rsidR="00C551E4" w:rsidRPr="00F43496">
        <w:t>/MEOLUT</w:t>
      </w:r>
      <w:r w:rsidR="00C551E4">
        <w:t xml:space="preserve"> del sistema </w:t>
      </w:r>
      <w:proofErr w:type="spellStart"/>
      <w:r w:rsidR="00C551E4">
        <w:t>Cospas-Sarsat</w:t>
      </w:r>
      <w:proofErr w:type="spellEnd"/>
      <w:r w:rsidR="00C551E4">
        <w:t xml:space="preserve"> que reciben señales de radiobalizas de socorro que funcionan a 406 MHz, retransmitidas a través de satélites GLONASS y Electro.</w:t>
      </w:r>
    </w:p>
    <w:p w:rsidR="00C551E4" w:rsidRPr="00686DD3" w:rsidRDefault="00C551E4" w:rsidP="00F955C5">
      <w:pPr>
        <w:tabs>
          <w:tab w:val="right" w:pos="9639"/>
        </w:tabs>
      </w:pPr>
      <w:r w:rsidRPr="00686DD3">
        <w:t>El análisis efectuado en el nuevo Anexo 6 establece criterios de protecci</w:t>
      </w:r>
      <w:r>
        <w:t xml:space="preserve">ón contra la interferencia causada a los GEOLUT que reciben señales del enlace descendente en la banda </w:t>
      </w:r>
      <w:r w:rsidRPr="00686DD3">
        <w:t>1 544</w:t>
      </w:r>
      <w:r>
        <w:noBreakHyphen/>
      </w:r>
      <w:r w:rsidRPr="00686DD3">
        <w:t>1 545 MHz</w:t>
      </w:r>
      <w:r>
        <w:t xml:space="preserve"> de Electro.</w:t>
      </w:r>
    </w:p>
    <w:p w:rsidR="00C551E4" w:rsidRPr="007145E8" w:rsidRDefault="00C551E4" w:rsidP="00F955C5">
      <w:pPr>
        <w:tabs>
          <w:tab w:val="right" w:pos="9639"/>
        </w:tabs>
      </w:pPr>
      <w:r w:rsidRPr="00686DD3">
        <w:t xml:space="preserve">El análisis efectuado en el nuevo Anexo </w:t>
      </w:r>
      <w:r>
        <w:t>7</w:t>
      </w:r>
      <w:r w:rsidRPr="00686DD3">
        <w:t xml:space="preserve"> establece criterios de protecci</w:t>
      </w:r>
      <w:r>
        <w:t xml:space="preserve">ón contra la interferencia causada a los </w:t>
      </w:r>
      <w:r w:rsidRPr="007145E8">
        <w:t>MEOLUT</w:t>
      </w:r>
      <w:r>
        <w:t xml:space="preserve"> que reciben señales del enlace descendente en la banda </w:t>
      </w:r>
      <w:r w:rsidRPr="00686DD3">
        <w:t>1 544</w:t>
      </w:r>
      <w:r>
        <w:noBreakHyphen/>
      </w:r>
      <w:r w:rsidRPr="00686DD3">
        <w:t>1 545 MHz</w:t>
      </w:r>
      <w:r>
        <w:t xml:space="preserve"> de </w:t>
      </w:r>
      <w:r w:rsidRPr="007145E8">
        <w:t>GLONASS</w:t>
      </w:r>
      <w:r>
        <w:t>.</w:t>
      </w:r>
    </w:p>
    <w:p w:rsidR="00C551E4" w:rsidRPr="00F65BA1" w:rsidRDefault="00C551E4" w:rsidP="00C021E5">
      <w:pPr>
        <w:tabs>
          <w:tab w:val="right" w:pos="9639"/>
        </w:tabs>
      </w:pPr>
      <w:r w:rsidRPr="00F65BA1">
        <w:t>Por otra parte, se vuelve a numerar el Anexo 8</w:t>
      </w:r>
      <w:r>
        <w:t>,</w:t>
      </w:r>
      <w:r w:rsidRPr="00F65BA1">
        <w:t xml:space="preserve"> </w:t>
      </w:r>
      <w:r>
        <w:t xml:space="preserve">que sigue proporcionando cálculos del balance del enlace de todos los satélites </w:t>
      </w:r>
      <w:proofErr w:type="spellStart"/>
      <w:r>
        <w:t>Cospas-Sarsat</w:t>
      </w:r>
      <w:proofErr w:type="spellEnd"/>
    </w:p>
    <w:p w:rsidR="00C551E4" w:rsidRPr="00A011F0" w:rsidRDefault="00C551E4" w:rsidP="00CD230A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Proyecto de </w:t>
      </w:r>
      <w:r>
        <w:rPr>
          <w:u w:val="single"/>
        </w:rPr>
        <w:t xml:space="preserve">revisión de la </w:t>
      </w:r>
      <w:r w:rsidRPr="00A011F0">
        <w:rPr>
          <w:u w:val="single"/>
        </w:rPr>
        <w:t xml:space="preserve">Recomendación </w:t>
      </w:r>
      <w:r>
        <w:rPr>
          <w:u w:val="single"/>
        </w:rPr>
        <w:t>UIT</w:t>
      </w:r>
      <w:r w:rsidRPr="00A011F0">
        <w:rPr>
          <w:u w:val="single"/>
        </w:rPr>
        <w:t>-R M.1787</w:t>
      </w:r>
      <w:r w:rsidRPr="00A011F0">
        <w:tab/>
        <w:t>Doc. 4/181(Rev.1)</w:t>
      </w:r>
    </w:p>
    <w:p w:rsidR="00C551E4" w:rsidRPr="00B353AC" w:rsidRDefault="00C551E4" w:rsidP="00CD230A">
      <w:pPr>
        <w:pStyle w:val="Rectitle"/>
      </w:pPr>
      <w:r w:rsidRPr="00B353AC">
        <w:t>Desc</w:t>
      </w:r>
      <w:r>
        <w:t xml:space="preserve">ripción de sistemas y redes del </w:t>
      </w:r>
      <w:r w:rsidRPr="00B353AC">
        <w:t xml:space="preserve">servicio de radionavegación por satélite </w:t>
      </w:r>
      <w:r w:rsidRPr="00B353AC">
        <w:br/>
        <w:t>(espacio-Tierra y espacio-espacio) y caracte</w:t>
      </w:r>
      <w:r>
        <w:t xml:space="preserve">rísticas técnicas de estaciones </w:t>
      </w:r>
      <w:r w:rsidRPr="00B353AC">
        <w:t>espaci</w:t>
      </w:r>
      <w:r>
        <w:t xml:space="preserve">ales transmisoras que funcionan </w:t>
      </w:r>
      <w:r w:rsidRPr="00B353AC">
        <w:t>en las bandas 1 164-1 215 MHz,</w:t>
      </w:r>
      <w:r w:rsidRPr="00B353AC">
        <w:br/>
        <w:t>1 215-1 300 MHz y 1 559-1 610 MHz</w:t>
      </w:r>
    </w:p>
    <w:p w:rsidR="00C551E4" w:rsidRPr="00BF2450" w:rsidRDefault="00C551E4" w:rsidP="00C551E4">
      <w:pPr>
        <w:tabs>
          <w:tab w:val="right" w:pos="9639"/>
        </w:tabs>
        <w:spacing w:before="240"/>
      </w:pPr>
      <w:r w:rsidRPr="00BF2450">
        <w:t xml:space="preserve">En este </w:t>
      </w:r>
      <w:r>
        <w:t>p</w:t>
      </w:r>
      <w:r w:rsidRPr="00BF2450">
        <w:t>royecto de revisión de la Recomendación UIT-R M.1787</w:t>
      </w:r>
      <w:r>
        <w:t xml:space="preserve"> se facilita información sobre parámetros orbitales, señales de navegación y características técnicas de los sistemas y redes del servicio de radionavegación por satélite (SRNS) </w:t>
      </w:r>
      <w:r w:rsidRPr="00BF2450">
        <w:t>(espacio-Tierra y espacio-espacio)</w:t>
      </w:r>
      <w:r>
        <w:t xml:space="preserve"> </w:t>
      </w:r>
      <w:r w:rsidRPr="00BF2450">
        <w:t>que funcionan en las bandas 1 164-1 215 MHz,</w:t>
      </w:r>
      <w:r>
        <w:t xml:space="preserve"> </w:t>
      </w:r>
      <w:r w:rsidRPr="00BF2450">
        <w:t>1 215-1 300 MHz y 1 559-1 610 MHz</w:t>
      </w:r>
      <w:r>
        <w:t xml:space="preserve">. </w:t>
      </w:r>
      <w:r w:rsidRPr="007D3282">
        <w:t>La idea es que dicha información se utilice a la hora de evaluar los efectos de la interferencia entre sistemas y redes del SRNS, así como con otros servicios y sistemas</w:t>
      </w:r>
      <w:r>
        <w:t xml:space="preserve">. La modificación más importante introducida en la Recomendación es la inclusión de un nuevo Anexo 10 que facilita información relativa a un nuevo sistema del SRNS presentado por la República de la India. Además, se proponen datos actualizados de poca importancia en los Anexos 2, 3, 4, 6 y 7. </w:t>
      </w:r>
    </w:p>
    <w:p w:rsidR="00C551E4" w:rsidRPr="007D3282" w:rsidRDefault="00C551E4" w:rsidP="00C021E5">
      <w:pPr>
        <w:jc w:val="center"/>
        <w:rPr>
          <w:b/>
          <w:bCs/>
          <w:sz w:val="28"/>
          <w:szCs w:val="28"/>
        </w:rPr>
      </w:pPr>
      <w:r w:rsidRPr="00BF2450">
        <w:rPr>
          <w:b/>
          <w:bCs/>
          <w:sz w:val="28"/>
          <w:szCs w:val="28"/>
        </w:rPr>
        <w:br w:type="page"/>
      </w:r>
      <w:r w:rsidRPr="007D3282">
        <w:rPr>
          <w:b/>
          <w:bCs/>
          <w:sz w:val="28"/>
          <w:szCs w:val="28"/>
        </w:rPr>
        <w:t>Anexo 2</w:t>
      </w:r>
    </w:p>
    <w:p w:rsidR="00C551E4" w:rsidRPr="007D3282" w:rsidRDefault="00C551E4" w:rsidP="00C021E5">
      <w:pPr>
        <w:spacing w:before="240"/>
        <w:jc w:val="center"/>
      </w:pPr>
      <w:r w:rsidRPr="007D3282">
        <w:t>(Origen: Documentos 4/150 y 4/196)</w:t>
      </w:r>
    </w:p>
    <w:p w:rsidR="00C551E4" w:rsidRPr="00A011F0" w:rsidRDefault="00C551E4" w:rsidP="00CD230A">
      <w:pPr>
        <w:pStyle w:val="AnnexNotitle"/>
        <w:spacing w:after="240"/>
      </w:pPr>
      <w:r w:rsidRPr="00A011F0">
        <w:t>Recomendac</w:t>
      </w:r>
      <w:r>
        <w:t>iones propuestas para supresión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762"/>
      </w:tblGrid>
      <w:tr w:rsidR="00C551E4" w:rsidRPr="00FD198E" w:rsidTr="00C021E5">
        <w:trPr>
          <w:jc w:val="center"/>
        </w:trPr>
        <w:tc>
          <w:tcPr>
            <w:tcW w:w="2093" w:type="dxa"/>
            <w:vAlign w:val="center"/>
          </w:tcPr>
          <w:p w:rsidR="00C551E4" w:rsidRPr="00122E36" w:rsidRDefault="00C551E4" w:rsidP="00C021E5">
            <w:pPr>
              <w:pStyle w:val="Tablehead"/>
              <w:rPr>
                <w:shd w:val="pct15" w:color="auto" w:fill="FFFFFF"/>
              </w:rPr>
            </w:pPr>
            <w:r>
              <w:t>Recomendació</w:t>
            </w:r>
            <w:r w:rsidRPr="00122E36">
              <w:t>n</w:t>
            </w:r>
            <w:r>
              <w:t xml:space="preserve"> UIT-</w:t>
            </w:r>
            <w:r w:rsidRPr="00122E36">
              <w:t>R</w:t>
            </w:r>
          </w:p>
        </w:tc>
        <w:tc>
          <w:tcPr>
            <w:tcW w:w="7762" w:type="dxa"/>
            <w:vAlign w:val="center"/>
          </w:tcPr>
          <w:p w:rsidR="00C551E4" w:rsidRPr="00122E36" w:rsidRDefault="00C551E4" w:rsidP="00CD230A">
            <w:pPr>
              <w:pStyle w:val="Tablehead"/>
              <w:rPr>
                <w:shd w:val="pct15" w:color="auto" w:fill="FFFFFF"/>
              </w:rPr>
            </w:pPr>
            <w:r w:rsidRPr="00122E36">
              <w:t>T</w:t>
            </w:r>
            <w:r>
              <w:t>ítulo</w:t>
            </w:r>
          </w:p>
        </w:tc>
      </w:tr>
      <w:tr w:rsidR="00C551E4" w:rsidRPr="00030B05" w:rsidTr="00C021E5">
        <w:trPr>
          <w:jc w:val="center"/>
        </w:trPr>
        <w:tc>
          <w:tcPr>
            <w:tcW w:w="2093" w:type="dxa"/>
          </w:tcPr>
          <w:p w:rsidR="00C551E4" w:rsidRPr="007E64C5" w:rsidDel="005C21D3" w:rsidRDefault="00C551E4" w:rsidP="00C021E5">
            <w:pPr>
              <w:pStyle w:val="Tabletext"/>
              <w:jc w:val="center"/>
            </w:pPr>
            <w:r w:rsidRPr="007E64C5">
              <w:t>S.725</w:t>
            </w:r>
          </w:p>
        </w:tc>
        <w:tc>
          <w:tcPr>
            <w:tcW w:w="7762" w:type="dxa"/>
            <w:vAlign w:val="center"/>
          </w:tcPr>
          <w:p w:rsidR="00C551E4" w:rsidRPr="00030B05" w:rsidDel="005C21D3" w:rsidRDefault="00C551E4" w:rsidP="00C021E5">
            <w:pPr>
              <w:pStyle w:val="Tabletext"/>
            </w:pPr>
            <w:r w:rsidRPr="00030B05">
              <w:t>Características técnicas de los terminales de muy</w:t>
            </w:r>
            <w:r>
              <w:t xml:space="preserve"> </w:t>
            </w:r>
            <w:r w:rsidRPr="00030B05">
              <w:t>pequeña apertura (VSAT)</w:t>
            </w:r>
          </w:p>
        </w:tc>
      </w:tr>
      <w:tr w:rsidR="00C551E4" w:rsidRPr="00030B05" w:rsidTr="00C021E5">
        <w:trPr>
          <w:jc w:val="center"/>
        </w:trPr>
        <w:tc>
          <w:tcPr>
            <w:tcW w:w="2093" w:type="dxa"/>
          </w:tcPr>
          <w:p w:rsidR="00C551E4" w:rsidRPr="007E64C5" w:rsidRDefault="00C551E4" w:rsidP="00C021E5">
            <w:pPr>
              <w:pStyle w:val="Tabletext"/>
              <w:jc w:val="center"/>
            </w:pPr>
            <w:r w:rsidRPr="007E64C5">
              <w:t>SF.</w:t>
            </w:r>
            <w:r>
              <w:t>1481-1</w:t>
            </w:r>
          </w:p>
        </w:tc>
        <w:tc>
          <w:tcPr>
            <w:tcW w:w="7762" w:type="dxa"/>
            <w:vAlign w:val="center"/>
          </w:tcPr>
          <w:p w:rsidR="00C551E4" w:rsidRPr="00030B05" w:rsidRDefault="00C551E4" w:rsidP="00C021E5">
            <w:pPr>
              <w:pStyle w:val="Tabletext"/>
            </w:pPr>
            <w:r w:rsidRPr="00030B05">
              <w:t>Compartición de frecuencias entre sistemas del servicio fijo que utilizan estaciones situadas en plataformas a gran altitud y sistemas de satélites geoestacionarios del servicio fijo por satélite que funcionan</w:t>
            </w:r>
            <w:r>
              <w:t xml:space="preserve"> </w:t>
            </w:r>
            <w:r w:rsidRPr="00030B05">
              <w:t>en las bandas 47,2-47,5 y 47,9-48,2 GHz</w:t>
            </w:r>
          </w:p>
        </w:tc>
      </w:tr>
    </w:tbl>
    <w:p w:rsidR="00C551E4" w:rsidRPr="00030B05" w:rsidRDefault="00C551E4" w:rsidP="00C021E5">
      <w:pPr>
        <w:rPr>
          <w:lang w:eastAsia="ja-JP"/>
        </w:rPr>
      </w:pPr>
    </w:p>
    <w:p w:rsidR="00C551E4" w:rsidRPr="00030B05" w:rsidRDefault="00C551E4" w:rsidP="00C021E5"/>
    <w:p w:rsidR="00C551E4" w:rsidRPr="00030B05" w:rsidRDefault="00C551E4" w:rsidP="00C021E5"/>
    <w:p w:rsidR="00C551E4" w:rsidRDefault="00C551E4" w:rsidP="00C021E5">
      <w:pPr>
        <w:jc w:val="center"/>
      </w:pPr>
      <w:r>
        <w:t>______________</w:t>
      </w:r>
      <w:bookmarkStart w:id="7" w:name="ddistribution"/>
      <w:bookmarkEnd w:id="7"/>
    </w:p>
    <w:p w:rsidR="00C551E4" w:rsidRDefault="00C551E4" w:rsidP="00C551E4">
      <w:pPr>
        <w:pStyle w:val="Normalaftertitle"/>
      </w:pPr>
    </w:p>
    <w:p w:rsidR="00C551E4" w:rsidRPr="00C551E4" w:rsidRDefault="00C551E4" w:rsidP="00C551E4"/>
    <w:sectPr w:rsidR="00C551E4" w:rsidRPr="00C551E4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F4" w:rsidRDefault="00D37CF4">
      <w:r>
        <w:separator/>
      </w:r>
    </w:p>
  </w:endnote>
  <w:endnote w:type="continuationSeparator" w:id="0">
    <w:p w:rsidR="00D37CF4" w:rsidRDefault="00D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6F" w:rsidRPr="00E832DF" w:rsidRDefault="0006321A" w:rsidP="00E832DF">
    <w:pPr>
      <w:pStyle w:val="Footer"/>
    </w:pPr>
    <w:fldSimple w:instr=" FILENAME  \p  \* MERGEFORMAT ">
      <w:r w:rsidR="00F955C5">
        <w:t>Y:\APP\BR\CIRCS_DMS\CAR\300\323\323s.docx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D02E6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D02E6F">
      <w:trPr>
        <w:cantSplit/>
      </w:trPr>
      <w:tc>
        <w:tcPr>
          <w:tcW w:w="1062" w:type="pct"/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D02E6F">
      <w:trPr>
        <w:cantSplit/>
      </w:trPr>
      <w:tc>
        <w:tcPr>
          <w:tcW w:w="1062" w:type="pct"/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D02E6F" w:rsidRDefault="00D02E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D02E6F" w:rsidRDefault="00D02E6F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D02E6F" w:rsidRDefault="00D02E6F">
          <w:pPr>
            <w:pStyle w:val="itu"/>
            <w:rPr>
              <w:lang w:val="es-ES_tradnl"/>
            </w:rPr>
          </w:pPr>
        </w:p>
      </w:tc>
    </w:tr>
  </w:tbl>
  <w:p w:rsidR="00D02E6F" w:rsidRDefault="00D02E6F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F4" w:rsidRDefault="00D37CF4">
      <w:r>
        <w:t>____________________</w:t>
      </w:r>
    </w:p>
  </w:footnote>
  <w:footnote w:type="continuationSeparator" w:id="0">
    <w:p w:rsidR="00D37CF4" w:rsidRDefault="00D3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6F" w:rsidRDefault="00D02E6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55C5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02E6F" w:rsidRPr="00F96264" w:rsidRDefault="00D02E6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35F"/>
    <w:multiLevelType w:val="hybridMultilevel"/>
    <w:tmpl w:val="20245E26"/>
    <w:lvl w:ilvl="0" w:tplc="D070FD0A">
      <w:start w:val="27"/>
      <w:numFmt w:val="bullet"/>
      <w:lvlText w:val="–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74"/>
    <w:rsid w:val="000410AE"/>
    <w:rsid w:val="0006321A"/>
    <w:rsid w:val="000D7663"/>
    <w:rsid w:val="000F4290"/>
    <w:rsid w:val="00101D74"/>
    <w:rsid w:val="00131358"/>
    <w:rsid w:val="00143138"/>
    <w:rsid w:val="001666E5"/>
    <w:rsid w:val="00176D70"/>
    <w:rsid w:val="001A26EC"/>
    <w:rsid w:val="001C1AA0"/>
    <w:rsid w:val="001C2BF6"/>
    <w:rsid w:val="001E2B00"/>
    <w:rsid w:val="001F2ABC"/>
    <w:rsid w:val="00240010"/>
    <w:rsid w:val="00241B1F"/>
    <w:rsid w:val="002A276E"/>
    <w:rsid w:val="002F1A69"/>
    <w:rsid w:val="003120C7"/>
    <w:rsid w:val="00312A36"/>
    <w:rsid w:val="00387B44"/>
    <w:rsid w:val="00401CE6"/>
    <w:rsid w:val="00402DA4"/>
    <w:rsid w:val="00415BBB"/>
    <w:rsid w:val="0042313B"/>
    <w:rsid w:val="0046465D"/>
    <w:rsid w:val="00484EF6"/>
    <w:rsid w:val="00493CA4"/>
    <w:rsid w:val="004C6398"/>
    <w:rsid w:val="004E415F"/>
    <w:rsid w:val="004F67F5"/>
    <w:rsid w:val="00507D28"/>
    <w:rsid w:val="005205AF"/>
    <w:rsid w:val="005205D2"/>
    <w:rsid w:val="00530434"/>
    <w:rsid w:val="00661B16"/>
    <w:rsid w:val="00665517"/>
    <w:rsid w:val="00670EB2"/>
    <w:rsid w:val="00690D17"/>
    <w:rsid w:val="006F4CBE"/>
    <w:rsid w:val="006F6F43"/>
    <w:rsid w:val="007220B9"/>
    <w:rsid w:val="0072405F"/>
    <w:rsid w:val="00734569"/>
    <w:rsid w:val="00757CF0"/>
    <w:rsid w:val="00842394"/>
    <w:rsid w:val="008B08D5"/>
    <w:rsid w:val="008B1EF3"/>
    <w:rsid w:val="008D7663"/>
    <w:rsid w:val="008E319F"/>
    <w:rsid w:val="00905A4D"/>
    <w:rsid w:val="00990C4A"/>
    <w:rsid w:val="0099447C"/>
    <w:rsid w:val="009A7DFF"/>
    <w:rsid w:val="009B0FED"/>
    <w:rsid w:val="009C75FD"/>
    <w:rsid w:val="009F7F74"/>
    <w:rsid w:val="00A2346B"/>
    <w:rsid w:val="00A92AF1"/>
    <w:rsid w:val="00AC756D"/>
    <w:rsid w:val="00AE07DC"/>
    <w:rsid w:val="00AF60D2"/>
    <w:rsid w:val="00B00FF4"/>
    <w:rsid w:val="00B450AE"/>
    <w:rsid w:val="00B925CB"/>
    <w:rsid w:val="00BF6D42"/>
    <w:rsid w:val="00C31C74"/>
    <w:rsid w:val="00C44DCE"/>
    <w:rsid w:val="00C51847"/>
    <w:rsid w:val="00C551E4"/>
    <w:rsid w:val="00C666C7"/>
    <w:rsid w:val="00C85C95"/>
    <w:rsid w:val="00C93106"/>
    <w:rsid w:val="00CA1A68"/>
    <w:rsid w:val="00CD0A5B"/>
    <w:rsid w:val="00CE7161"/>
    <w:rsid w:val="00D02E6F"/>
    <w:rsid w:val="00D04A11"/>
    <w:rsid w:val="00D37CF4"/>
    <w:rsid w:val="00DB24E2"/>
    <w:rsid w:val="00DE7933"/>
    <w:rsid w:val="00E3174F"/>
    <w:rsid w:val="00E50EC1"/>
    <w:rsid w:val="00E519E8"/>
    <w:rsid w:val="00E6700F"/>
    <w:rsid w:val="00E832DF"/>
    <w:rsid w:val="00E83401"/>
    <w:rsid w:val="00EA2E2F"/>
    <w:rsid w:val="00EF1BBB"/>
    <w:rsid w:val="00F102BB"/>
    <w:rsid w:val="00F351FB"/>
    <w:rsid w:val="00F5042B"/>
    <w:rsid w:val="00F54A0F"/>
    <w:rsid w:val="00F955C5"/>
    <w:rsid w:val="00F96264"/>
    <w:rsid w:val="00FB191D"/>
    <w:rsid w:val="00FD292A"/>
    <w:rsid w:val="00FD474B"/>
    <w:rsid w:val="00FE3433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5205D2"/>
    <w:rPr>
      <w:b/>
      <w:bCs/>
    </w:rPr>
  </w:style>
  <w:style w:type="character" w:customStyle="1" w:styleId="enumlev1Char">
    <w:name w:val="enumlev1 Char"/>
    <w:basedOn w:val="DefaultParagraphFont"/>
    <w:link w:val="enumlev1"/>
    <w:rsid w:val="005205D2"/>
    <w:rPr>
      <w:sz w:val="24"/>
      <w:lang w:val="es-ES_tradnl" w:eastAsia="en-US" w:bidi="ar-SA"/>
    </w:rPr>
  </w:style>
  <w:style w:type="paragraph" w:customStyle="1" w:styleId="AnnexNoTitle0">
    <w:name w:val="Annex_NoTitle"/>
    <w:basedOn w:val="Normal"/>
    <w:next w:val="Normalaftertitle"/>
    <w:rsid w:val="00D02E6F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AC7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5205D2"/>
    <w:rPr>
      <w:b/>
      <w:bCs/>
    </w:rPr>
  </w:style>
  <w:style w:type="character" w:customStyle="1" w:styleId="enumlev1Char">
    <w:name w:val="enumlev1 Char"/>
    <w:basedOn w:val="DefaultParagraphFont"/>
    <w:link w:val="enumlev1"/>
    <w:rsid w:val="005205D2"/>
    <w:rPr>
      <w:sz w:val="24"/>
      <w:lang w:val="es-ES_tradnl" w:eastAsia="en-US" w:bidi="ar-SA"/>
    </w:rPr>
  </w:style>
  <w:style w:type="paragraph" w:customStyle="1" w:styleId="AnnexNoTitle0">
    <w:name w:val="Annex_NoTitle"/>
    <w:basedOn w:val="Normal"/>
    <w:next w:val="Normalaftertitle"/>
    <w:rsid w:val="00D02E6F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AC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eb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D896-3581-44F3-BAF9-35810CD2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30</TotalTime>
  <Pages>6</Pages>
  <Words>1582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10385</CharactersWithSpaces>
  <SharedDoc>false</SharedDoc>
  <HLinks>
    <vt:vector size="12" baseType="variant"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capdessu</cp:lastModifiedBy>
  <cp:revision>8</cp:revision>
  <cp:lastPrinted>2011-10-12T11:53:00Z</cp:lastPrinted>
  <dcterms:created xsi:type="dcterms:W3CDTF">2011-10-10T08:05:00Z</dcterms:created>
  <dcterms:modified xsi:type="dcterms:W3CDTF">2011-10-12T11:54:00Z</dcterms:modified>
</cp:coreProperties>
</file>