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544D23" w:rsidRPr="00D35752" w:rsidTr="00544D23">
        <w:tc>
          <w:tcPr>
            <w:tcW w:w="8188" w:type="dxa"/>
            <w:vAlign w:val="center"/>
          </w:tcPr>
          <w:p w:rsidR="00544D23" w:rsidRPr="000D1D2A" w:rsidRDefault="00544D23" w:rsidP="00544D23">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544D23" w:rsidRPr="00D35752" w:rsidRDefault="00544D23" w:rsidP="00544D23">
            <w:pPr>
              <w:spacing w:before="0"/>
              <w:jc w:val="right"/>
            </w:pPr>
            <w:r>
              <w:rPr>
                <w:noProof/>
                <w:lang w:val="en-US" w:eastAsia="zh-CN"/>
              </w:rPr>
              <w:drawing>
                <wp:inline distT="0" distB="0" distL="0" distR="0" wp14:anchorId="0511147C" wp14:editId="7B4B843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r w:rsidR="00544D23" w:rsidRPr="00D35752" w:rsidTr="00544D23">
        <w:tc>
          <w:tcPr>
            <w:tcW w:w="8188" w:type="dxa"/>
            <w:vAlign w:val="center"/>
          </w:tcPr>
          <w:p w:rsidR="00544D23" w:rsidRPr="00544D23" w:rsidRDefault="00544D23" w:rsidP="00544D23">
            <w:pPr>
              <w:rPr>
                <w:b/>
                <w:smallCaps/>
                <w:sz w:val="20"/>
                <w:lang w:val="fr-CH"/>
              </w:rPr>
            </w:pPr>
            <w:r w:rsidRPr="00544D23">
              <w:rPr>
                <w:i/>
                <w:sz w:val="28"/>
                <w:lang w:val="fr-CH"/>
              </w:rPr>
              <w:t>Radiocommunication Bureau</w:t>
            </w:r>
          </w:p>
          <w:p w:rsidR="00544D23" w:rsidRPr="00544D23" w:rsidRDefault="00544D23" w:rsidP="00544D23">
            <w:pPr>
              <w:tabs>
                <w:tab w:val="clear" w:pos="794"/>
                <w:tab w:val="left" w:pos="426"/>
                <w:tab w:val="left" w:pos="7513"/>
              </w:tabs>
              <w:rPr>
                <w:i/>
                <w:sz w:val="18"/>
                <w:lang w:val="fr-CH"/>
              </w:rPr>
            </w:pPr>
            <w:r w:rsidRPr="00544D23">
              <w:rPr>
                <w:b/>
                <w:sz w:val="18"/>
                <w:lang w:val="fr-CH"/>
              </w:rPr>
              <w:tab/>
            </w:r>
            <w:r w:rsidRPr="00544D23">
              <w:rPr>
                <w:i/>
                <w:sz w:val="18"/>
                <w:lang w:val="fr-CH"/>
              </w:rPr>
              <w:t>(Direct Fax N°. +41 22 730 57 85)</w:t>
            </w:r>
          </w:p>
        </w:tc>
        <w:tc>
          <w:tcPr>
            <w:tcW w:w="1667" w:type="dxa"/>
          </w:tcPr>
          <w:p w:rsidR="00544D23" w:rsidRDefault="00544D23" w:rsidP="00544D23">
            <w:pPr>
              <w:spacing w:before="0"/>
              <w:jc w:val="right"/>
              <w:rPr>
                <w:noProof/>
                <w:lang w:val="en-US" w:eastAsia="zh-CN"/>
              </w:rPr>
            </w:pPr>
          </w:p>
        </w:tc>
      </w:tr>
    </w:tbl>
    <w:p w:rsidR="00544D23" w:rsidRPr="00544D23" w:rsidRDefault="00544D23" w:rsidP="00544D23">
      <w:pPr>
        <w:rPr>
          <w:lang w:val="fr-CH"/>
        </w:rPr>
      </w:pPr>
    </w:p>
    <w:p w:rsidR="00544D23" w:rsidRPr="00544D23" w:rsidRDefault="00544D23" w:rsidP="00544D23">
      <w:pPr>
        <w:tabs>
          <w:tab w:val="left" w:pos="7513"/>
        </w:tabs>
        <w:rPr>
          <w:lang w:val="fr-CH"/>
        </w:rPr>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B827D5">
            <w:pPr>
              <w:tabs>
                <w:tab w:val="clear" w:pos="794"/>
                <w:tab w:val="clear" w:pos="1191"/>
                <w:tab w:val="clear" w:pos="1588"/>
              </w:tabs>
              <w:spacing w:before="0"/>
              <w:jc w:val="center"/>
              <w:rPr>
                <w:b/>
                <w:bCs/>
              </w:rPr>
            </w:pPr>
            <w:bookmarkStart w:id="1" w:name="dnum"/>
            <w:bookmarkEnd w:id="1"/>
            <w:r>
              <w:rPr>
                <w:b/>
                <w:bCs/>
              </w:rPr>
              <w:t>CAR/</w:t>
            </w:r>
            <w:r w:rsidR="00B827D5">
              <w:rPr>
                <w:b/>
                <w:bCs/>
              </w:rPr>
              <w:t>316</w:t>
            </w:r>
          </w:p>
        </w:tc>
        <w:tc>
          <w:tcPr>
            <w:tcW w:w="6368" w:type="dxa"/>
          </w:tcPr>
          <w:p w:rsidR="00847894" w:rsidRPr="00487BC6" w:rsidRDefault="00B827D5" w:rsidP="00E43584">
            <w:pPr>
              <w:tabs>
                <w:tab w:val="left" w:pos="7513"/>
              </w:tabs>
              <w:jc w:val="right"/>
              <w:rPr>
                <w:bCs/>
              </w:rPr>
            </w:pPr>
            <w:bookmarkStart w:id="2" w:name="ddate"/>
            <w:bookmarkEnd w:id="2"/>
            <w:r>
              <w:rPr>
                <w:bCs/>
              </w:rPr>
              <w:t>22</w:t>
            </w:r>
            <w:r w:rsidR="00084D8E">
              <w:rPr>
                <w:bCs/>
              </w:rPr>
              <w:t xml:space="preserve"> June 2011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986322">
      <w:pPr>
        <w:tabs>
          <w:tab w:val="clear" w:pos="794"/>
          <w:tab w:val="clear" w:pos="1191"/>
          <w:tab w:val="clear" w:pos="1588"/>
          <w:tab w:val="clear" w:pos="1985"/>
          <w:tab w:val="left" w:pos="1418"/>
        </w:tabs>
        <w:spacing w:before="720"/>
        <w:rPr>
          <w:b/>
          <w:bCs/>
        </w:rPr>
      </w:pPr>
      <w:r>
        <w:rPr>
          <w:b/>
        </w:rPr>
        <w:t>Subject</w:t>
      </w:r>
      <w:r>
        <w:t>:</w:t>
      </w:r>
      <w:r>
        <w:tab/>
      </w:r>
      <w:r>
        <w:rPr>
          <w:b/>
          <w:bCs/>
        </w:rPr>
        <w:t xml:space="preserve">Radiocommunication Study Group </w:t>
      </w:r>
      <w:r w:rsidR="00D65B4C">
        <w:rPr>
          <w:b/>
          <w:bCs/>
        </w:rPr>
        <w:t>1</w:t>
      </w:r>
      <w:r w:rsidR="00084D8E">
        <w:rPr>
          <w:b/>
          <w:bCs/>
        </w:rPr>
        <w:t xml:space="preserve"> (Spectrum management)</w:t>
      </w:r>
    </w:p>
    <w:p w:rsidR="00847894" w:rsidRPr="00986322" w:rsidRDefault="00986322" w:rsidP="00986322">
      <w:pPr>
        <w:tabs>
          <w:tab w:val="clear" w:pos="794"/>
          <w:tab w:val="clear" w:pos="1191"/>
          <w:tab w:val="clear" w:pos="1588"/>
          <w:tab w:val="clear" w:pos="1985"/>
          <w:tab w:val="left" w:pos="1418"/>
        </w:tabs>
        <w:spacing w:before="240"/>
        <w:ind w:left="2160" w:hanging="2160"/>
        <w:rPr>
          <w:b/>
          <w:bCs/>
        </w:rPr>
      </w:pPr>
      <w:r>
        <w:rPr>
          <w:b/>
          <w:bCs/>
        </w:rPr>
        <w:tab/>
        <w:t>–</w:t>
      </w:r>
      <w:r>
        <w:rPr>
          <w:b/>
          <w:bCs/>
        </w:rPr>
        <w:tab/>
      </w:r>
      <w:r w:rsidR="00847894" w:rsidRPr="00986322">
        <w:rPr>
          <w:b/>
          <w:bCs/>
        </w:rPr>
        <w:t xml:space="preserve">Proposed adoption of </w:t>
      </w:r>
      <w:r w:rsidR="00084D8E" w:rsidRPr="00986322">
        <w:rPr>
          <w:b/>
          <w:bCs/>
        </w:rPr>
        <w:t xml:space="preserve">7 </w:t>
      </w:r>
      <w:r w:rsidR="00847894" w:rsidRPr="00986322">
        <w:rPr>
          <w:b/>
          <w:bCs/>
        </w:rPr>
        <w:t>draft revised Recommendations and their simultaneous approval by correspondence in accordance with § 10.3 of Resolution ITU</w:t>
      </w:r>
      <w:r w:rsidR="00847894" w:rsidRPr="00986322">
        <w:rPr>
          <w:b/>
          <w:bCs/>
        </w:rPr>
        <w:noBreakHyphen/>
        <w:t>R 1-5 (Procedure for the simultaneous adoption and approval by correspondence)</w:t>
      </w:r>
    </w:p>
    <w:p w:rsidR="00492C4D" w:rsidRPr="00986322" w:rsidRDefault="00986322" w:rsidP="00986322">
      <w:pPr>
        <w:tabs>
          <w:tab w:val="clear" w:pos="794"/>
          <w:tab w:val="clear" w:pos="1191"/>
          <w:tab w:val="clear" w:pos="1588"/>
          <w:tab w:val="clear" w:pos="1985"/>
          <w:tab w:val="left" w:pos="1418"/>
        </w:tabs>
        <w:spacing w:before="240"/>
        <w:rPr>
          <w:b/>
          <w:bCs/>
        </w:rPr>
      </w:pPr>
      <w:r>
        <w:rPr>
          <w:b/>
          <w:bCs/>
        </w:rPr>
        <w:tab/>
        <w:t>–</w:t>
      </w:r>
      <w:r>
        <w:rPr>
          <w:b/>
          <w:bCs/>
        </w:rPr>
        <w:tab/>
      </w:r>
      <w:r w:rsidR="00847894" w:rsidRPr="00986322">
        <w:rPr>
          <w:b/>
          <w:bCs/>
        </w:rPr>
        <w:t xml:space="preserve">Proposed suppression of </w:t>
      </w:r>
      <w:r w:rsidR="00084D8E" w:rsidRPr="00986322">
        <w:rPr>
          <w:b/>
          <w:bCs/>
        </w:rPr>
        <w:t xml:space="preserve">2 </w:t>
      </w:r>
      <w:r w:rsidR="00847894" w:rsidRPr="00986322">
        <w:rPr>
          <w:b/>
          <w:bCs/>
        </w:rPr>
        <w:t>Recommendations</w:t>
      </w:r>
    </w:p>
    <w:p w:rsidR="00847894" w:rsidRDefault="00847894" w:rsidP="00487BC6"/>
    <w:p w:rsidR="00847894" w:rsidRDefault="00847894" w:rsidP="00084D8E">
      <w:pPr>
        <w:pStyle w:val="Normalaftertitle"/>
      </w:pPr>
      <w:r>
        <w:t xml:space="preserve">At the meeting of Radiocommunication Study Group </w:t>
      </w:r>
      <w:r w:rsidR="00D65B4C">
        <w:t>1</w:t>
      </w:r>
      <w:r>
        <w:t xml:space="preserve">, held on </w:t>
      </w:r>
      <w:r w:rsidR="00D65B4C">
        <w:t>2</w:t>
      </w:r>
      <w:r w:rsidR="00084D8E">
        <w:t xml:space="preserve"> June 2011</w:t>
      </w:r>
      <w:r>
        <w:t xml:space="preserve">, the Study Group decided to seek adoption of </w:t>
      </w:r>
      <w:r w:rsidR="00084D8E">
        <w:t xml:space="preserve">7 </w:t>
      </w:r>
      <w:r>
        <w:t>draft revised Recommendations by correspondence (§ 10.2.3 of Resolution ITU-R 1-5) and further decided to apply the procedure for simultaneous adoption and approval by correspondence (PSAA), (§ 10.3 of Resolution ITU</w:t>
      </w:r>
      <w:r>
        <w:noBreakHyphen/>
        <w:t>R 1</w:t>
      </w:r>
      <w:r>
        <w:noBreakHyphen/>
        <w:t xml:space="preserve">5). The titles and summaries of the draft Recommendations are given in Annex 1. Furthermore, the Study Group proposed the suppression of </w:t>
      </w:r>
      <w:r w:rsidR="00084D8E">
        <w:t xml:space="preserve">2 </w:t>
      </w:r>
      <w:r>
        <w:t>Recommendations</w:t>
      </w:r>
      <w:r w:rsidR="00D65B4C">
        <w:t xml:space="preserve"> </w:t>
      </w:r>
      <w:r>
        <w:t>listed in Annex 2.</w:t>
      </w:r>
    </w:p>
    <w:p w:rsidR="00847894" w:rsidRDefault="00847894" w:rsidP="00B827D5">
      <w:r>
        <w:t xml:space="preserve">The consideration period shall extend for </w:t>
      </w:r>
      <w:r w:rsidRPr="007D3CB6">
        <w:t>3 months ending on</w:t>
      </w:r>
      <w:r>
        <w:t xml:space="preserve"> </w:t>
      </w:r>
      <w:r w:rsidR="00B827D5">
        <w:rPr>
          <w:u w:val="single"/>
        </w:rPr>
        <w:t>22</w:t>
      </w:r>
      <w:r w:rsidR="00084D8E">
        <w:rPr>
          <w:u w:val="single"/>
        </w:rPr>
        <w:t xml:space="preserve"> September</w:t>
      </w:r>
      <w:r w:rsidR="004E3625">
        <w:rPr>
          <w:u w:val="single"/>
        </w:rPr>
        <w:t xml:space="preserve"> 2011</w:t>
      </w:r>
      <w:r w:rsidRPr="00AB7229">
        <w:t>.</w:t>
      </w:r>
      <w:r>
        <w:t xml:space="preserve"> If within this period no objections are received from Member States, the draft Recommendations shall be considered to be adopted by Study Group </w:t>
      </w:r>
      <w:r w:rsidR="005B0811">
        <w:t>1</w:t>
      </w:r>
      <w:r>
        <w:t xml:space="preserve">.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084D8E" w:rsidP="00487BC6">
      <w:pPr>
        <w:pStyle w:val="BodyTextIndent"/>
        <w:spacing w:after="0"/>
        <w:ind w:left="5761"/>
      </w:pPr>
      <w:r>
        <w:t>François Rancy</w:t>
      </w:r>
      <w:r w:rsidR="00847894">
        <w:br/>
        <w:t>Director, Radiocommunication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Pr="00D321EA" w:rsidRDefault="00847894" w:rsidP="00487BC6">
      <w:pPr>
        <w:ind w:left="1191" w:hanging="1191"/>
        <w:rPr>
          <w:lang w:val="en-US"/>
        </w:rPr>
      </w:pPr>
      <w:r>
        <w:rPr>
          <w:b/>
          <w:bCs/>
          <w:lang w:val="en-US"/>
        </w:rPr>
        <w:t>Annex 2:</w:t>
      </w:r>
      <w:r>
        <w:rPr>
          <w:lang w:val="en-US"/>
        </w:rPr>
        <w:tab/>
        <w:t>Recommendation</w:t>
      </w:r>
      <w:r w:rsidR="00F738CA">
        <w:rPr>
          <w:lang w:val="en-US"/>
        </w:rPr>
        <w:t>s</w:t>
      </w:r>
      <w:r>
        <w:rPr>
          <w:lang w:val="en-US"/>
        </w:rPr>
        <w:t xml:space="preserve"> proposed for suppression</w:t>
      </w:r>
    </w:p>
    <w:p w:rsidR="00847894" w:rsidRDefault="00847894" w:rsidP="00487BC6">
      <w:pPr>
        <w:ind w:left="1191" w:hanging="1191"/>
        <w:rPr>
          <w:b/>
          <w:bCs/>
          <w:lang w:val="en-US"/>
        </w:rPr>
      </w:pPr>
    </w:p>
    <w:p w:rsidR="00847894" w:rsidRPr="00E543EB" w:rsidRDefault="00847894" w:rsidP="000405D9">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sidR="004E3625">
        <w:rPr>
          <w:lang w:val="en-US"/>
        </w:rPr>
        <w:t>1/</w:t>
      </w:r>
      <w:r w:rsidR="000405D9">
        <w:rPr>
          <w:lang w:val="en-US"/>
        </w:rPr>
        <w:t>150</w:t>
      </w:r>
      <w:r>
        <w:rPr>
          <w:lang w:val="en-US"/>
        </w:rPr>
        <w:t xml:space="preserve">(Rev.1), </w:t>
      </w:r>
      <w:r w:rsidR="000E68AB">
        <w:rPr>
          <w:lang w:val="en-US"/>
        </w:rPr>
        <w:t>1/</w:t>
      </w:r>
      <w:bookmarkStart w:id="3" w:name="_GoBack"/>
      <w:bookmarkEnd w:id="3"/>
      <w:r w:rsidR="000405D9">
        <w:rPr>
          <w:lang w:val="en-US"/>
        </w:rPr>
        <w:t>152</w:t>
      </w:r>
      <w:r>
        <w:rPr>
          <w:lang w:val="en-US"/>
        </w:rPr>
        <w:t xml:space="preserve">(Rev.1), </w:t>
      </w:r>
      <w:r w:rsidR="004E3625">
        <w:rPr>
          <w:lang w:val="en-US"/>
        </w:rPr>
        <w:t>1/</w:t>
      </w:r>
      <w:r w:rsidR="000405D9">
        <w:rPr>
          <w:lang w:val="en-US"/>
        </w:rPr>
        <w:t>154</w:t>
      </w:r>
      <w:r>
        <w:rPr>
          <w:lang w:val="en-US"/>
        </w:rPr>
        <w:t>(Rev.1)</w:t>
      </w:r>
      <w:r w:rsidR="000405D9">
        <w:rPr>
          <w:lang w:val="en-US"/>
        </w:rPr>
        <w:t>, 1/157(Rev.1), 1/160(Rev.1), 1/161(Rev.1) and 1/167(Rev.1)</w:t>
      </w:r>
      <w:r>
        <w:rPr>
          <w:lang w:val="en-US"/>
        </w:rPr>
        <w:t xml:space="preserve">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E3625">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 xml:space="preserve">Radiommunication Sector Members participating in the work of Radiocommunication Study Group </w:t>
      </w:r>
      <w:r w:rsidR="004E3625">
        <w:rPr>
          <w:sz w:val="18"/>
          <w:szCs w:val="18"/>
        </w:rPr>
        <w:t>1</w:t>
      </w:r>
    </w:p>
    <w:p w:rsidR="00847894" w:rsidRDefault="00847894" w:rsidP="004E3625">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Radiocommunication Study Group </w:t>
      </w:r>
      <w:r w:rsidR="004E3625">
        <w:rPr>
          <w:sz w:val="18"/>
          <w:szCs w:val="18"/>
        </w:rPr>
        <w:t>1</w:t>
      </w:r>
    </w:p>
    <w:p w:rsidR="00B827D5" w:rsidRPr="008704AD" w:rsidRDefault="00B827D5" w:rsidP="004E3625">
      <w:pPr>
        <w:tabs>
          <w:tab w:val="left" w:pos="284"/>
          <w:tab w:val="left" w:pos="568"/>
        </w:tabs>
        <w:spacing w:before="0"/>
        <w:rPr>
          <w:sz w:val="18"/>
          <w:szCs w:val="18"/>
        </w:rPr>
      </w:pPr>
      <w:r>
        <w:rPr>
          <w:sz w:val="18"/>
          <w:szCs w:val="18"/>
        </w:rPr>
        <w:t>–</w:t>
      </w:r>
      <w:r>
        <w:rPr>
          <w:sz w:val="18"/>
          <w:szCs w:val="18"/>
        </w:rPr>
        <w:tab/>
        <w:t>ITU-R Academia</w:t>
      </w:r>
    </w:p>
    <w:p w:rsidR="00847894" w:rsidRDefault="00847894" w:rsidP="009C2F6F">
      <w:pPr>
        <w:pStyle w:val="AnnexNotitle"/>
        <w:spacing w:before="240"/>
      </w:pPr>
      <w:r>
        <w:br w:type="page"/>
      </w:r>
      <w:r>
        <w:lastRenderedPageBreak/>
        <w:t>Annex 1</w:t>
      </w:r>
      <w:r>
        <w:br/>
      </w:r>
      <w:r>
        <w:br/>
        <w:t>Titles and summaries of the draft Recommendations</w:t>
      </w:r>
    </w:p>
    <w:p w:rsidR="00847894" w:rsidRDefault="00847894" w:rsidP="00487BC6"/>
    <w:p w:rsidR="00B827D5" w:rsidRDefault="00B827D5" w:rsidP="00487BC6"/>
    <w:p w:rsidR="005F0D8E" w:rsidRDefault="005F0D8E" w:rsidP="005F0D8E">
      <w:pPr>
        <w:tabs>
          <w:tab w:val="right" w:pos="9639"/>
        </w:tabs>
      </w:pPr>
      <w:r>
        <w:rPr>
          <w:u w:val="single"/>
        </w:rPr>
        <w:t>Draft revision of Recommendation ITU-R SM.1839</w:t>
      </w:r>
      <w:r>
        <w:tab/>
        <w:t>Doc. 1/150(Rev.1)</w:t>
      </w:r>
    </w:p>
    <w:p w:rsidR="005F0D8E" w:rsidRDefault="005F0D8E" w:rsidP="005F0D8E">
      <w:pPr>
        <w:pStyle w:val="Rectitle"/>
        <w:rPr>
          <w:szCs w:val="24"/>
        </w:rPr>
      </w:pPr>
      <w:r>
        <w:rPr>
          <w:lang w:eastAsia="zh-CN"/>
        </w:rPr>
        <w:t xml:space="preserve">Test procedure </w:t>
      </w:r>
      <w:r w:rsidRPr="00AC5E49">
        <w:t>for measuring the scanning speed</w:t>
      </w:r>
      <w:r w:rsidRPr="00AC5E49">
        <w:br/>
        <w:t>of radio monitoring receivers</w:t>
      </w:r>
    </w:p>
    <w:p w:rsidR="005F0D8E" w:rsidRPr="00AC5E49" w:rsidRDefault="005F0D8E" w:rsidP="00B827D5">
      <w:pPr>
        <w:spacing w:before="240"/>
      </w:pPr>
      <w:r w:rsidRPr="00AC5E49">
        <w:rPr>
          <w:szCs w:val="24"/>
        </w:rPr>
        <w:t xml:space="preserve">The proposed revision is simply to clarify that scanning speed depends on the purpose or intent of the measurement, and that the measurement procedure described in the Recommendation applies to measurements for the purpose of </w:t>
      </w:r>
      <w:r w:rsidRPr="00AC5E49">
        <w:t>providing signal level values, such as would be used for spectrum occupancy measurements.</w:t>
      </w:r>
    </w:p>
    <w:p w:rsidR="005F0D8E" w:rsidRDefault="005F0D8E" w:rsidP="005F0D8E">
      <w:pPr>
        <w:tabs>
          <w:tab w:val="right" w:pos="9639"/>
        </w:tabs>
      </w:pPr>
    </w:p>
    <w:p w:rsidR="005F0D8E" w:rsidRDefault="005F0D8E" w:rsidP="005F0D8E">
      <w:pPr>
        <w:tabs>
          <w:tab w:val="right" w:pos="9639"/>
        </w:tabs>
      </w:pPr>
      <w:r>
        <w:rPr>
          <w:u w:val="single"/>
        </w:rPr>
        <w:t>Draft revision of Recommendation ITU-R SM.854-2</w:t>
      </w:r>
      <w:r>
        <w:tab/>
        <w:t>Doc. 1/152(Rev.1)</w:t>
      </w:r>
    </w:p>
    <w:p w:rsidR="005F0D8E" w:rsidRDefault="005F0D8E" w:rsidP="005F0D8E">
      <w:pPr>
        <w:pStyle w:val="Rectitle"/>
      </w:pPr>
      <w:r w:rsidRPr="00BE3298">
        <w:rPr>
          <w:lang w:val="en-US"/>
        </w:rPr>
        <w:t>Direction finding and location determination at monitoring stations</w:t>
      </w:r>
    </w:p>
    <w:p w:rsidR="005F0D8E" w:rsidRDefault="005F0D8E" w:rsidP="00B827D5">
      <w:pPr>
        <w:spacing w:before="240"/>
      </w:pPr>
      <w:r>
        <w:t>The development of the</w:t>
      </w:r>
      <w:r w:rsidRPr="005C539D">
        <w:t xml:space="preserve"> </w:t>
      </w:r>
      <w:r>
        <w:t xml:space="preserve">new </w:t>
      </w:r>
      <w:r w:rsidRPr="005C539D">
        <w:t xml:space="preserve">version of </w:t>
      </w:r>
      <w:r>
        <w:t xml:space="preserve">the </w:t>
      </w:r>
      <w:r w:rsidRPr="005C539D">
        <w:t xml:space="preserve">ITU Handbook </w:t>
      </w:r>
      <w:r>
        <w:t xml:space="preserve">on </w:t>
      </w:r>
      <w:r w:rsidRPr="005C539D">
        <w:t xml:space="preserve">Spectrum Monitoring </w:t>
      </w:r>
      <w:r>
        <w:t xml:space="preserve">(2011) requires a </w:t>
      </w:r>
      <w:r w:rsidRPr="005C539D">
        <w:t>revision of Recommendation ITU-R SM.</w:t>
      </w:r>
      <w:r>
        <w:t xml:space="preserve">854-2 </w:t>
      </w:r>
      <w:r w:rsidRPr="005C539D">
        <w:t xml:space="preserve">to reflect </w:t>
      </w:r>
      <w:r>
        <w:t xml:space="preserve">specific features of emitter location determination that previously were not sufficiently detailed. </w:t>
      </w:r>
    </w:p>
    <w:p w:rsidR="005F0D8E" w:rsidRDefault="005F0D8E" w:rsidP="005F0D8E"/>
    <w:p w:rsidR="005F0D8E" w:rsidRDefault="005F0D8E" w:rsidP="005F0D8E">
      <w:pPr>
        <w:tabs>
          <w:tab w:val="right" w:pos="9639"/>
        </w:tabs>
      </w:pPr>
      <w:r>
        <w:rPr>
          <w:u w:val="single"/>
        </w:rPr>
        <w:t>Draft revision of Annex 8 to Recommendation ITU-R SM.1541-3</w:t>
      </w:r>
      <w:r>
        <w:tab/>
        <w:t>Doc. 1/154(Rev.1)</w:t>
      </w:r>
    </w:p>
    <w:p w:rsidR="007200C2" w:rsidRDefault="007200C2" w:rsidP="005F0D8E">
      <w:pPr>
        <w:pStyle w:val="Rectitle"/>
        <w:rPr>
          <w:lang w:val="en-US"/>
        </w:rPr>
      </w:pPr>
      <w:bookmarkStart w:id="4" w:name="Pre_title"/>
      <w:r>
        <w:rPr>
          <w:lang w:val="en-US"/>
        </w:rPr>
        <w:t>Unwanted emissions in the out-of-band domain</w:t>
      </w:r>
      <w:bookmarkEnd w:id="4"/>
    </w:p>
    <w:p w:rsidR="005F0D8E" w:rsidRDefault="007200C2" w:rsidP="007200C2">
      <w:pPr>
        <w:pStyle w:val="AnnexNotitle"/>
      </w:pPr>
      <w:r>
        <w:rPr>
          <w:lang w:val="en-US"/>
        </w:rPr>
        <w:t>Annex 8</w:t>
      </w:r>
      <w:r>
        <w:rPr>
          <w:lang w:val="en-US"/>
        </w:rPr>
        <w:br/>
      </w:r>
      <w:r>
        <w:rPr>
          <w:lang w:val="en-US"/>
        </w:rPr>
        <w:br/>
      </w:r>
      <w:r w:rsidR="005F0D8E">
        <w:rPr>
          <w:lang w:val="en-US"/>
        </w:rPr>
        <w:t>OoB domain emission limits for primary radar systems</w:t>
      </w:r>
    </w:p>
    <w:p w:rsidR="005F0D8E" w:rsidRDefault="005F0D8E" w:rsidP="00B827D5">
      <w:pPr>
        <w:spacing w:before="240"/>
        <w:rPr>
          <w:lang w:val="en-US"/>
        </w:rPr>
      </w:pPr>
      <w:r>
        <w:rPr>
          <w:lang w:val="en-US"/>
        </w:rPr>
        <w:t>Annex 8 to Recommendation ITU-R SM.1541-3 is proposed to be revised as follows:</w:t>
      </w:r>
    </w:p>
    <w:p w:rsidR="005F0D8E" w:rsidRPr="00DA02F6" w:rsidRDefault="005F0D8E" w:rsidP="005F0D8E">
      <w:pPr>
        <w:pStyle w:val="enumlev1"/>
      </w:pPr>
      <w:r w:rsidRPr="00DA02F6">
        <w:t>–</w:t>
      </w:r>
      <w:r w:rsidRPr="00DA02F6">
        <w:tab/>
        <w:t>New FM pulse radar waveform 40 dB bandwidth equation</w:t>
      </w:r>
      <w:r>
        <w:t>.</w:t>
      </w:r>
    </w:p>
    <w:p w:rsidR="005F0D8E" w:rsidRPr="00DA02F6" w:rsidRDefault="005F0D8E" w:rsidP="005F0D8E">
      <w:pPr>
        <w:pStyle w:val="enumlev1"/>
      </w:pPr>
      <w:r w:rsidRPr="00DA02F6">
        <w:t>–</w:t>
      </w:r>
      <w:r w:rsidRPr="00DA02F6">
        <w:tab/>
        <w:t>New FMCW pulse radar waveform 40 dB bandwidth equation with an imp</w:t>
      </w:r>
      <w:r>
        <w:t>lementation factor value at 1.2.</w:t>
      </w:r>
    </w:p>
    <w:p w:rsidR="005F0D8E" w:rsidRPr="00DA02F6" w:rsidRDefault="005F0D8E" w:rsidP="005F0D8E">
      <w:pPr>
        <w:pStyle w:val="enumlev1"/>
      </w:pPr>
      <w:r w:rsidRPr="00DA02F6">
        <w:t>–</w:t>
      </w:r>
      <w:r w:rsidRPr="00DA02F6">
        <w:tab/>
        <w:t>Single o</w:t>
      </w:r>
      <w:r>
        <w:t>ut-of-</w:t>
      </w:r>
      <w:r w:rsidRPr="00DA02F6">
        <w:t>band roll-off mask at 30</w:t>
      </w:r>
      <w:r>
        <w:t xml:space="preserve"> </w:t>
      </w:r>
      <w:r w:rsidRPr="00DA02F6">
        <w:t>dB per decade ap</w:t>
      </w:r>
      <w:r>
        <w:t>plicable to all radar waveforms.</w:t>
      </w:r>
    </w:p>
    <w:p w:rsidR="0071649E" w:rsidRDefault="0071649E">
      <w:pPr>
        <w:tabs>
          <w:tab w:val="clear" w:pos="794"/>
          <w:tab w:val="clear" w:pos="1191"/>
          <w:tab w:val="clear" w:pos="1588"/>
          <w:tab w:val="clear" w:pos="1985"/>
        </w:tabs>
        <w:overflowPunct/>
        <w:autoSpaceDE/>
        <w:autoSpaceDN/>
        <w:adjustRightInd/>
        <w:spacing w:before="0"/>
        <w:textAlignment w:val="auto"/>
      </w:pPr>
      <w:r>
        <w:br w:type="page"/>
      </w:r>
    </w:p>
    <w:p w:rsidR="005F0D8E" w:rsidRPr="00DA02F6" w:rsidRDefault="005F0D8E" w:rsidP="005F0D8E">
      <w:pPr>
        <w:pStyle w:val="enumlev1"/>
      </w:pPr>
      <w:r w:rsidRPr="00DA02F6">
        <w:t>–</w:t>
      </w:r>
      <w:r w:rsidRPr="00DA02F6">
        <w:tab/>
        <w:t>20 dB per decade o</w:t>
      </w:r>
      <w:r>
        <w:t>ut-of-</w:t>
      </w:r>
      <w:r w:rsidRPr="00DA02F6">
        <w:t>band roll-off mask applicable to radars that are unable to meet the new 30</w:t>
      </w:r>
      <w:r>
        <w:t xml:space="preserve"> </w:t>
      </w:r>
      <w:r w:rsidRPr="00DA02F6">
        <w:t>dB per decade mask, this is listed under new category called “Excluded wavefo</w:t>
      </w:r>
      <w:r>
        <w:t>rms” with a review date of 2016.</w:t>
      </w:r>
    </w:p>
    <w:p w:rsidR="005F0D8E" w:rsidRPr="00DA02F6" w:rsidRDefault="005F0D8E" w:rsidP="004552BA">
      <w:pPr>
        <w:pStyle w:val="enumlev1"/>
      </w:pPr>
      <w:r w:rsidRPr="00DA02F6">
        <w:t>–</w:t>
      </w:r>
      <w:r w:rsidRPr="00DA02F6">
        <w:tab/>
        <w:t>New text for design objective, with the design objective re</w:t>
      </w:r>
      <w:r w:rsidR="00EE5123">
        <w:t>main</w:t>
      </w:r>
      <w:r w:rsidR="004552BA">
        <w:t>ing</w:t>
      </w:r>
      <w:r w:rsidR="00EE5123">
        <w:t xml:space="preserve"> at 40 dB per decade and a </w:t>
      </w:r>
      <w:r w:rsidRPr="00DA02F6">
        <w:t>review date of 2016.</w:t>
      </w:r>
    </w:p>
    <w:p w:rsidR="005F0D8E" w:rsidRDefault="005F0D8E">
      <w:pPr>
        <w:tabs>
          <w:tab w:val="clear" w:pos="794"/>
          <w:tab w:val="clear" w:pos="1191"/>
          <w:tab w:val="clear" w:pos="1588"/>
          <w:tab w:val="clear" w:pos="1985"/>
        </w:tabs>
        <w:overflowPunct/>
        <w:autoSpaceDE/>
        <w:autoSpaceDN/>
        <w:adjustRightInd/>
        <w:spacing w:before="0"/>
        <w:textAlignment w:val="auto"/>
        <w:rPr>
          <w:szCs w:val="24"/>
          <w:u w:val="single"/>
        </w:rPr>
      </w:pPr>
    </w:p>
    <w:p w:rsidR="005F0D8E" w:rsidRDefault="005F0D8E" w:rsidP="005F0D8E">
      <w:pPr>
        <w:tabs>
          <w:tab w:val="right" w:pos="9639"/>
        </w:tabs>
        <w:rPr>
          <w:szCs w:val="24"/>
        </w:rPr>
      </w:pPr>
      <w:r>
        <w:rPr>
          <w:szCs w:val="24"/>
          <w:u w:val="single"/>
        </w:rPr>
        <w:t>Draft revision of Recommendation ITU-R SM.1723-1</w:t>
      </w:r>
      <w:r>
        <w:rPr>
          <w:szCs w:val="24"/>
        </w:rPr>
        <w:tab/>
        <w:t>Doc. 1/157(Rev.1)</w:t>
      </w:r>
    </w:p>
    <w:p w:rsidR="005F0D8E" w:rsidRDefault="005F0D8E" w:rsidP="005F0D8E">
      <w:pPr>
        <w:pStyle w:val="Rectitle"/>
      </w:pPr>
      <w:r>
        <w:rPr>
          <w:lang w:val="en-US"/>
        </w:rPr>
        <w:t>Mobile spectrum monitoring unit</w:t>
      </w:r>
    </w:p>
    <w:p w:rsidR="005F0D8E" w:rsidRDefault="005F0D8E" w:rsidP="00B827D5">
      <w:pPr>
        <w:spacing w:before="240"/>
        <w:rPr>
          <w:lang w:eastAsia="ko-KR"/>
        </w:rPr>
      </w:pPr>
      <w:r>
        <w:rPr>
          <w:lang w:eastAsia="ko-KR"/>
        </w:rPr>
        <w:t>This document proposes modification t</w:t>
      </w:r>
      <w:r w:rsidRPr="00471659">
        <w:rPr>
          <w:lang w:eastAsia="ko-KR"/>
        </w:rPr>
        <w:t>o replace the three types o</w:t>
      </w:r>
      <w:r>
        <w:rPr>
          <w:lang w:eastAsia="ko-KR"/>
        </w:rPr>
        <w:t>f vehicles in Section 2.1 – the </w:t>
      </w:r>
      <w:r w:rsidRPr="00471659">
        <w:rPr>
          <w:lang w:eastAsia="ko-KR"/>
        </w:rPr>
        <w:t>Estate type, Van type, and Truck type vehicles – with the thr</w:t>
      </w:r>
      <w:r>
        <w:rPr>
          <w:lang w:eastAsia="ko-KR"/>
        </w:rPr>
        <w:t>ee types of vehicles in Section </w:t>
      </w:r>
      <w:r w:rsidRPr="00471659">
        <w:rPr>
          <w:lang w:eastAsia="ko-KR"/>
        </w:rPr>
        <w:t>2.4.2.2.5 of the 2011 Edition of the ITU Ha</w:t>
      </w:r>
      <w:r>
        <w:rPr>
          <w:lang w:eastAsia="ko-KR"/>
        </w:rPr>
        <w:t xml:space="preserve">ndbook on Spectrum Monitoring. Figures in the </w:t>
      </w:r>
      <w:r w:rsidR="00EE5123">
        <w:rPr>
          <w:lang w:eastAsia="ko-KR"/>
        </w:rPr>
        <w:t>H</w:t>
      </w:r>
      <w:r>
        <w:rPr>
          <w:lang w:eastAsia="ko-KR"/>
        </w:rPr>
        <w:t xml:space="preserve">andbook are not duplicated in this Recommendation. </w:t>
      </w:r>
    </w:p>
    <w:p w:rsidR="005F0D8E" w:rsidRDefault="005F0D8E" w:rsidP="005F0D8E">
      <w:pPr>
        <w:tabs>
          <w:tab w:val="right" w:pos="9639"/>
        </w:tabs>
        <w:rPr>
          <w:szCs w:val="24"/>
        </w:rPr>
      </w:pPr>
    </w:p>
    <w:p w:rsidR="005F0D8E" w:rsidRDefault="005F0D8E" w:rsidP="005F0D8E">
      <w:pPr>
        <w:tabs>
          <w:tab w:val="right" w:pos="9639"/>
        </w:tabs>
        <w:rPr>
          <w:szCs w:val="24"/>
        </w:rPr>
      </w:pPr>
      <w:r>
        <w:rPr>
          <w:szCs w:val="24"/>
          <w:u w:val="single"/>
        </w:rPr>
        <w:t>Draft revision of Recommendation ITU-R SM.1682</w:t>
      </w:r>
      <w:r>
        <w:rPr>
          <w:szCs w:val="24"/>
        </w:rPr>
        <w:tab/>
        <w:t>Doc. 1/160(Rev.1)</w:t>
      </w:r>
    </w:p>
    <w:p w:rsidR="005F0D8E" w:rsidRPr="005F0D8E" w:rsidRDefault="005F0D8E" w:rsidP="005F0D8E">
      <w:pPr>
        <w:pStyle w:val="Rectitle"/>
        <w:rPr>
          <w:sz w:val="24"/>
          <w:szCs w:val="24"/>
        </w:rPr>
      </w:pPr>
      <w:r w:rsidRPr="004D47FA">
        <w:t>Methods for measurements on digital broadcasting signals</w:t>
      </w:r>
    </w:p>
    <w:p w:rsidR="005F0D8E" w:rsidRPr="009D7782" w:rsidRDefault="005F0D8E" w:rsidP="00EE5123">
      <w:pPr>
        <w:spacing w:before="240"/>
        <w:ind w:right="-142"/>
        <w:rPr>
          <w:sz w:val="28"/>
          <w:szCs w:val="28"/>
        </w:rPr>
      </w:pPr>
      <w:r>
        <w:t>The development of the</w:t>
      </w:r>
      <w:r w:rsidRPr="005C539D">
        <w:t xml:space="preserve"> </w:t>
      </w:r>
      <w:r>
        <w:t xml:space="preserve">new </w:t>
      </w:r>
      <w:r w:rsidRPr="005C539D">
        <w:t xml:space="preserve">version of </w:t>
      </w:r>
      <w:r>
        <w:t xml:space="preserve">the </w:t>
      </w:r>
      <w:r w:rsidRPr="005C539D">
        <w:t xml:space="preserve">ITU Handbook </w:t>
      </w:r>
      <w:r>
        <w:t xml:space="preserve">on </w:t>
      </w:r>
      <w:r w:rsidRPr="005C539D">
        <w:t xml:space="preserve">Spectrum Monitoring </w:t>
      </w:r>
      <w:r w:rsidR="00EE5123">
        <w:t>(2011) requires a </w:t>
      </w:r>
      <w:r w:rsidRPr="005C539D">
        <w:t>revision of Recommendation ITU-R SM.</w:t>
      </w:r>
      <w:r>
        <w:t xml:space="preserve">1682 </w:t>
      </w:r>
      <w:r w:rsidRPr="005C539D">
        <w:t xml:space="preserve">to </w:t>
      </w:r>
      <w:r>
        <w:t>update the references to the relevant sections of the Handbook and to complete the equipment columns of the various tables in the Recommendation.</w:t>
      </w:r>
    </w:p>
    <w:p w:rsidR="005F0D8E" w:rsidRDefault="005F0D8E" w:rsidP="005F0D8E">
      <w:pPr>
        <w:tabs>
          <w:tab w:val="right" w:pos="9639"/>
        </w:tabs>
      </w:pPr>
    </w:p>
    <w:p w:rsidR="005F0D8E" w:rsidRDefault="005F0D8E" w:rsidP="005F0D8E">
      <w:pPr>
        <w:tabs>
          <w:tab w:val="right" w:pos="9639"/>
        </w:tabs>
      </w:pPr>
      <w:r>
        <w:rPr>
          <w:u w:val="single"/>
        </w:rPr>
        <w:t>Draft revision of Recommendation ITU-R SM.1708</w:t>
      </w:r>
      <w:r>
        <w:tab/>
        <w:t>Doc. 1/161(Rev.1)</w:t>
      </w:r>
    </w:p>
    <w:p w:rsidR="005F0D8E" w:rsidRDefault="005F0D8E" w:rsidP="005F0D8E">
      <w:pPr>
        <w:pStyle w:val="Rectitle"/>
        <w:rPr>
          <w:lang w:val="en-US"/>
        </w:rPr>
      </w:pPr>
      <w:r w:rsidRPr="00B02709">
        <w:rPr>
          <w:lang w:val="en-US"/>
        </w:rPr>
        <w:t>Field-strength measurements along a route with geographical</w:t>
      </w:r>
      <w:r>
        <w:rPr>
          <w:lang w:val="en-US"/>
        </w:rPr>
        <w:br/>
      </w:r>
      <w:r w:rsidRPr="00B02709">
        <w:rPr>
          <w:lang w:val="en-US"/>
        </w:rPr>
        <w:t>coordinate registrations</w:t>
      </w:r>
    </w:p>
    <w:p w:rsidR="005F0D8E" w:rsidRPr="009D7782" w:rsidRDefault="005F0D8E" w:rsidP="00B827D5">
      <w:pPr>
        <w:spacing w:before="240"/>
        <w:rPr>
          <w:sz w:val="28"/>
          <w:szCs w:val="28"/>
        </w:rPr>
      </w:pPr>
      <w:r>
        <w:t>The development of the</w:t>
      </w:r>
      <w:r w:rsidRPr="005C539D">
        <w:t xml:space="preserve"> </w:t>
      </w:r>
      <w:r>
        <w:t xml:space="preserve">new </w:t>
      </w:r>
      <w:r w:rsidRPr="005C539D">
        <w:t xml:space="preserve">version of </w:t>
      </w:r>
      <w:r>
        <w:t xml:space="preserve">the </w:t>
      </w:r>
      <w:r w:rsidRPr="005C539D">
        <w:t xml:space="preserve">ITU Handbook </w:t>
      </w:r>
      <w:r>
        <w:t xml:space="preserve">on </w:t>
      </w:r>
      <w:r w:rsidRPr="005C539D">
        <w:t xml:space="preserve">Spectrum Monitoring </w:t>
      </w:r>
      <w:r>
        <w:t xml:space="preserve">(2011) requires a </w:t>
      </w:r>
      <w:r w:rsidRPr="005C539D">
        <w:t>revision of Recommendation ITU-R SM.</w:t>
      </w:r>
      <w:r>
        <w:t xml:space="preserve">1708 </w:t>
      </w:r>
      <w:r w:rsidRPr="005C539D">
        <w:t xml:space="preserve">to </w:t>
      </w:r>
      <w:r>
        <w:t xml:space="preserve">update the Table in </w:t>
      </w:r>
      <w:r w:rsidR="007200C2">
        <w:t>S</w:t>
      </w:r>
      <w:r>
        <w:t>ection 5.2 and to ensure consistency with the Handbook.</w:t>
      </w:r>
    </w:p>
    <w:p w:rsidR="005F0D8E" w:rsidRDefault="005F0D8E" w:rsidP="005F0D8E">
      <w:pPr>
        <w:pStyle w:val="Normalaftertitle"/>
      </w:pPr>
    </w:p>
    <w:p w:rsidR="0071649E" w:rsidRDefault="0071649E">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5F0D8E" w:rsidRDefault="005F0D8E" w:rsidP="005F0D8E">
      <w:pPr>
        <w:tabs>
          <w:tab w:val="right" w:pos="9639"/>
        </w:tabs>
      </w:pPr>
      <w:r>
        <w:rPr>
          <w:u w:val="single"/>
        </w:rPr>
        <w:t>Draft revision of Recommendation ITU-R SM.1879</w:t>
      </w:r>
      <w:r>
        <w:tab/>
        <w:t>Doc. 1/167(Rev.1)</w:t>
      </w:r>
    </w:p>
    <w:p w:rsidR="005F0D8E" w:rsidRDefault="005F0D8E" w:rsidP="005F0D8E">
      <w:pPr>
        <w:pStyle w:val="Rectitle"/>
      </w:pPr>
      <w:r w:rsidRPr="00C96EA1">
        <w:t>The impact of power line high data rate telecommunic</w:t>
      </w:r>
      <w:r w:rsidR="00B827D5">
        <w:t>ation</w:t>
      </w:r>
      <w:r w:rsidR="00B827D5">
        <w:br/>
      </w:r>
      <w:r w:rsidRPr="00C96EA1">
        <w:t>systems on radiocommunication systems</w:t>
      </w:r>
    </w:p>
    <w:p w:rsidR="005F0D8E" w:rsidRPr="00C96EA1" w:rsidRDefault="005F0D8E" w:rsidP="00B827D5">
      <w:pPr>
        <w:spacing w:before="240"/>
        <w:ind w:right="-284"/>
      </w:pPr>
      <w:r w:rsidRPr="00C96EA1">
        <w:t>This draft revision “extends” Recommendation ITU-R SM.1879 fro</w:t>
      </w:r>
      <w:r w:rsidR="00B827D5">
        <w:t>m below 30 MHz to cover also 80</w:t>
      </w:r>
      <w:r w:rsidR="00B827D5">
        <w:noBreakHyphen/>
      </w:r>
      <w:r w:rsidRPr="00C96EA1">
        <w:t>470 MHz. It provides a summary of the protection criteria of radiocommunication services below 30 MHz and between 80 and 470 MHz with regard to interference by an aggregate of power line telecommunication (PLT) systems. Details on interference considerations below 80 MHz are contained in Report ITU-R SM.2158 on the impact of PLT systems on radiocommunication systems operating in the LF, MF, HF and VHF bands below 80 MHz and in Report ITU-R SM.[PLT + 80 MHz]</w:t>
      </w:r>
      <w:r w:rsidR="007200C2">
        <w:t xml:space="preserve"> (see Doc. 1/171)</w:t>
      </w:r>
      <w:r w:rsidRPr="00C96EA1">
        <w:t xml:space="preserve"> on the impact of PLT systems on radiocommunication systems operating in the VHF and UHF bands between 80 and 470 MHz. Some administrations have adopted or are in the process of adopting national regulations including technical and operational restrictions that may have been derived using a variety of parameters and/or methodologies, taking into account, in particular, specific national deployment scenarios and technical characteristics, as well as other considerations. Examples can be found in Annex 2 to the Recommendation.</w:t>
      </w:r>
    </w:p>
    <w:p w:rsidR="00EE5123" w:rsidRDefault="00EE5123">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FD198E" w:rsidRDefault="002065EA">
      <w:pPr>
        <w:jc w:val="center"/>
        <w:rPr>
          <w:b/>
          <w:bCs/>
          <w:sz w:val="28"/>
          <w:szCs w:val="28"/>
        </w:rPr>
      </w:pPr>
      <w:r w:rsidRPr="002065EA">
        <w:rPr>
          <w:b/>
          <w:bCs/>
          <w:sz w:val="28"/>
          <w:szCs w:val="28"/>
        </w:rPr>
        <w:t>Annex 2</w:t>
      </w:r>
    </w:p>
    <w:p w:rsidR="00FD198E" w:rsidRDefault="00847894" w:rsidP="00B827D5">
      <w:pPr>
        <w:spacing w:before="360"/>
        <w:jc w:val="center"/>
      </w:pPr>
      <w:r>
        <w:t xml:space="preserve">(Source: </w:t>
      </w:r>
      <w:r w:rsidR="00B827D5">
        <w:t xml:space="preserve">Attachment 1 to </w:t>
      </w:r>
      <w:r>
        <w:t xml:space="preserve">Document </w:t>
      </w:r>
      <w:r w:rsidR="00EB52A2">
        <w:t>1/</w:t>
      </w:r>
      <w:r w:rsidR="00B827D5">
        <w:t>176</w:t>
      </w:r>
      <w:r w:rsidR="005B0811">
        <w:t>)</w:t>
      </w:r>
    </w:p>
    <w:p w:rsidR="002D5B3D" w:rsidRDefault="00847894" w:rsidP="005B0811">
      <w:pPr>
        <w:spacing w:before="360"/>
        <w:jc w:val="center"/>
        <w:rPr>
          <w:b/>
          <w:bCs/>
          <w:sz w:val="28"/>
          <w:szCs w:val="28"/>
        </w:rPr>
      </w:pPr>
      <w:r>
        <w:rPr>
          <w:b/>
          <w:bCs/>
          <w:sz w:val="28"/>
          <w:szCs w:val="28"/>
        </w:rPr>
        <w:t>Recommendations proposed for suppression</w:t>
      </w:r>
    </w:p>
    <w:p w:rsidR="00FD198E" w:rsidRDefault="00FD198E" w:rsidP="0011452C"/>
    <w:p w:rsidR="005B0811" w:rsidRDefault="005B0811" w:rsidP="0011452C"/>
    <w:tbl>
      <w:tblPr>
        <w:tblStyle w:val="TableGrid"/>
        <w:tblW w:w="0" w:type="auto"/>
        <w:jc w:val="center"/>
        <w:tblLook w:val="04A0" w:firstRow="1" w:lastRow="0" w:firstColumn="1" w:lastColumn="0" w:noHBand="0" w:noVBand="1"/>
      </w:tblPr>
      <w:tblGrid>
        <w:gridCol w:w="2802"/>
        <w:gridCol w:w="6662"/>
      </w:tblGrid>
      <w:tr w:rsidR="00EB52A2" w:rsidTr="00EE5123">
        <w:trPr>
          <w:jc w:val="center"/>
        </w:trPr>
        <w:tc>
          <w:tcPr>
            <w:tcW w:w="2802" w:type="dxa"/>
          </w:tcPr>
          <w:p w:rsidR="00EB52A2" w:rsidRPr="00EB52A2" w:rsidRDefault="005B0811" w:rsidP="00EB52A2">
            <w:pPr>
              <w:pStyle w:val="Tablehead"/>
              <w:rPr>
                <w:bCs/>
                <w:szCs w:val="22"/>
              </w:rPr>
            </w:pPr>
            <w:r>
              <w:rPr>
                <w:szCs w:val="22"/>
              </w:rPr>
              <w:t>Recommendation</w:t>
            </w:r>
            <w:r>
              <w:rPr>
                <w:szCs w:val="22"/>
              </w:rPr>
              <w:br/>
              <w:t>ITU-</w:t>
            </w:r>
            <w:r w:rsidR="00EB52A2" w:rsidRPr="00EB52A2">
              <w:rPr>
                <w:szCs w:val="22"/>
              </w:rPr>
              <w:t>R</w:t>
            </w:r>
          </w:p>
        </w:tc>
        <w:tc>
          <w:tcPr>
            <w:tcW w:w="6662" w:type="dxa"/>
          </w:tcPr>
          <w:p w:rsidR="00EB52A2" w:rsidRPr="00EB52A2" w:rsidRDefault="00EB52A2" w:rsidP="00EB52A2">
            <w:pPr>
              <w:pStyle w:val="Tablehead"/>
              <w:rPr>
                <w:bCs/>
                <w:szCs w:val="22"/>
              </w:rPr>
            </w:pPr>
            <w:r w:rsidRPr="00EB52A2">
              <w:rPr>
                <w:bCs/>
                <w:szCs w:val="22"/>
              </w:rPr>
              <w:t>Title</w:t>
            </w:r>
          </w:p>
        </w:tc>
      </w:tr>
      <w:tr w:rsidR="000405D9" w:rsidTr="00EE5123">
        <w:trPr>
          <w:jc w:val="center"/>
        </w:trPr>
        <w:tc>
          <w:tcPr>
            <w:tcW w:w="2802" w:type="dxa"/>
          </w:tcPr>
          <w:p w:rsidR="000405D9" w:rsidDel="000405D9" w:rsidRDefault="000405D9" w:rsidP="00EB52A2">
            <w:pPr>
              <w:pStyle w:val="Tabletext"/>
              <w:jc w:val="center"/>
            </w:pPr>
            <w:r>
              <w:t>SM.667</w:t>
            </w:r>
          </w:p>
        </w:tc>
        <w:tc>
          <w:tcPr>
            <w:tcW w:w="6662" w:type="dxa"/>
          </w:tcPr>
          <w:p w:rsidR="000405D9" w:rsidDel="000405D9" w:rsidRDefault="000405D9" w:rsidP="00EB52A2">
            <w:pPr>
              <w:pStyle w:val="Tabletext"/>
            </w:pPr>
            <w:r>
              <w:t>National spectrum management data</w:t>
            </w:r>
          </w:p>
        </w:tc>
      </w:tr>
      <w:tr w:rsidR="000405D9" w:rsidTr="00EE5123">
        <w:trPr>
          <w:jc w:val="center"/>
        </w:trPr>
        <w:tc>
          <w:tcPr>
            <w:tcW w:w="2802" w:type="dxa"/>
          </w:tcPr>
          <w:p w:rsidR="000405D9" w:rsidRDefault="000405D9" w:rsidP="00EB52A2">
            <w:pPr>
              <w:pStyle w:val="Tabletext"/>
              <w:jc w:val="center"/>
            </w:pPr>
            <w:r>
              <w:t>SM.1048</w:t>
            </w:r>
          </w:p>
        </w:tc>
        <w:tc>
          <w:tcPr>
            <w:tcW w:w="6662" w:type="dxa"/>
          </w:tcPr>
          <w:p w:rsidR="000405D9" w:rsidRDefault="000405D9" w:rsidP="00EB52A2">
            <w:pPr>
              <w:pStyle w:val="Tabletext"/>
            </w:pPr>
            <w:r>
              <w:t>Design guidelines for bnasic automated spectrum management system (BASMS)</w:t>
            </w:r>
          </w:p>
        </w:tc>
      </w:tr>
    </w:tbl>
    <w:p w:rsidR="00EB52A2" w:rsidRDefault="00EB52A2" w:rsidP="0011452C"/>
    <w:p w:rsidR="0011452C" w:rsidRDefault="0011452C" w:rsidP="00487BC6"/>
    <w:p w:rsidR="0011452C" w:rsidRDefault="0011452C" w:rsidP="00487BC6"/>
    <w:p w:rsidR="00847894" w:rsidRDefault="00847894" w:rsidP="00E578B5">
      <w:pPr>
        <w:jc w:val="center"/>
      </w:pPr>
      <w:r>
        <w:t>______________</w:t>
      </w:r>
      <w:bookmarkStart w:id="5" w:name="ddistribution"/>
      <w:bookmarkEnd w:id="5"/>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5" w:rsidRDefault="00B827D5">
      <w:r>
        <w:separator/>
      </w:r>
    </w:p>
  </w:endnote>
  <w:endnote w:type="continuationSeparator" w:id="0">
    <w:p w:rsidR="00B827D5" w:rsidRDefault="00B8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Segoe UI"/>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D5" w:rsidRPr="00B827D5" w:rsidRDefault="000E68AB" w:rsidP="00B827D5">
    <w:pPr>
      <w:pStyle w:val="Footer"/>
    </w:pPr>
    <w:r>
      <w:fldChar w:fldCharType="begin"/>
    </w:r>
    <w:r>
      <w:instrText xml:space="preserve"> FILENAME  \p  \* MERGEFORMAT </w:instrText>
    </w:r>
    <w:r>
      <w:fldChar w:fldCharType="separate"/>
    </w:r>
    <w:r>
      <w:t>Y:\APP\BR\CIRCS_DMS\CAR\300\316\316e.docx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827D5">
      <w:trPr>
        <w:cantSplit/>
      </w:trPr>
      <w:tc>
        <w:tcPr>
          <w:tcW w:w="1062" w:type="pct"/>
          <w:tcBorders>
            <w:top w:val="single" w:sz="6" w:space="0" w:color="auto"/>
          </w:tcBorders>
          <w:tcMar>
            <w:top w:w="57" w:type="dxa"/>
          </w:tcMar>
        </w:tcPr>
        <w:p w:rsidR="00B827D5" w:rsidRDefault="00B827D5">
          <w:pPr>
            <w:pStyle w:val="itu"/>
          </w:pPr>
          <w:r>
            <w:t>Place des Nations</w:t>
          </w:r>
        </w:p>
      </w:tc>
      <w:tc>
        <w:tcPr>
          <w:tcW w:w="1583" w:type="pct"/>
          <w:tcBorders>
            <w:top w:val="single" w:sz="6" w:space="0" w:color="auto"/>
          </w:tcBorders>
          <w:tcMar>
            <w:top w:w="57" w:type="dxa"/>
          </w:tcMar>
        </w:tcPr>
        <w:p w:rsidR="00B827D5" w:rsidRDefault="00B827D5">
          <w:pPr>
            <w:pStyle w:val="itu"/>
          </w:pPr>
          <w:r>
            <w:t>Telephone</w:t>
          </w:r>
          <w:r>
            <w:tab/>
            <w:t>+41 22 730 51 11</w:t>
          </w:r>
        </w:p>
      </w:tc>
      <w:tc>
        <w:tcPr>
          <w:tcW w:w="1224" w:type="pct"/>
          <w:tcBorders>
            <w:top w:val="single" w:sz="6" w:space="0" w:color="auto"/>
          </w:tcBorders>
          <w:tcMar>
            <w:top w:w="57" w:type="dxa"/>
          </w:tcMar>
        </w:tcPr>
        <w:p w:rsidR="00B827D5" w:rsidRDefault="00B827D5">
          <w:pPr>
            <w:pStyle w:val="itu"/>
          </w:pPr>
          <w:r>
            <w:t>Telex 421 000 uit ch</w:t>
          </w:r>
        </w:p>
      </w:tc>
      <w:tc>
        <w:tcPr>
          <w:tcW w:w="1131" w:type="pct"/>
          <w:tcBorders>
            <w:top w:val="single" w:sz="6" w:space="0" w:color="auto"/>
          </w:tcBorders>
          <w:tcMar>
            <w:top w:w="57" w:type="dxa"/>
          </w:tcMar>
        </w:tcPr>
        <w:p w:rsidR="00B827D5" w:rsidRDefault="00B827D5">
          <w:pPr>
            <w:pStyle w:val="itu"/>
          </w:pPr>
          <w:r>
            <w:t>E-mail:</w:t>
          </w:r>
          <w:r>
            <w:tab/>
            <w:t>itumail@itu.int</w:t>
          </w:r>
        </w:p>
      </w:tc>
    </w:tr>
    <w:tr w:rsidR="00B827D5">
      <w:trPr>
        <w:cantSplit/>
      </w:trPr>
      <w:tc>
        <w:tcPr>
          <w:tcW w:w="1062" w:type="pct"/>
        </w:tcPr>
        <w:p w:rsidR="00B827D5" w:rsidRDefault="00B827D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827D5" w:rsidRDefault="00B827D5">
          <w:pPr>
            <w:pStyle w:val="itu"/>
          </w:pPr>
          <w:r>
            <w:t>Telefax</w:t>
          </w:r>
          <w:r>
            <w:tab/>
            <w:t>Gr3:</w:t>
          </w:r>
          <w:r>
            <w:tab/>
            <w:t>+41 22 733 72 56</w:t>
          </w:r>
        </w:p>
      </w:tc>
      <w:tc>
        <w:tcPr>
          <w:tcW w:w="1224" w:type="pct"/>
        </w:tcPr>
        <w:p w:rsidR="00B827D5" w:rsidRDefault="00B827D5">
          <w:pPr>
            <w:pStyle w:val="itu"/>
          </w:pPr>
          <w:r>
            <w:t>Telegram ITU GENEVE</w:t>
          </w:r>
        </w:p>
      </w:tc>
      <w:tc>
        <w:tcPr>
          <w:tcW w:w="1131" w:type="pct"/>
        </w:tcPr>
        <w:p w:rsidR="00B827D5" w:rsidRDefault="00B827D5">
          <w:pPr>
            <w:pStyle w:val="itu"/>
          </w:pPr>
          <w:r>
            <w:tab/>
          </w:r>
          <w:hyperlink r:id="rId1" w:history="1">
            <w:r>
              <w:t>http://www.itu.int/</w:t>
            </w:r>
          </w:hyperlink>
        </w:p>
      </w:tc>
    </w:tr>
    <w:tr w:rsidR="00B827D5">
      <w:trPr>
        <w:cantSplit/>
      </w:trPr>
      <w:tc>
        <w:tcPr>
          <w:tcW w:w="1062" w:type="pct"/>
        </w:tcPr>
        <w:p w:rsidR="00B827D5" w:rsidRDefault="00B827D5">
          <w:pPr>
            <w:pStyle w:val="itu"/>
          </w:pPr>
          <w:smartTag w:uri="urn:schemas-microsoft-com:office:smarttags" w:element="country-region">
            <w:smartTag w:uri="urn:schemas-microsoft-com:office:smarttags" w:element="place">
              <w:r>
                <w:t>Switzerland</w:t>
              </w:r>
            </w:smartTag>
          </w:smartTag>
        </w:p>
      </w:tc>
      <w:tc>
        <w:tcPr>
          <w:tcW w:w="1583" w:type="pct"/>
        </w:tcPr>
        <w:p w:rsidR="00B827D5" w:rsidRDefault="00B827D5">
          <w:pPr>
            <w:pStyle w:val="itu"/>
          </w:pPr>
          <w:r>
            <w:tab/>
            <w:t>Gr4:</w:t>
          </w:r>
          <w:r>
            <w:tab/>
            <w:t>+41 22 730 65 00</w:t>
          </w:r>
        </w:p>
      </w:tc>
      <w:tc>
        <w:tcPr>
          <w:tcW w:w="1224" w:type="pct"/>
        </w:tcPr>
        <w:p w:rsidR="00B827D5" w:rsidRDefault="00B827D5">
          <w:pPr>
            <w:pStyle w:val="itu"/>
          </w:pPr>
        </w:p>
      </w:tc>
      <w:tc>
        <w:tcPr>
          <w:tcW w:w="1131" w:type="pct"/>
        </w:tcPr>
        <w:p w:rsidR="00B827D5" w:rsidRDefault="00B827D5">
          <w:pPr>
            <w:pStyle w:val="itu"/>
          </w:pPr>
        </w:p>
      </w:tc>
    </w:tr>
  </w:tbl>
  <w:p w:rsidR="00B827D5" w:rsidRPr="009E1957" w:rsidRDefault="00B827D5"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5" w:rsidRDefault="00B827D5">
      <w:r>
        <w:t>____________________</w:t>
      </w:r>
    </w:p>
  </w:footnote>
  <w:footnote w:type="continuationSeparator" w:id="0">
    <w:p w:rsidR="00B827D5" w:rsidRDefault="00B82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D5" w:rsidRDefault="00B827D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E68AB">
      <w:rPr>
        <w:rStyle w:val="PageNumber"/>
        <w:noProof/>
      </w:rPr>
      <w:t>2</w:t>
    </w:r>
    <w:r>
      <w:rPr>
        <w:rStyle w:val="PageNumber"/>
      </w:rPr>
      <w:fldChar w:fldCharType="end"/>
    </w:r>
    <w:r>
      <w:rPr>
        <w:rStyle w:val="PageNumber"/>
      </w:rPr>
      <w:t xml:space="preserve"> -</w:t>
    </w:r>
  </w:p>
  <w:p w:rsidR="00B827D5" w:rsidRPr="001E15AA" w:rsidRDefault="00B827D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FB9"/>
    <w:multiLevelType w:val="hybridMultilevel"/>
    <w:tmpl w:val="E02A66BC"/>
    <w:lvl w:ilvl="0" w:tplc="AE9ADC08">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B78E5284"/>
    <w:lvl w:ilvl="0" w:tplc="2528BAAC">
      <w:start w:val="27"/>
      <w:numFmt w:val="bullet"/>
      <w:lvlText w:val="–"/>
      <w:lvlJc w:val="left"/>
      <w:pPr>
        <w:tabs>
          <w:tab w:val="num" w:pos="1785"/>
        </w:tabs>
        <w:ind w:left="1785" w:hanging="360"/>
      </w:pPr>
      <w:rPr>
        <w:rFonts w:ascii="Times New Roman" w:eastAsia="Times New Roman" w:hAnsi="Times New Roman" w:hint="default"/>
        <w:b/>
        <w:bC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33821"/>
    <w:rsid w:val="000405D9"/>
    <w:rsid w:val="00044939"/>
    <w:rsid w:val="000756BD"/>
    <w:rsid w:val="00084D8E"/>
    <w:rsid w:val="000A6DA1"/>
    <w:rsid w:val="000B4B35"/>
    <w:rsid w:val="000E15C1"/>
    <w:rsid w:val="000E64DA"/>
    <w:rsid w:val="000E68AB"/>
    <w:rsid w:val="000F2DDF"/>
    <w:rsid w:val="000F527D"/>
    <w:rsid w:val="001011A8"/>
    <w:rsid w:val="0011452C"/>
    <w:rsid w:val="00122E36"/>
    <w:rsid w:val="00172697"/>
    <w:rsid w:val="001E15AA"/>
    <w:rsid w:val="002065EA"/>
    <w:rsid w:val="00210B45"/>
    <w:rsid w:val="002143DD"/>
    <w:rsid w:val="00214D82"/>
    <w:rsid w:val="00217566"/>
    <w:rsid w:val="00227F65"/>
    <w:rsid w:val="00240332"/>
    <w:rsid w:val="00263DC2"/>
    <w:rsid w:val="00274515"/>
    <w:rsid w:val="00276534"/>
    <w:rsid w:val="00280EFE"/>
    <w:rsid w:val="002917D5"/>
    <w:rsid w:val="00292226"/>
    <w:rsid w:val="002A289D"/>
    <w:rsid w:val="002B68D0"/>
    <w:rsid w:val="002D5B3D"/>
    <w:rsid w:val="002F3630"/>
    <w:rsid w:val="003259CA"/>
    <w:rsid w:val="00377095"/>
    <w:rsid w:val="003B681F"/>
    <w:rsid w:val="003C5FFF"/>
    <w:rsid w:val="003D3993"/>
    <w:rsid w:val="0044634B"/>
    <w:rsid w:val="004552BA"/>
    <w:rsid w:val="00487BC6"/>
    <w:rsid w:val="00492C4D"/>
    <w:rsid w:val="004A5AB1"/>
    <w:rsid w:val="004A5ECE"/>
    <w:rsid w:val="004C1881"/>
    <w:rsid w:val="004C569A"/>
    <w:rsid w:val="004E3625"/>
    <w:rsid w:val="004F1056"/>
    <w:rsid w:val="004F26AE"/>
    <w:rsid w:val="0050011A"/>
    <w:rsid w:val="00502B6F"/>
    <w:rsid w:val="0050552C"/>
    <w:rsid w:val="005369BA"/>
    <w:rsid w:val="00544D23"/>
    <w:rsid w:val="00551C72"/>
    <w:rsid w:val="0055431B"/>
    <w:rsid w:val="00571169"/>
    <w:rsid w:val="00575F05"/>
    <w:rsid w:val="0058755D"/>
    <w:rsid w:val="00595800"/>
    <w:rsid w:val="005B0811"/>
    <w:rsid w:val="005B451E"/>
    <w:rsid w:val="005E2476"/>
    <w:rsid w:val="005E24BD"/>
    <w:rsid w:val="005F0D8E"/>
    <w:rsid w:val="005F130D"/>
    <w:rsid w:val="005F33F7"/>
    <w:rsid w:val="005F7F4C"/>
    <w:rsid w:val="006136BC"/>
    <w:rsid w:val="00675065"/>
    <w:rsid w:val="00685BC1"/>
    <w:rsid w:val="006B218D"/>
    <w:rsid w:val="006B3F95"/>
    <w:rsid w:val="006C53FF"/>
    <w:rsid w:val="00706118"/>
    <w:rsid w:val="0071106C"/>
    <w:rsid w:val="0071649E"/>
    <w:rsid w:val="007200C2"/>
    <w:rsid w:val="00746900"/>
    <w:rsid w:val="007820B4"/>
    <w:rsid w:val="007D3CB6"/>
    <w:rsid w:val="007D6DC7"/>
    <w:rsid w:val="00811467"/>
    <w:rsid w:val="00824D6F"/>
    <w:rsid w:val="00831776"/>
    <w:rsid w:val="00833BEA"/>
    <w:rsid w:val="00847894"/>
    <w:rsid w:val="00863902"/>
    <w:rsid w:val="008704AD"/>
    <w:rsid w:val="00881D43"/>
    <w:rsid w:val="008B5ED4"/>
    <w:rsid w:val="008C0CBA"/>
    <w:rsid w:val="008D4874"/>
    <w:rsid w:val="008D5C5B"/>
    <w:rsid w:val="008F3A39"/>
    <w:rsid w:val="009003C3"/>
    <w:rsid w:val="0093382A"/>
    <w:rsid w:val="0093717D"/>
    <w:rsid w:val="0093776F"/>
    <w:rsid w:val="00960812"/>
    <w:rsid w:val="009676DC"/>
    <w:rsid w:val="009746CA"/>
    <w:rsid w:val="009846D5"/>
    <w:rsid w:val="00986322"/>
    <w:rsid w:val="009B6861"/>
    <w:rsid w:val="009C2F6F"/>
    <w:rsid w:val="009D4009"/>
    <w:rsid w:val="009D7217"/>
    <w:rsid w:val="009E14F3"/>
    <w:rsid w:val="009E1957"/>
    <w:rsid w:val="009F6713"/>
    <w:rsid w:val="00A029C7"/>
    <w:rsid w:val="00A06093"/>
    <w:rsid w:val="00A115DF"/>
    <w:rsid w:val="00A704F1"/>
    <w:rsid w:val="00AB07C5"/>
    <w:rsid w:val="00AB1815"/>
    <w:rsid w:val="00AB7229"/>
    <w:rsid w:val="00AC50B7"/>
    <w:rsid w:val="00AD0930"/>
    <w:rsid w:val="00B33B76"/>
    <w:rsid w:val="00B470FC"/>
    <w:rsid w:val="00B57344"/>
    <w:rsid w:val="00B82628"/>
    <w:rsid w:val="00B827D5"/>
    <w:rsid w:val="00B87E04"/>
    <w:rsid w:val="00B9707B"/>
    <w:rsid w:val="00BA63E8"/>
    <w:rsid w:val="00BB215B"/>
    <w:rsid w:val="00BB50A7"/>
    <w:rsid w:val="00BC118A"/>
    <w:rsid w:val="00BC231B"/>
    <w:rsid w:val="00C17B60"/>
    <w:rsid w:val="00C36C69"/>
    <w:rsid w:val="00C60EC9"/>
    <w:rsid w:val="00C950AA"/>
    <w:rsid w:val="00CB2215"/>
    <w:rsid w:val="00CB24F3"/>
    <w:rsid w:val="00CB3F8D"/>
    <w:rsid w:val="00CE0390"/>
    <w:rsid w:val="00D13B36"/>
    <w:rsid w:val="00D14E85"/>
    <w:rsid w:val="00D321EA"/>
    <w:rsid w:val="00D35752"/>
    <w:rsid w:val="00D463D0"/>
    <w:rsid w:val="00D61395"/>
    <w:rsid w:val="00D65B4C"/>
    <w:rsid w:val="00D744B4"/>
    <w:rsid w:val="00DB2ECA"/>
    <w:rsid w:val="00DE04F5"/>
    <w:rsid w:val="00E30F45"/>
    <w:rsid w:val="00E43584"/>
    <w:rsid w:val="00E543EB"/>
    <w:rsid w:val="00E578B5"/>
    <w:rsid w:val="00E6096F"/>
    <w:rsid w:val="00E60D3B"/>
    <w:rsid w:val="00E637AB"/>
    <w:rsid w:val="00EA11F8"/>
    <w:rsid w:val="00EB1130"/>
    <w:rsid w:val="00EB52A2"/>
    <w:rsid w:val="00EB7112"/>
    <w:rsid w:val="00EC28DA"/>
    <w:rsid w:val="00EC710F"/>
    <w:rsid w:val="00EE5123"/>
    <w:rsid w:val="00F03842"/>
    <w:rsid w:val="00F220F0"/>
    <w:rsid w:val="00F331FB"/>
    <w:rsid w:val="00F334A2"/>
    <w:rsid w:val="00F60193"/>
    <w:rsid w:val="00F62B5F"/>
    <w:rsid w:val="00F738CA"/>
    <w:rsid w:val="00F74933"/>
    <w:rsid w:val="00F91E0D"/>
    <w:rsid w:val="00FC0541"/>
    <w:rsid w:val="00FC4E8F"/>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uiPriority w:val="99"/>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uiPriority w:val="99"/>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7192-1E3C-4D80-AAC3-F019A1BB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30</TotalTime>
  <Pages>6</Pages>
  <Words>1040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5</cp:revision>
  <cp:lastPrinted>2011-06-22T10:51:00Z</cp:lastPrinted>
  <dcterms:created xsi:type="dcterms:W3CDTF">2011-06-10T12:53:00Z</dcterms:created>
  <dcterms:modified xsi:type="dcterms:W3CDTF">2011-06-22T10:51:00Z</dcterms:modified>
</cp:coreProperties>
</file>